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333-272052</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94615</wp:posOffset>
            </wp:positionV>
            <wp:extent cx="271716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716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75,757,590 Shares of Common Stock</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Offered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ind w:left="120" w:right="40"/>
        <w:spacing w:after="0" w:line="286" w:lineRule="auto"/>
        <w:rPr>
          <w:sz w:val="20"/>
          <w:szCs w:val="20"/>
          <w:color w:val="auto"/>
        </w:rPr>
      </w:pPr>
      <w:r>
        <w:rPr>
          <w:rFonts w:ascii="Arial" w:cs="Arial" w:eastAsia="Arial" w:hAnsi="Arial"/>
          <w:sz w:val="15"/>
          <w:szCs w:val="15"/>
          <w:color w:val="auto"/>
        </w:rPr>
        <w:t>This prospectus relates to the resale from time to time of up to 75,757,590 shares of our common stock, $0.001 par value per share (the “Shares”), by the selling stockholders identified in this prospectus (collectively with any of the holders’ transferees, pledgees, donees or successors, the “Selling Stockholders”), pursuant to a Securities Purchase Agreement (the “Purchase Agreement”) between Eledon Pharmaceuticals, Inc. (the ‘‘Company’’) and the Selling Stockholders, which consist of (i) 8,730,168 shares of our common stock held by the Selling Stockholders, (ii) 6,421,350 shares of our common stock issuable upon the exercise of outstanding pre-funded warrants to purchase shares of our common stock held by certain Selling Stockholders (“Pre-Funded Warrants”), (iii) 15,151,518 shares of our common stock issuable upon the exercise of outstanding warrants to purchase shares of our common stock (or Pre-Funded Warrants in lieu thereof) held by the Selling Stockholders (“Common Warrants”), (iv) 20,202,024 shares of our common stock issuable to the Selling Stockholders in a second closing (or upon the exercise of Pre-Funded Warrants issued in such closing) upon the satisfaction of specified conditions set forth in the Purchase Agreement, and (v) 25,252,530 shares of our common stock issuable to the Selling Stockholders in a third closing (or upon the exercise of Pre-Funded Warrants issued in such closing) upon the satisfaction of specified conditions set forth in the Purchase Agreement. The Shares, Pre-Funded Warrants and Common Warrants described in the preceding sentence were issued in an initial closing of a private placement completed on May 5, 2023 or will be issuable in the second or third closing of the private placement as described above, in each case pursuant to the Purchase Agreement.</w:t>
      </w:r>
    </w:p>
    <w:p>
      <w:pPr>
        <w:spacing w:after="0" w:line="71" w:lineRule="exact"/>
        <w:rPr>
          <w:sz w:val="24"/>
          <w:szCs w:val="24"/>
          <w:color w:val="auto"/>
        </w:rPr>
      </w:pPr>
    </w:p>
    <w:p>
      <w:pPr>
        <w:ind w:left="120" w:right="20"/>
        <w:spacing w:after="0" w:line="291" w:lineRule="auto"/>
        <w:rPr>
          <w:sz w:val="20"/>
          <w:szCs w:val="20"/>
          <w:color w:val="auto"/>
        </w:rPr>
      </w:pPr>
      <w:r>
        <w:rPr>
          <w:rFonts w:ascii="Arial" w:cs="Arial" w:eastAsia="Arial" w:hAnsi="Arial"/>
          <w:sz w:val="15"/>
          <w:szCs w:val="15"/>
          <w:color w:val="auto"/>
        </w:rPr>
        <w:t>Sales of the Shares by the Selling Stockholders may occur at fixed prices, at prevailing market prices at the time of sale, at prices related to the prevailing market price, at varying prices determined at the time of sale, or at negotiated prices. The Selling Stockholders may sell Shares to or through underwriters, broker dealers or agents, who may receive compensation in the form of discounts, concessions or commissions from the Selling Stockholders, the purchasers of the Shares, or both. If required, the number of Shares to be sold, the public offering price of those Shares, the names of any underwriters, broker dealers or agents and any applicable commission or discount will be included in a supplement to this prospectus, called a prospectus supplement. See the disclosure under the heading “Plan of Distribution” elsewhere in this prospectus for more information about how the Selling Stockholders may sell or otherwise dispose of their Shares hereunder.</w:t>
      </w:r>
    </w:p>
    <w:p>
      <w:pPr>
        <w:spacing w:after="0" w:line="68" w:lineRule="exact"/>
        <w:rPr>
          <w:sz w:val="24"/>
          <w:szCs w:val="24"/>
          <w:color w:val="auto"/>
        </w:rPr>
      </w:pPr>
    </w:p>
    <w:p>
      <w:pPr>
        <w:ind w:left="120" w:right="180"/>
        <w:spacing w:after="0" w:line="269" w:lineRule="auto"/>
        <w:rPr>
          <w:sz w:val="20"/>
          <w:szCs w:val="20"/>
          <w:color w:val="auto"/>
        </w:rPr>
      </w:pPr>
      <w:r>
        <w:rPr>
          <w:rFonts w:ascii="Arial" w:cs="Arial" w:eastAsia="Arial" w:hAnsi="Arial"/>
          <w:sz w:val="16"/>
          <w:szCs w:val="16"/>
          <w:color w:val="auto"/>
        </w:rPr>
        <w:t>The Company will not receive any proceeds from the sale by the Selling Stockholders of the Shares. We will, however, receive the cash exercise price of $0.001 per share for the exercise of any Pre-Funded Warrants, $3.00 per share for the exercise of any Common Warrants (less $0.001 for any Common Warrants exercised for Pre-Funded Warrants in lieu of shares of common stock) and, subject to the satisfaction of the specified conditions set forth in the Purchase Agreement, $2.31 per share for the additional shares of our common stock (or Pre-Funded Warrants in lieu thereof) issuable in the second or third closing of the private placement as described above. If any of the Pre-Funded Warrants or Common Warrants are exercised on a net exercise cashless basis, we would not receive any cash payment from the applicable Selling Stockholder upon any such exercise.</w:t>
      </w:r>
    </w:p>
    <w:p>
      <w:pPr>
        <w:spacing w:after="0" w:line="86" w:lineRule="exact"/>
        <w:rPr>
          <w:sz w:val="24"/>
          <w:szCs w:val="24"/>
          <w:color w:val="auto"/>
        </w:rPr>
      </w:pPr>
    </w:p>
    <w:p>
      <w:pPr>
        <w:ind w:left="120" w:right="240"/>
        <w:spacing w:after="0" w:line="293" w:lineRule="auto"/>
        <w:rPr>
          <w:sz w:val="20"/>
          <w:szCs w:val="20"/>
          <w:color w:val="auto"/>
        </w:rPr>
      </w:pPr>
      <w:r>
        <w:rPr>
          <w:rFonts w:ascii="Arial" w:cs="Arial" w:eastAsia="Arial" w:hAnsi="Arial"/>
          <w:sz w:val="16"/>
          <w:szCs w:val="16"/>
          <w:color w:val="auto"/>
        </w:rPr>
        <w:t>We are paying the cost of registering the Shares covered by this prospectus as well as various related expenses. The Selling Stockholders are responsible for all selling commissions, transfer taxes and other costs related to the offer and sale of the Shares.</w:t>
      </w:r>
    </w:p>
    <w:p>
      <w:pPr>
        <w:spacing w:after="0" w:line="64" w:lineRule="exact"/>
        <w:rPr>
          <w:sz w:val="24"/>
          <w:szCs w:val="24"/>
          <w:color w:val="auto"/>
        </w:rPr>
      </w:pPr>
    </w:p>
    <w:p>
      <w:pPr>
        <w:ind w:left="120" w:right="300"/>
        <w:spacing w:after="0" w:line="293" w:lineRule="auto"/>
        <w:rPr>
          <w:sz w:val="20"/>
          <w:szCs w:val="20"/>
          <w:color w:val="auto"/>
        </w:rPr>
      </w:pPr>
      <w:r>
        <w:rPr>
          <w:rFonts w:ascii="Arial" w:cs="Arial" w:eastAsia="Arial" w:hAnsi="Arial"/>
          <w:sz w:val="16"/>
          <w:szCs w:val="16"/>
          <w:color w:val="auto"/>
        </w:rPr>
        <w:t>The Company’s common stock is traded on The Nasdaq Capital Market under the symbol “ELDN.” On June 1, 2023, the closing sale price of our common stock was $1.97 per share.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auto"/>
        </w:rPr>
        <w:t>Our executive offices are located at 19900 MacArthur Boulevard, Suite 550, Irvine, California 92612, and our telephone number is (949) 238-8090.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163830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4"/>
          <w:szCs w:val="24"/>
          <w:color w:val="auto"/>
        </w:rPr>
      </w:pPr>
    </w:p>
    <w:p>
      <w:pPr>
        <w:ind w:left="120" w:right="80" w:firstLine="551"/>
        <w:spacing w:after="0" w:line="272" w:lineRule="auto"/>
        <w:rPr>
          <w:sz w:val="20"/>
          <w:szCs w:val="20"/>
          <w:color w:val="auto"/>
        </w:rPr>
      </w:pPr>
      <w:r>
        <w:rPr>
          <w:rFonts w:ascii="Arial" w:cs="Arial" w:eastAsia="Arial" w:hAnsi="Arial"/>
          <w:sz w:val="19"/>
          <w:szCs w:val="19"/>
          <w:b w:val="1"/>
          <w:bCs w:val="1"/>
          <w:color w:val="auto"/>
        </w:rPr>
        <w:t xml:space="preserve">Investing in our common stock involves a high degree of risk. Please read the information contained in and incorporated by reference under the heading “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5 of this prospectus, and under similar headings in the other documents that are filed after the date hereof and incorporated by reference into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ind w:left="120" w:right="38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This prospectus is dated June 2, 2023.</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ABOUT THIS PROSPECTUS</w:t>
            </w:r>
          </w:p>
        </w:tc>
        <w:tc>
          <w:tcPr>
            <w:tcW w:w="640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THE COMPANY</w:t>
            </w:r>
          </w:p>
        </w:tc>
        <w:tc>
          <w:tcPr>
            <w:tcW w:w="4040" w:type="dxa"/>
            <w:vAlign w:val="bottom"/>
            <w:tcBorders>
              <w:top w:val="single" w:sz="8" w:color="0000EE"/>
            </w:tcBorders>
            <w:gridSpan w:val="8"/>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SELLING STOCKHOLDERS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PLAN OF DISTRIBUTION</w:t>
            </w:r>
          </w:p>
        </w:tc>
        <w:tc>
          <w:tcPr>
            <w:tcW w:w="642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65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You should read this prospectus, any applicable prospectus supplement and the information incorporated by reference in this prospectus before making an investment in the securities of Eledon Pharmaceuticals, Inc. See “Where You Can Find More Information” and “Incorporation of Certain Information by Reference” for additional information. You should rely only on the information contained in or incorporated by reference in this prospectus or a prospectus supplement. The Company has not authorized anyone to provide you with different information. This document may be used only in jurisdictions where offers and sales of these securities are permitted. You should assume that information contained in this prospectus, or in any document incorporated by reference, is accurate only as of any date on the front cover of the applicable document. Our business, financial condition, results of operations and prospects may have changed since that date.</w:t>
      </w:r>
    </w:p>
    <w:p>
      <w:pPr>
        <w:spacing w:after="0" w:line="17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Unless otherwise indicated, references to the terms “Eledon,” “our,” “us,” “we,” or the “Company” refer to Eledon Pharmaceuticals, Inc. (formerly Novus Therapeutics, Inc.) and all wholly owned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675"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This prospectus and the information incorporated by reference in this prospectus contains “forward-looking statements” as defined by the Private Securities Litigation Reform Act of 1995, which statements involve substantial risks and uncertainties. Any statements other than statements of historical or current fact in this prospectus are forward looking statements. In some instances, you can identify forward-looking statements by the use of words such as “believes,” “anticipates,” “plans,” “expects,” “estimates,” “intends,” “predicts,” “projects,” “targets,” “could,” “may,” and similar expressions, although not all forward-looking statements include such identifying words. Forward-looking statements include, but are not limited to statements regarding our product development plans, expectations for and the timing of commencement, enrollment, completion, data, and release of results of clinical trials for our product candidates; our estimates regarding expenses, capital requirements and needs for additional financing; our strategies with respect to our preclinical and clinical development programs; our plans, strategy and timing to obtain and maintain regulatory approvals of our product candidates; our review of strategic alternatives and the outcome of such review; expectations about our future financial performance or condition; and expectations regarding the potential offer and sale of any securities under this registration statement.</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Actual results may differ materially from those indicated by such forward-looking statements as a result of various factors. These risks and uncertainties, as well as other risks and uncertainties that could cause the Company’s actual results to differ significantly from the forward-looking statements contained herein, are discussed in our most recent Annual Report on Form 10-K, as revised or supplemented by our subsequent Quarterly Reports on Form 10-Q, and other filings with the U.S. Securities and Exchange Commission (the “SEC” or “Commission”), which can be found at www.sec.gov. Any forward-looking statements contained in this prospectus speak only as of the date hereof and not of any future date, and the Company expressly disclaims any intent to update any forward-looking statements, whether as a result of new information, future events or otherwise.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Eledon is a clinical stage biopharmaceutical company using its immunology expertise in targeting the CD40 Ligand (CD40L, also called CD154) pathway to develop therapies to protect transplanted organs and prevent transplanted organ rejection, and to treat amyotrophic lateral sclerosis (“ALS”). The Company’s lead compound in development is tegoprubart, an IgG1, anti-CD40L antibody with high affinity for CD40 Ligand, a well-validated biological target that we believe has broad therapeutic potential.</w:t>
      </w:r>
    </w:p>
    <w:p>
      <w:pPr>
        <w:spacing w:after="0" w:line="187"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In September 2020, we acquired Anelixis Therapeutics, Inc., a Delaware corporation (“Anelixis”), the company that owned and controlled the intellectual property related to tegoprubart.</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the prevention of allograft rejection after solid organ transplantation and in the treatment of autoimmune diseases.</w:t>
      </w:r>
    </w:p>
    <w:p>
      <w:pPr>
        <w:spacing w:after="0" w:line="19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Tegoprubart is designed to negate the risk of thrombolytic events seen in the first generation of anti-CD40L antibodies by introducing structural modifications that have been shown in preclinical models to eliminate binding to the Fcy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Our business strategy is to optimize the clinical and commercial value of tegoprubart and become a global biopharmaceutical company with a focused immunology franchise. Our original strategy was to develop tegoprubart in up to four indications: ALS, prevention of kidney allograft rejection, prevention of islet cell allograft rejection, and IgA Nephropathy (“IgAN”). We selected our indications based on preclinical and clinical data that was generated with either tegoprubart or historical anti-CD40L molecules. In January 2023, we announced our decision to prioritize resources on our kidney transplantation programs, discontinue the islet cell transplantation program, and deprioritize the IgAN program which is currently being discontinued. We remain committed to further progressing ALS clinical development and are working with key stakeholders on potential next steps to do so.</w:t>
      </w:r>
    </w:p>
    <w:p>
      <w:pPr>
        <w:spacing w:after="0" w:line="16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January 2023, we entered into a collaborative research agreement with eGenesis, Inc. (“eGenesis”), under which eGenesis will gain access to tegoprubart for preclinical xenotransplantation studies in support of eGenesis’ kidney and heart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w:t>
      </w:r>
    </w:p>
    <w:p>
      <w:pPr>
        <w:spacing w:after="0" w:line="121" w:lineRule="exact"/>
        <w:rPr>
          <w:sz w:val="20"/>
          <w:szCs w:val="20"/>
          <w:color w:val="auto"/>
        </w:rPr>
      </w:pPr>
    </w:p>
    <w:p>
      <w:pPr>
        <w:jc w:val="both"/>
        <w:ind w:left="120" w:right="340"/>
        <w:spacing w:after="0" w:line="275" w:lineRule="auto"/>
        <w:rPr>
          <w:sz w:val="20"/>
          <w:szCs w:val="20"/>
          <w:color w:val="auto"/>
        </w:rPr>
      </w:pPr>
      <w:r>
        <w:rPr>
          <w:rFonts w:ascii="Arial" w:cs="Arial" w:eastAsia="Arial" w:hAnsi="Arial"/>
          <w:sz w:val="17"/>
          <w:szCs w:val="17"/>
          <w:color w:val="auto"/>
        </w:rPr>
        <w:t>On April 28, 2023, Eledon entered into the Purchase Agreement with the Selling Stockholders, pursuant to which we agreed to issue and sell to the Selling Stockholders in a private placement: (a) in an initial closing, which closing occurred on May 5, 2023, (i) 8,730,168 shares of the Company’s common stock, (ii) Pre-Funded Warrants exercisable for up to an aggregate of 6,421,350 shares of the Company’s common stock, and (iii) Common Warrants exercisable for up to an aggregate of 15,151,518 shares of the Company’s common stock (or Pre-Funded Warrants in lieu thereof); (b) in a second closing, subject to certain conditions set forth in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67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Purchase Agreement, 20,202,024 shares of common stock (or Pre-Funded Warrants in lieu thereof); and (c) in a third closing, subject to certain conditions set forth in the Purchase Agreement, 25,252,530 shares of common stock (or Pre-Funded Warrants in lieu thereof), in each case subject to customary adjustments as provided in the Purchase Agreement, Pre-Funded Warrant or Common Warrant, as applicable. Each Common Warrant has an exercise price of $3.00 per share and expires five years after issuance. The Pre-Funded Warrants are exercisable immediately upon issuance and until exercised in full.</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second and third closings under the Purchase Agreement have mandatory funding conditions whereby the Selling Stockholders have committed to purchase shares of our common stock (or Pre-Funded Warrants) in the second and third closings upon the satisfaction of specified clinical trial milestones and volume weighted average share price levels and trading volume conditions.</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 Selling Stockholder may not exercise any portion of a Pre-Funded Warrant, and may only exercise any portion of a Common Warrant for Pre-Funded Warrants rather than common stock, to the extent such exercise for common stock would cause such Selling Stockholder, together with its affiliates, to beneficially own a number of shares of common stock which would exceed a beneficial ownership limitation specified by each Selling Stockholder upon issuance of the applicable Pre-Funded Warrants and Common Warrants (which was generally set at 4.99% or 9.99% of our then outstanding common stock following such exercise). In addition, under the terms of the Purchase Agreement, a Selling Stockholder will receive Pre-Funded Warrants in lieu of common stock in the second and third closings to the extent the common stock would cause such Selling Stockholder, together with its affiliates, to beneficially own a number of shares of common stock which would exceed the applicable beneficial ownership limitation following such issuance. Upon at least 61 days’ prior notice from the holder to the Company, a holder may increase the applicable beneficial ownership limitation, but in no case above 19.99% of the number of shares of common stock outstanding immediately after giving effect to such exercise to the extent required under Nasdaq Marketplace Rules.</w:t>
      </w:r>
    </w:p>
    <w:p>
      <w:pPr>
        <w:spacing w:after="0" w:line="18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securities issued and issuable pursuant to the Purchase Agreement were not initially registered under the Securities Act of 1933, as amended (the “Securities Act”), and were offered pursuant to the exemption from registration provided in Section 4(a)(2) under the Securities Act and Rule 506(b) promulgated thereunder.</w:t>
      </w:r>
    </w:p>
    <w:p>
      <w:pPr>
        <w:spacing w:after="0" w:line="1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In connection with the private placement, the Company also entered into a registration rights agreement, dated April 28, 2023 (the “Registration Rights Agreement”), with the Selling Stockholders, pursuant to which, among other things, the Company agreed to prepare and file with the SEC, within 20 days after the date of the Registration Rights Agreement, a registration statement to register for resale the shares of our common stock issued and issuable under the Purchase Agreement and the shares of our common stock issuable upon exercise of the Pre-Funded Warrants and Common Warrants issued and issuable under the Purchase Agreement, and to cause the registration statement to become effective within a specified time after its initial filing with the SEC.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were incorporated under the laws of the State of Delaware on March 26, 2004 under the name Tokai Pharmaceuticals, Inc. and we changed our name to Novus Therapeutics on May 9, 2017. On September 14, 2020, we acquired Anelixis, after which Anelixis became a wholly owned subsidiary of the Company. On January 4, 2021, we changed our name from Novus Therapeutics, Inc. to Eledon Pharmaceuticals, Inc.</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executive offices are located at 19900 MacArthur Boulevard, Suite 550, Irvine, California 92612. We also have a research and development office in Burlington, Massachusetts. Our telephone number is (949) 238-8090 and our website is www.eledon.com. The information contained in, or accessible through, our website does not constitute part of this prospectus. We have included our website address in this prospectus solely as an inactive textual reference.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67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Before making an investment decision, you should carefully consider the risks described under “Risk Factors” in the applicable prospectus supplement, together with all of the other information appearing in this prospectus or incorporated by reference into this prospectus and any applicable prospectus supplement,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You should also consider the risks, uncertainties and assumptions discussed under the heading “Risk Factors” included in our most recent Annual Report on Form 10-K, as revised or supplemented by our subsequent Quarterly Reports on Form 10-Q, which are incorporated herein by reference, together with the other information contained in this prospectus and in our filings with the SEC that we have incorporated by reference in this prospectus. We expect to update these Risk Factors from time to time in the periodic and current reports we file with the SEC after the date of this prospectus. These updated Risk Factors will be incorporated by reference in this prospectus. If any of these risks occur, our business, financial condition, results of operations and future growth prospects could be materially and adversely affected. In these circumstances, the trading price of our securities could decline, and you may lose all or part of your investment.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proceeds from the resale of the Shares under this prospectus are solely for the accounts of the Selling Stockholders. We will not receive any proceeds from the sale of Shares under this prospectus. We will, however, receive the cash exercise price of $0.001 per share for the exercise of any Pre-Funded Warrants, $3.00 per share for the exercise of any Common Warrants (less $0.001 for any Common Warrants exercised for Pre-Funded Warrants in lieu of shares of common stock) and, subject to the satisfaction of the specified conditions set forth in the Purchase Agreement, $2.31 per share for the additional shares of our common stock (or Pre-Funded Warrants in lieu thereof) issuable in the second or third closing of the private placement as described herein. If any of the Pre-Funded Warrants or Common Warrants are exercised on a net exercise cashless basis, we would not receive any cash payment from the applicable Selling Stockholder upon any such exercise. We expect to use the proceeds received from the cash exercise of the Pre-Funded Warrants and Common Warrants and the issuance of common stock in the second and third closing, if any, for working capital and general corporate purposes, including the clinical development of our lead asset, tegoprubart.</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675" w:right="7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The Shares being offered by the Selling Stockholders are those issued or issuable pursuant to the terms of the Purchase Agreement, consisting of shares of our common stock (i) issued to the Selling Stockholders in the initial closing of the Purchase Agreement, (ii) issuable to the Selling Stockholders upon exercise of the outstanding Pre-Funded Warrants to purchase shares of our common stock issued to certain Selling Stockholders in the initial closing of the Purchase Agreement, (iii) issuable to the Selling Stockholders upon exercise of the outstanding Common Warrants to purchase shares of our common stock (or Pre-Funded Warrants in lieu thereof) issued to the Selling Stockholders in the initial closing of the Purchase Agreement, and</w:t>
      </w:r>
    </w:p>
    <w:p>
      <w:pPr>
        <w:spacing w:after="0" w:line="2" w:lineRule="exact"/>
        <w:rPr>
          <w:sz w:val="20"/>
          <w:szCs w:val="20"/>
          <w:color w:val="auto"/>
        </w:rPr>
      </w:pPr>
    </w:p>
    <w:p>
      <w:pPr>
        <w:ind w:left="120" w:right="100" w:hanging="4"/>
        <w:spacing w:after="0" w:line="253" w:lineRule="auto"/>
        <w:tabs>
          <w:tab w:leader="none" w:pos="42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issuable to the Selling Stockholders in the second and third closings of the Purchase Agreement upon the satisfaction of specified conditions set forth in the Purchase Agreement (or upon the exercise of Pre-Funded Warrants issued in such closings). We are registering the Shares in order to permit the Selling Stockholders to offer the Shares for resale from time to time. Except for the ownership of the Shares, Pre-Funded Warrants and Common Warrants and as otherwise described below under “Certain Relationships with the Selling Stockholders,” the Selling Stockholders have not had any material relationship with us within the past three years.</w:t>
      </w:r>
    </w:p>
    <w:p>
      <w:pPr>
        <w:spacing w:after="0" w:line="19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table below lists the Selling Stockholders and other information regarding the beneficial ownership of our common stock by each of the Selling Stockholders. In accordance with the terms of the Registration Rights Agreement with the Selling Stockholders, this prospectus generally covers the resale of the sum of (i) the number of shares of common stock issued to the Selling Stockholders pursuant to the Purchase Agreement, (ii) the maximum number of shares of common stock issuable upon exercise of the Pre-Funded Warrants and Common Warrants issued or issuable pursuant to the Purchase Agreement and (iii) the maximum number of shares of common stock issuable in the second and third closings of the Purchase Agreement upon the satisfaction of specified conditions set forth in the Purchase Agreement, determined as if the Pre-Funded Warrants and Common Warrants issued and issuable under the Purchase Agreement were exercised in full and all shares issuable upon the satisfaction of the conditions set forth in the Purchase Agreement had been issued, each as of the trading day immediately preceding the applicable date of determination and all subject to adjustment as provided in the Registration Rights Agreement, without regard to any limitations on the exercise of the Pre-Funded Warrants or Common Warrants.</w:t>
      </w:r>
    </w:p>
    <w:p>
      <w:pPr>
        <w:spacing w:after="0" w:line="18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Under the terms of the Pre-Funded Warrants and Common Warrants, a Selling Stockholder may not exercise any portion of a Pre-Funded Warrant, and may only exercise any portion of a Common Warrant for Pre-Funded Warrants rather than common stock, to the extent such exercise for common stock would cause such Selling Stockholder, together with its affiliates, to beneficially own a number of shares of common stock which would exceed a beneficial ownership limitation specified by each Selling Stockholder upon issuance of the applicable Pre-Funded Warrants and Common Warrants (which was generally set at 4.99% or 9.99% of our then outstanding common stock following such exercise). In addition, under the terms of the Purchase Agreement, a Selling Stockholder will receive Pre-Funded Warrants in lieu of common stock in the second and third closings to the extent the common stock would cause such Selling Stockholder, together with its affiliates, to beneficially own a number of shares of common stock which would exceed the applicable beneficial ownership limitation following such issuance. Upon at least 61 days’ prior notice from the holder to the Company, a holder may increase the applicable beneficial ownership limitation, but in no case above 19.99% of the number of shares of common stock outstanding immediately after giving effect to such exercise to the extent required under Nasdaq Marketplace Rules. For purposes of the table below, we have assumed that the Selling Stockholders will be able to sell in this offering all shares of common stock issued or issuable pursuant to the Purchase Agreement or upon the exercise of any Pre-Funded Warrants or Common Warrants issued or issuable to the Selling Stockholder without regard to any beneficial ownership limitations. The Selling Stockholders may sell all, some or none of their shares in this offering. See “Plan of Distribution.”</w:t>
      </w:r>
    </w:p>
    <w:p>
      <w:pPr>
        <w:spacing w:after="0" w:line="17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of May 17, 2023 are considered outstanding and beneficially owned by the person holding the options or warrants for the purpose of calculating the percentage ownership of that person but not for the purpose of calculating the percentage ownership of any other person.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are relying on written commitments from the Selling Stockholders to notify us of any changes in their beneficial ownership after the date they originally provided this information. See “Plan of Distribution.”</w:t>
      </w:r>
    </w:p>
    <w:p>
      <w:pPr>
        <w:sectPr>
          <w:pgSz w:w="11900" w:h="16838" w:orient="portrait"/>
          <w:cols w:equalWidth="0" w:num="1">
            <w:col w:w="11140"/>
          </w:cols>
          <w:pgMar w:left="320" w:top="675" w:right="439" w:bottom="1440" w:gutter="0" w:footer="0" w:header="0"/>
        </w:sectPr>
      </w:pP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40" w:type="dxa"/>
            <w:vAlign w:val="bottom"/>
          </w:tcPr>
          <w:p>
            <w:pPr>
              <w:jc w:val="center"/>
              <w:ind w:left="1388"/>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04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4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04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04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6"/>
              </w:rPr>
              <w:t>Prior to</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Stockholder (1)</w:t>
            </w:r>
          </w:p>
        </w:tc>
        <w:tc>
          <w:tcPr>
            <w:tcW w:w="204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040" w:type="dxa"/>
            <w:vAlign w:val="bottom"/>
          </w:tcPr>
          <w:p>
            <w:pPr>
              <w:jc w:val="center"/>
              <w:ind w:left="1368"/>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Maximum Shares of Common Stock to</w:t>
            </w:r>
          </w:p>
        </w:tc>
        <w:tc>
          <w:tcPr>
            <w:tcW w:w="28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Shares of Common</w:t>
            </w:r>
          </w:p>
        </w:tc>
        <w:tc>
          <w:tcPr>
            <w:tcW w:w="0" w:type="dxa"/>
            <w:vAlign w:val="bottom"/>
          </w:tcPr>
          <w:p>
            <w:pPr>
              <w:spacing w:after="0"/>
              <w:rPr>
                <w:sz w:val="1"/>
                <w:szCs w:val="1"/>
                <w:color w:val="auto"/>
              </w:rPr>
            </w:pPr>
          </w:p>
        </w:tc>
      </w:tr>
      <w:tr>
        <w:trPr>
          <w:trHeight w:val="148"/>
        </w:trPr>
        <w:tc>
          <w:tcPr>
            <w:tcW w:w="30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 Owned After</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be Sold Pursuant to this Prospectus (3)</w:t>
            </w:r>
          </w:p>
        </w:tc>
        <w:tc>
          <w:tcPr>
            <w:tcW w:w="280" w:type="dxa"/>
            <w:vAlign w:val="bottom"/>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Offering (7)</w:t>
            </w:r>
          </w:p>
        </w:tc>
        <w:tc>
          <w:tcPr>
            <w:tcW w:w="0" w:type="dxa"/>
            <w:vAlign w:val="bottom"/>
          </w:tcPr>
          <w:p>
            <w:pPr>
              <w:spacing w:after="0"/>
              <w:rPr>
                <w:sz w:val="1"/>
                <w:szCs w:val="1"/>
                <w:color w:val="auto"/>
              </w:rPr>
            </w:pPr>
          </w:p>
        </w:tc>
      </w:tr>
      <w:tr>
        <w:trPr>
          <w:trHeight w:val="227"/>
        </w:trPr>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rPr>
              <w:t>Initial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9"/>
                <w:szCs w:val="19"/>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Closing (4)</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Closing (5)</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Closing (6)</w:t>
            </w: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560" w:space="380"/>
            <w:col w:w="5200"/>
          </w:cols>
          <w:pgMar w:left="320" w:top="67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19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47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Entities affiliated with BVF Partners L.P. (8)</w:t>
            </w:r>
          </w:p>
        </w:tc>
        <w:tc>
          <w:tcPr>
            <w:tcW w:w="10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6"/>
                <w:szCs w:val="16"/>
                <w:color w:val="auto"/>
                <w:w w:val="99"/>
              </w:rPr>
              <w:t>31,547,475</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99"/>
              </w:rPr>
              <w:t>11,688,306</w:t>
            </w:r>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7,792,204</w:t>
            </w:r>
          </w:p>
        </w:tc>
        <w:tc>
          <w:tcPr>
            <w:tcW w:w="136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6"/>
                <w:szCs w:val="16"/>
                <w:color w:val="auto"/>
              </w:rPr>
              <w:t>9,740,255</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9,678,975</w:t>
            </w:r>
          </w:p>
        </w:tc>
        <w:tc>
          <w:tcPr>
            <w:tcW w:w="11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9.99%</w:t>
            </w: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Armistice Capital Master Fund Ltd. (9)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24,134,626</w:t>
            </w:r>
          </w:p>
        </w:tc>
        <w:tc>
          <w:tcPr>
            <w:tcW w:w="840" w:type="dxa"/>
            <w:vAlign w:val="bottom"/>
          </w:tcPr>
          <w:p>
            <w:pPr>
              <w:jc w:val="right"/>
              <w:spacing w:after="0"/>
              <w:rPr>
                <w:sz w:val="20"/>
                <w:szCs w:val="20"/>
                <w:color w:val="auto"/>
              </w:rPr>
            </w:pPr>
            <w:r>
              <w:rPr>
                <w:rFonts w:ascii="Arial" w:cs="Arial" w:eastAsia="Arial" w:hAnsi="Arial"/>
                <w:sz w:val="16"/>
                <w:szCs w:val="16"/>
                <w:color w:val="auto"/>
              </w:rPr>
              <w:t>9,610,770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6,407,180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8,008,975</w:t>
            </w:r>
          </w:p>
        </w:tc>
        <w:tc>
          <w:tcPr>
            <w:tcW w:w="740" w:type="dxa"/>
            <w:vAlign w:val="bottom"/>
          </w:tcPr>
          <w:p>
            <w:pPr>
              <w:jc w:val="right"/>
              <w:spacing w:after="0"/>
              <w:rPr>
                <w:sz w:val="20"/>
                <w:szCs w:val="20"/>
                <w:color w:val="auto"/>
              </w:rPr>
            </w:pPr>
            <w:r>
              <w:rPr>
                <w:rFonts w:ascii="Arial" w:cs="Arial" w:eastAsia="Arial" w:hAnsi="Arial"/>
                <w:sz w:val="16"/>
                <w:szCs w:val="16"/>
                <w:color w:val="auto"/>
              </w:rPr>
              <w:t>107,701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JDRF T1D Fund, LLC (10)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5,411,250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1,443,000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1,803,750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Sanofi Research Invest LLC</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4,074,900</w:t>
            </w:r>
          </w:p>
        </w:tc>
        <w:tc>
          <w:tcPr>
            <w:tcW w:w="840" w:type="dxa"/>
            <w:vAlign w:val="bottom"/>
          </w:tcPr>
          <w:p>
            <w:pPr>
              <w:jc w:val="right"/>
              <w:spacing w:after="0"/>
              <w:rPr>
                <w:sz w:val="20"/>
                <w:szCs w:val="20"/>
                <w:color w:val="auto"/>
              </w:rPr>
            </w:pPr>
            <w:r>
              <w:rPr>
                <w:rFonts w:ascii="Arial" w:cs="Arial" w:eastAsia="Arial" w:hAnsi="Arial"/>
                <w:sz w:val="16"/>
                <w:szCs w:val="16"/>
                <w:color w:val="auto"/>
              </w:rPr>
              <w:t>1,629,960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1,086,640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1,358,300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Shalom Auerbach (11)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1,948,050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519,480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649,350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Entities affiliated with Steven Berger (12)</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1,667,475</w:t>
            </w:r>
          </w:p>
        </w:tc>
        <w:tc>
          <w:tcPr>
            <w:tcW w:w="840" w:type="dxa"/>
            <w:vAlign w:val="bottom"/>
          </w:tcPr>
          <w:p>
            <w:pPr>
              <w:jc w:val="right"/>
              <w:spacing w:after="0"/>
              <w:rPr>
                <w:sz w:val="20"/>
                <w:szCs w:val="20"/>
                <w:color w:val="auto"/>
              </w:rPr>
            </w:pPr>
            <w:r>
              <w:rPr>
                <w:rFonts w:ascii="Arial" w:cs="Arial" w:eastAsia="Arial" w:hAnsi="Arial"/>
                <w:sz w:val="16"/>
                <w:szCs w:val="16"/>
                <w:color w:val="auto"/>
              </w:rPr>
              <w:t>649,350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432,900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541,125</w:t>
            </w:r>
          </w:p>
        </w:tc>
        <w:tc>
          <w:tcPr>
            <w:tcW w:w="740" w:type="dxa"/>
            <w:vAlign w:val="bottom"/>
          </w:tcPr>
          <w:p>
            <w:pPr>
              <w:jc w:val="right"/>
              <w:spacing w:after="0"/>
              <w:rPr>
                <w:sz w:val="20"/>
                <w:szCs w:val="20"/>
                <w:color w:val="auto"/>
              </w:rPr>
            </w:pPr>
            <w:r>
              <w:rPr>
                <w:rFonts w:ascii="Arial" w:cs="Arial" w:eastAsia="Arial" w:hAnsi="Arial"/>
                <w:sz w:val="16"/>
                <w:szCs w:val="16"/>
                <w:color w:val="auto"/>
              </w:rPr>
              <w:t>44,100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Bigger Capital Fund, LP (13)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1,623,375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432,900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541,125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Entities affiliated with Thomas A.Satterfield, Jr. (14)</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1,128,218</w:t>
            </w:r>
          </w:p>
        </w:tc>
        <w:tc>
          <w:tcPr>
            <w:tcW w:w="840" w:type="dxa"/>
            <w:vAlign w:val="bottom"/>
          </w:tcPr>
          <w:p>
            <w:pPr>
              <w:jc w:val="right"/>
              <w:spacing w:after="0"/>
              <w:rPr>
                <w:sz w:val="20"/>
                <w:szCs w:val="20"/>
                <w:color w:val="auto"/>
              </w:rPr>
            </w:pPr>
            <w:r>
              <w:rPr>
                <w:rFonts w:ascii="Arial" w:cs="Arial" w:eastAsia="Arial" w:hAnsi="Arial"/>
                <w:sz w:val="16"/>
                <w:szCs w:val="16"/>
                <w:color w:val="auto"/>
              </w:rPr>
              <w:t>281,382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187,588</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234,485</w:t>
            </w:r>
          </w:p>
        </w:tc>
        <w:tc>
          <w:tcPr>
            <w:tcW w:w="740" w:type="dxa"/>
            <w:vAlign w:val="bottom"/>
          </w:tcPr>
          <w:p>
            <w:pPr>
              <w:jc w:val="right"/>
              <w:spacing w:after="0"/>
              <w:rPr>
                <w:sz w:val="20"/>
                <w:szCs w:val="20"/>
                <w:color w:val="auto"/>
              </w:rPr>
            </w:pPr>
            <w:r>
              <w:rPr>
                <w:rFonts w:ascii="Arial" w:cs="Arial" w:eastAsia="Arial" w:hAnsi="Arial"/>
                <w:sz w:val="16"/>
                <w:szCs w:val="16"/>
                <w:color w:val="auto"/>
              </w:rPr>
              <w:t>424,763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Shaf QIC, LLC (15)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1,082,250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288,600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360,750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Marcia Kent Spousal Lifetime Access TR DTD 12/24/12 (16)</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749,860</w:t>
            </w:r>
          </w:p>
        </w:tc>
        <w:tc>
          <w:tcPr>
            <w:tcW w:w="840" w:type="dxa"/>
            <w:vAlign w:val="bottom"/>
          </w:tcPr>
          <w:p>
            <w:pPr>
              <w:jc w:val="right"/>
              <w:spacing w:after="0"/>
              <w:rPr>
                <w:sz w:val="20"/>
                <w:szCs w:val="20"/>
                <w:color w:val="auto"/>
              </w:rPr>
            </w:pPr>
            <w:r>
              <w:rPr>
                <w:rFonts w:ascii="Arial" w:cs="Arial" w:eastAsia="Arial" w:hAnsi="Arial"/>
                <w:sz w:val="16"/>
                <w:szCs w:val="16"/>
                <w:color w:val="auto"/>
              </w:rPr>
              <w:t>259,740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173,160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216,450</w:t>
            </w:r>
          </w:p>
        </w:tc>
        <w:tc>
          <w:tcPr>
            <w:tcW w:w="740" w:type="dxa"/>
            <w:vAlign w:val="bottom"/>
          </w:tcPr>
          <w:p>
            <w:pPr>
              <w:jc w:val="right"/>
              <w:spacing w:after="0"/>
              <w:rPr>
                <w:sz w:val="20"/>
                <w:szCs w:val="20"/>
                <w:color w:val="auto"/>
              </w:rPr>
            </w:pPr>
            <w:r>
              <w:rPr>
                <w:rFonts w:ascii="Arial" w:cs="Arial" w:eastAsia="Arial" w:hAnsi="Arial"/>
                <w:sz w:val="16"/>
                <w:szCs w:val="16"/>
                <w:color w:val="auto"/>
              </w:rPr>
              <w:t>100,510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Nico P. Pronk (17)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742,969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144,300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180,375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District 2 Capital Fund LP (18)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649,350</w:t>
            </w:r>
          </w:p>
        </w:tc>
        <w:tc>
          <w:tcPr>
            <w:tcW w:w="840" w:type="dxa"/>
            <w:vAlign w:val="bottom"/>
          </w:tcPr>
          <w:p>
            <w:pPr>
              <w:jc w:val="right"/>
              <w:spacing w:after="0"/>
              <w:rPr>
                <w:sz w:val="20"/>
                <w:szCs w:val="20"/>
                <w:color w:val="auto"/>
              </w:rPr>
            </w:pPr>
            <w:r>
              <w:rPr>
                <w:rFonts w:ascii="Arial" w:cs="Arial" w:eastAsia="Arial" w:hAnsi="Arial"/>
                <w:sz w:val="16"/>
                <w:szCs w:val="16"/>
                <w:color w:val="auto"/>
              </w:rPr>
              <w:t>259,740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173,160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216,450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Blu-G Nevada Par Equity LLC dba BGN Investing 1 (19)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567,236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144,300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180,375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Surfside Angels LLC (20)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432,900</w:t>
            </w:r>
          </w:p>
        </w:tc>
        <w:tc>
          <w:tcPr>
            <w:tcW w:w="840" w:type="dxa"/>
            <w:vAlign w:val="bottom"/>
          </w:tcPr>
          <w:p>
            <w:pPr>
              <w:jc w:val="right"/>
              <w:spacing w:after="0"/>
              <w:rPr>
                <w:sz w:val="20"/>
                <w:szCs w:val="20"/>
                <w:color w:val="auto"/>
              </w:rPr>
            </w:pPr>
            <w:r>
              <w:rPr>
                <w:rFonts w:ascii="Arial" w:cs="Arial" w:eastAsia="Arial" w:hAnsi="Arial"/>
                <w:sz w:val="16"/>
                <w:szCs w:val="16"/>
                <w:color w:val="auto"/>
              </w:rPr>
              <w:t>173,160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115,440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144,300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Diana Fernandez (21)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360,550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108,225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JMAG 2602 LLC (22)</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358,102</w:t>
            </w:r>
          </w:p>
        </w:tc>
        <w:tc>
          <w:tcPr>
            <w:tcW w:w="840" w:type="dxa"/>
            <w:vAlign w:val="bottom"/>
          </w:tcPr>
          <w:p>
            <w:pPr>
              <w:jc w:val="right"/>
              <w:spacing w:after="0"/>
              <w:rPr>
                <w:sz w:val="20"/>
                <w:szCs w:val="20"/>
                <w:color w:val="auto"/>
              </w:rPr>
            </w:pPr>
            <w:r>
              <w:rPr>
                <w:rFonts w:ascii="Arial" w:cs="Arial" w:eastAsia="Arial" w:hAnsi="Arial"/>
                <w:sz w:val="16"/>
                <w:szCs w:val="16"/>
                <w:color w:val="auto"/>
              </w:rPr>
              <w:t>129,870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86,580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108,225</w:t>
            </w:r>
          </w:p>
        </w:tc>
        <w:tc>
          <w:tcPr>
            <w:tcW w:w="740" w:type="dxa"/>
            <w:vAlign w:val="bottom"/>
          </w:tcPr>
          <w:p>
            <w:pPr>
              <w:jc w:val="right"/>
              <w:spacing w:after="0"/>
              <w:rPr>
                <w:sz w:val="20"/>
                <w:szCs w:val="20"/>
                <w:color w:val="auto"/>
              </w:rPr>
            </w:pPr>
            <w:r>
              <w:rPr>
                <w:rFonts w:ascii="Arial" w:cs="Arial" w:eastAsia="Arial" w:hAnsi="Arial"/>
                <w:sz w:val="16"/>
                <w:szCs w:val="16"/>
                <w:color w:val="auto"/>
              </w:rPr>
              <w:t>33,427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19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The Cornelis F. Wit Revocable Living Trust, Cornelis F Wit, Trustee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(23)</w:t>
            </w:r>
          </w:p>
        </w:tc>
        <w:tc>
          <w:tcPr>
            <w:tcW w:w="2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317,980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202"/>
        </w:trPr>
        <w:tc>
          <w:tcPr>
            <w:tcW w:w="4740" w:type="dxa"/>
            <w:vAlign w:val="bottom"/>
            <w:gridSpan w:val="2"/>
          </w:tcPr>
          <w:p>
            <w:pPr>
              <w:spacing w:after="0"/>
              <w:rPr>
                <w:sz w:val="20"/>
                <w:szCs w:val="20"/>
                <w:color w:val="auto"/>
              </w:rPr>
            </w:pPr>
            <w:r>
              <w:rPr>
                <w:rFonts w:ascii="Arial" w:cs="Arial" w:eastAsia="Arial" w:hAnsi="Arial"/>
                <w:sz w:val="16"/>
                <w:szCs w:val="16"/>
                <w:color w:val="auto"/>
              </w:rPr>
              <w:t>The Rohlinger Family Living Trust 2/14/2008 (24)</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292,601</w:t>
            </w:r>
          </w:p>
        </w:tc>
        <w:tc>
          <w:tcPr>
            <w:tcW w:w="840" w:type="dxa"/>
            <w:vAlign w:val="bottom"/>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tcPr>
          <w:p>
            <w:pPr>
              <w:jc w:val="right"/>
              <w:spacing w:after="0"/>
              <w:rPr>
                <w:sz w:val="20"/>
                <w:szCs w:val="20"/>
                <w:color w:val="auto"/>
              </w:rPr>
            </w:pPr>
            <w:r>
              <w:rPr>
                <w:rFonts w:ascii="Arial" w:cs="Arial" w:eastAsia="Arial" w:hAnsi="Arial"/>
                <w:sz w:val="16"/>
                <w:szCs w:val="16"/>
                <w:color w:val="auto"/>
              </w:rPr>
              <w:t>76,151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Nathan Snyder (25)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259,308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193"/>
        </w:trPr>
        <w:tc>
          <w:tcPr>
            <w:tcW w:w="4740" w:type="dxa"/>
            <w:vAlign w:val="bottom"/>
            <w:gridSpan w:val="2"/>
          </w:tcPr>
          <w:p>
            <w:pPr>
              <w:spacing w:after="0"/>
              <w:rPr>
                <w:sz w:val="20"/>
                <w:szCs w:val="20"/>
                <w:color w:val="auto"/>
              </w:rPr>
            </w:pPr>
            <w:r>
              <w:rPr>
                <w:rFonts w:ascii="Arial" w:cs="Arial" w:eastAsia="Arial" w:hAnsi="Arial"/>
                <w:sz w:val="16"/>
                <w:szCs w:val="16"/>
                <w:color w:val="auto"/>
              </w:rPr>
              <w:t>Ivonne Maria Letschert Declaration of Revocable Living Trust of</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4740" w:type="dxa"/>
            <w:vAlign w:val="bottom"/>
            <w:gridSpan w:val="2"/>
          </w:tcPr>
          <w:p>
            <w:pPr>
              <w:ind w:left="160"/>
              <w:spacing w:after="0"/>
              <w:rPr>
                <w:sz w:val="20"/>
                <w:szCs w:val="20"/>
                <w:color w:val="auto"/>
              </w:rPr>
            </w:pPr>
            <w:r>
              <w:rPr>
                <w:rFonts w:ascii="Arial" w:cs="Arial" w:eastAsia="Arial" w:hAnsi="Arial"/>
                <w:sz w:val="16"/>
                <w:szCs w:val="16"/>
                <w:color w:val="auto"/>
              </w:rPr>
              <w:t>Ivonne Letschert (26)</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249,973</w:t>
            </w:r>
          </w:p>
        </w:tc>
        <w:tc>
          <w:tcPr>
            <w:tcW w:w="840" w:type="dxa"/>
            <w:vAlign w:val="bottom"/>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tcPr>
          <w:p>
            <w:pPr>
              <w:jc w:val="right"/>
              <w:spacing w:after="0"/>
              <w:rPr>
                <w:sz w:val="20"/>
                <w:szCs w:val="20"/>
                <w:color w:val="auto"/>
              </w:rPr>
            </w:pPr>
            <w:r>
              <w:rPr>
                <w:rFonts w:ascii="Arial" w:cs="Arial" w:eastAsia="Arial" w:hAnsi="Arial"/>
                <w:sz w:val="16"/>
                <w:szCs w:val="16"/>
                <w:color w:val="auto"/>
              </w:rPr>
              <w:t>33,523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05"/>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Deschutes I, LP (27)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239,766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Hans J.J. Bos (28)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238,824</w:t>
            </w:r>
          </w:p>
        </w:tc>
        <w:tc>
          <w:tcPr>
            <w:tcW w:w="840" w:type="dxa"/>
            <w:vAlign w:val="bottom"/>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tcPr>
          <w:p>
            <w:pPr>
              <w:jc w:val="right"/>
              <w:spacing w:after="0"/>
              <w:rPr>
                <w:sz w:val="20"/>
                <w:szCs w:val="20"/>
                <w:color w:val="auto"/>
              </w:rPr>
            </w:pPr>
            <w:r>
              <w:rPr>
                <w:rFonts w:ascii="Arial" w:cs="Arial" w:eastAsia="Arial" w:hAnsi="Arial"/>
                <w:sz w:val="16"/>
                <w:szCs w:val="16"/>
                <w:color w:val="auto"/>
              </w:rPr>
              <w:t>22,374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TJ Brown Living Trust (29)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234,692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Adam Kent (30)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224,550</w:t>
            </w:r>
          </w:p>
        </w:tc>
        <w:tc>
          <w:tcPr>
            <w:tcW w:w="840" w:type="dxa"/>
            <w:vAlign w:val="bottom"/>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tcPr>
          <w:p>
            <w:pPr>
              <w:jc w:val="right"/>
              <w:spacing w:after="0"/>
              <w:rPr>
                <w:sz w:val="20"/>
                <w:szCs w:val="20"/>
                <w:color w:val="auto"/>
              </w:rPr>
            </w:pPr>
            <w:r>
              <w:rPr>
                <w:rFonts w:ascii="Arial" w:cs="Arial" w:eastAsia="Arial" w:hAnsi="Arial"/>
                <w:sz w:val="16"/>
                <w:szCs w:val="16"/>
                <w:color w:val="auto"/>
              </w:rPr>
              <w:t>8,100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Nathan W. Cali (31)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219,527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24,232</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30,290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26"/>
        </w:trPr>
        <w:tc>
          <w:tcPr>
            <w:tcW w:w="4740" w:type="dxa"/>
            <w:vAlign w:val="bottom"/>
            <w:gridSpan w:val="2"/>
          </w:tcPr>
          <w:p>
            <w:pPr>
              <w:spacing w:after="0"/>
              <w:rPr>
                <w:sz w:val="20"/>
                <w:szCs w:val="20"/>
                <w:color w:val="auto"/>
              </w:rPr>
            </w:pPr>
            <w:r>
              <w:rPr>
                <w:rFonts w:ascii="Arial" w:cs="Arial" w:eastAsia="Arial" w:hAnsi="Arial"/>
                <w:sz w:val="16"/>
                <w:szCs w:val="16"/>
                <w:color w:val="auto"/>
              </w:rPr>
              <w:t>Richard Friedman 2008 Revocable Trust (32)</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216,450</w:t>
            </w:r>
          </w:p>
        </w:tc>
        <w:tc>
          <w:tcPr>
            <w:tcW w:w="840" w:type="dxa"/>
            <w:vAlign w:val="bottom"/>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19"/>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Zakharyayev</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216,450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72,150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6"/>
                <w:szCs w:val="16"/>
                <w:color w:val="auto"/>
              </w:rPr>
              <w:t>Christopher B. Warren (33)</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152,444</w:t>
            </w:r>
          </w:p>
        </w:tc>
        <w:tc>
          <w:tcPr>
            <w:tcW w:w="840" w:type="dxa"/>
            <w:vAlign w:val="bottom"/>
          </w:tcPr>
          <w:p>
            <w:pPr>
              <w:jc w:val="right"/>
              <w:spacing w:after="0"/>
              <w:rPr>
                <w:sz w:val="20"/>
                <w:szCs w:val="20"/>
                <w:color w:val="auto"/>
              </w:rPr>
            </w:pPr>
            <w:r>
              <w:rPr>
                <w:rFonts w:ascii="Arial" w:cs="Arial" w:eastAsia="Arial" w:hAnsi="Arial"/>
                <w:sz w:val="16"/>
                <w:szCs w:val="16"/>
                <w:color w:val="auto"/>
              </w:rPr>
              <w:t>43,290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28,860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36,075</w:t>
            </w:r>
          </w:p>
        </w:tc>
        <w:tc>
          <w:tcPr>
            <w:tcW w:w="740" w:type="dxa"/>
            <w:vAlign w:val="bottom"/>
          </w:tcPr>
          <w:p>
            <w:pPr>
              <w:jc w:val="right"/>
              <w:spacing w:after="0"/>
              <w:rPr>
                <w:sz w:val="20"/>
                <w:szCs w:val="20"/>
                <w:color w:val="auto"/>
              </w:rPr>
            </w:pPr>
            <w:r>
              <w:rPr>
                <w:rFonts w:ascii="Arial" w:cs="Arial" w:eastAsia="Arial" w:hAnsi="Arial"/>
                <w:sz w:val="16"/>
                <w:szCs w:val="16"/>
                <w:color w:val="auto"/>
              </w:rPr>
              <w:t>44,219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Blu-B Nevada Par Equity LLC dba BBN Investing 1 (34)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108,225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28,860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36,075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6"/>
                <w:szCs w:val="16"/>
                <w:color w:val="auto"/>
              </w:rPr>
              <w:t>Erica Kent (35)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108,225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28,860</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36,075</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03"/>
        </w:trPr>
        <w:tc>
          <w:tcPr>
            <w:tcW w:w="47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TOTAL:</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30,303,036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20,202,024</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25,252,530</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60" w:hanging="44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than one percent (1%) of the Company’s outstanding common stock.</w:t>
      </w:r>
    </w:p>
    <w:p>
      <w:pPr>
        <w:spacing w:after="0" w:line="23" w:lineRule="exact"/>
        <w:rPr>
          <w:sz w:val="20"/>
          <w:szCs w:val="20"/>
          <w:color w:val="auto"/>
        </w:rPr>
      </w:pPr>
    </w:p>
    <w:p>
      <w:pPr>
        <w:ind w:left="560" w:right="800" w:hanging="444"/>
        <w:spacing w:after="0" w:line="260"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required, information about other selling stockholders, except for any future transferees, pledgees, donees or successors of the Selling Stockholders named in the table above, will be set forth in a prospectus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675"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760"/>
        <w:spacing w:after="0" w:line="255" w:lineRule="auto"/>
        <w:rPr>
          <w:sz w:val="20"/>
          <w:szCs w:val="20"/>
          <w:color w:val="auto"/>
        </w:rPr>
      </w:pPr>
      <w:r>
        <w:rPr>
          <w:rFonts w:ascii="Arial" w:cs="Arial" w:eastAsia="Arial" w:hAnsi="Arial"/>
          <w:sz w:val="18"/>
          <w:szCs w:val="18"/>
          <w:color w:val="auto"/>
        </w:rPr>
        <w:t>supplement or amendment to the registration statement of which this prospectus is a part. Additionally, post-effective amendments to the registration statement will be filed to disclose any material changes to the plan of distribution from the description contained in the final prospectus.</w:t>
      </w:r>
    </w:p>
    <w:p>
      <w:pPr>
        <w:spacing w:after="0" w:line="3" w:lineRule="exact"/>
        <w:rPr>
          <w:sz w:val="20"/>
          <w:szCs w:val="20"/>
          <w:color w:val="auto"/>
        </w:rPr>
      </w:pPr>
    </w:p>
    <w:p>
      <w:pPr>
        <w:ind w:left="560" w:right="300" w:hanging="444"/>
        <w:spacing w:after="0" w:line="28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the maximum number of Shares of common stock being offered pursuant to this prospectus by each applicable Selling Stockholder and, if applicable, any other shares of Eledon common stock beneficially owned by such Selling Stockholder as of May 17, 2023.</w:t>
      </w:r>
    </w:p>
    <w:p>
      <w:pPr>
        <w:spacing w:after="0" w:line="1" w:lineRule="exact"/>
        <w:rPr>
          <w:rFonts w:ascii="Arial" w:cs="Arial" w:eastAsia="Arial" w:hAnsi="Arial"/>
          <w:sz w:val="16"/>
          <w:szCs w:val="16"/>
          <w:color w:val="auto"/>
        </w:rPr>
      </w:pPr>
    </w:p>
    <w:p>
      <w:pPr>
        <w:ind w:left="560" w:hanging="444"/>
        <w:spacing w:after="0" w:line="28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maximum Shares of common stock being offered pursuant to this prospectus by the Selling Stockholders consists of the number of shares of common stock issued or issuable to the Selling Stockholder pursuant to the Purchase Agreement, assuming that (i) all Pre-Funded Warrants and Common Warrants issued and issuable under the Purchase Agreement were exercised in full, and (ii) all shares issuable to the Selling Stockholders in subsequent closings upon the satisfaction of specified conditions set forth in the Purchase Agreement (or upon the exercise of Pre-Funded Warrants issued in such closings) had been issued, in each case as of the trading day immediately preceding such date and without regard to any applicable beneficial ownership limitations under the Pre-Funded Warrants, Common Warrants or Purchase Agreement.</w:t>
      </w:r>
    </w:p>
    <w:p>
      <w:pPr>
        <w:spacing w:after="0" w:line="3" w:lineRule="exact"/>
        <w:rPr>
          <w:rFonts w:ascii="Arial" w:cs="Arial" w:eastAsia="Arial" w:hAnsi="Arial"/>
          <w:sz w:val="16"/>
          <w:szCs w:val="16"/>
          <w:color w:val="auto"/>
        </w:rPr>
      </w:pPr>
    </w:p>
    <w:p>
      <w:pPr>
        <w:ind w:left="560" w:right="260" w:hanging="444"/>
        <w:spacing w:after="0" w:line="28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the shares of common stock issued to the Selling Stockholders at the initial closing under the Purchase Agreement and the shares of common stock issuable upon exercise of the Pre-Funded Warrants and Common Warrants issued to the Selling Stockholders at such closing.</w:t>
      </w:r>
    </w:p>
    <w:p>
      <w:pPr>
        <w:spacing w:after="0" w:line="1" w:lineRule="exact"/>
        <w:rPr>
          <w:rFonts w:ascii="Arial" w:cs="Arial" w:eastAsia="Arial" w:hAnsi="Arial"/>
          <w:sz w:val="16"/>
          <w:szCs w:val="16"/>
          <w:color w:val="auto"/>
        </w:rPr>
      </w:pPr>
    </w:p>
    <w:p>
      <w:pPr>
        <w:ind w:left="560" w:right="220" w:hanging="444"/>
        <w:spacing w:after="0" w:line="250"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the shares of common stock issuable to the Selling Stockholders in a second closing upon the satisfaction of specified conditions set forth in the Purchase Agreement (or upon the exercise of Pre-Funded Warrants issued in such closing).</w:t>
      </w:r>
    </w:p>
    <w:p>
      <w:pPr>
        <w:ind w:left="560" w:right="380" w:hanging="444"/>
        <w:spacing w:after="0" w:line="250"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the shares of common stock issuable to the Selling Stockholders in a third closing upon the satisfaction of specified conditions set forth in the Purchase Agreement (or upon the exercise of Pre-Funded Warrants issued in such closing).</w:t>
      </w:r>
    </w:p>
    <w:p>
      <w:pPr>
        <w:ind w:left="560" w:right="100" w:hanging="444"/>
        <w:spacing w:after="0" w:line="265"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Assumes the sale of all of the Shares offered by the Selling Stockholders pursuant to this prospectus without regard to any beneficial ownership limitations applicable to the ownership of such Shares and that the Selling Stockholders buy or sell no additional shares of common stock prior to the completion of the offering. The beneficial ownership numbers and percentages give effect to the impact of any beneficial ownership limitations applicable to any other securities owned by the Selling Stockholders as described in the footnotes herein.</w:t>
      </w:r>
    </w:p>
    <w:p>
      <w:pPr>
        <w:ind w:left="560" w:right="40" w:hanging="444"/>
        <w:spacing w:after="0" w:line="284"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shares of common stock being offered pursuant to this prospectus consists of the following: (i) an aggregate of 15,420,450 shares of common stock being offered pursuant to this prospectus by Biotechnology Value Fund, L.P. (“BVF”), (ii) an aggregate of 12,231,045 shares of common stock being offered pursuant to this prospectus by Biotechnology Value Fund II, L.P. (“BVF2”), (iii) an aggregate of 1,261,455 shares of common stock being offered pursuant to this prospectus by Biotechnology Value Trading Fund OS LP (“Trading Fund OS”), and (iv) an aggregate of 307,815 shares of common stock being offered pursuant to this prospectus by MSI BVF SPV, LLC (“MSI BVF” and, together with BVF, BVF2 and Trading Fund OS, the “BVF Stockholders”), without regard to any beneficial ownership limitations applicable to the ownership of such Shares. Based on information provided to the Company by the Selling Stockholder and information provided in a Schedule 13G/A filed by BVF on January 28, 2022, the number of shares of common stock in the columns “Shares of Common Stock Owned Prior to the Offering” and “Shares of Common Stock Owned After Offering” also include the following: (i) 1,274,973 shares of common stock held by BVF, (ii) 975,412 shares of common stock held by BVF2, (iii) 58,688 shares of common stock held by Trading Fund OS, and (iv) 17,637 shares of common stock held in a certain Partners Managed Account through MSI BVF (the “Partners Managed Account”).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in the aggregate by Trading Fund OS. BVF GP Holdings LLC (“BVF GPH”), as the sole member of each of BVF GP and BVF2 GP, may be deemed to beneficially own the shares beneficially owned in the aggregate by BVF and BVF2. BVF Partners L.P. (“Partners”), as the investment manager of BVF, BVF2, Trading Fund OS and MSI BVF, and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67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66" w:lineRule="auto"/>
        <w:rPr>
          <w:sz w:val="20"/>
          <w:szCs w:val="20"/>
          <w:color w:val="auto"/>
        </w:rPr>
      </w:pPr>
      <w:r>
        <w:rPr>
          <w:rFonts w:ascii="Arial" w:cs="Arial" w:eastAsia="Arial" w:hAnsi="Arial"/>
          <w:sz w:val="17"/>
          <w:szCs w:val="17"/>
          <w:color w:val="auto"/>
        </w:rPr>
        <w:t>the sole member of Partners OS, may be deemed to beneficially own the shares beneficially owned in the aggregate by BVF, BVF2, Trading Fund OS and held in the Partners Managed Account. BVF Inc., as the general partner of Partners, may be deemed to beneficially own the shares beneficially owned by Partners. Mark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held in the Partners Managed Account. The shares reported under “Shares of Common Stock Owned Prior to Offering” in the table do not include shares of common stock issuable upon conversion of convertible preferred stock and certain warrants held by certain of the foregoing entities. Such convertible preferred stock and warrants are each subject to a beneficial ownership limitation of 9.99%, which does not permit the foregoing entities to convert or exercise that portion of the convertible preferred stock or warrants, as applicable, that would result in the entities owning, after conversion or exercise, a number of shares of common stock in excess of the beneficial ownership limitation. The shares of common stock issuable upon conversion of such convertible preferred stock and warrants are included under “Shares of Common Stock Owned After Offering” to the extent such shares do not exceed the 9.99% beneficial ownership limitation.</w:t>
      </w:r>
    </w:p>
    <w:p>
      <w:pPr>
        <w:spacing w:after="0" w:line="5" w:lineRule="exact"/>
        <w:rPr>
          <w:sz w:val="20"/>
          <w:szCs w:val="20"/>
          <w:color w:val="auto"/>
        </w:rPr>
      </w:pPr>
    </w:p>
    <w:p>
      <w:pPr>
        <w:ind w:left="560" w:right="160" w:hanging="444"/>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information provided to the Company by the Selling Stockholder, other than the shares of common stock being offered pursuant to this prospectus, the Selling Stockholder beneficially owns 107,701 shares of common stock that may be acquired upon exercise of common stock warrants previously issued to the Selling Stockholder. Armistice Capital, LLC (“Armistice Capital”), as the investment manager of the Master Fund, and Steven Boyd, as the Managing Member of Armistice Capital, may be deemed to beneficially own the shares owned by the Selling Stockholder. Armistice Capital and Steven Boyd disclaim beneficial ownership of the securities except to the extent of their respective pecuniary interests therein. The warrants are subject to a beneficial ownership limitation of 4.99%, which 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1" w:lineRule="exact"/>
        <w:rPr>
          <w:rFonts w:ascii="Arial" w:cs="Arial" w:eastAsia="Arial" w:hAnsi="Arial"/>
          <w:sz w:val="17"/>
          <w:szCs w:val="17"/>
          <w:color w:val="auto"/>
        </w:rPr>
      </w:pPr>
    </w:p>
    <w:p>
      <w:pPr>
        <w:ind w:left="560" w:right="60" w:hanging="444"/>
        <w:spacing w:after="0" w:line="250"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Steven St. Peter may be deemed to beneficially own the shares owned by the Selling Stockholder.</w:t>
      </w:r>
    </w:p>
    <w:p>
      <w:pPr>
        <w:ind w:left="560" w:right="60" w:hanging="444"/>
        <w:spacing w:after="0" w:line="250"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(i) an aggregate of 1,406,925 shares of common stock being offered pursuant to this prospectus by Newco DE 22 Inc. and (ii) an aggregate of 541,125 shares of common stock being offered pursuant to this prospectus by Riverside Investments Group LLC. Based on information provided to the Company by the Selling Stockholders, Shalom Auerbach may be deemed to beneficially own the shares owned by the Selling Stockholders.</w:t>
      </w:r>
    </w:p>
    <w:p>
      <w:pPr>
        <w:spacing w:after="0" w:line="1" w:lineRule="exact"/>
        <w:rPr>
          <w:rFonts w:ascii="Arial" w:cs="Arial" w:eastAsia="Arial" w:hAnsi="Arial"/>
          <w:sz w:val="18"/>
          <w:szCs w:val="18"/>
          <w:color w:val="auto"/>
        </w:rPr>
      </w:pPr>
    </w:p>
    <w:p>
      <w:pPr>
        <w:ind w:left="560" w:right="80" w:hanging="444"/>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of common stock being offered pursuant to this prospectus consists of the following: (i) an aggregate of 541,125 shares of common stock being offered pursuant to this prospectus by PEAS Trust, dtd 12/27/2012, (ii) an aggregate of 541,125 shares of common stock being offered pursuant to this prospectus by SEAS Trust, dtd 12/27/2012 and (iii) an aggregate of 541,125 shares of common stock being offered pursuant to this prospectus by PASE Trust. Based on information provided to the Company by the Selling Stockholders, the number of shares of common stock in the column “Shares of Common Stock Owned Prior to the Offering” includes, and the number of shares of common stock in the column “Shares of Common Stock Owned After Offering” consists of, the following: (i) 22,050 shares of common stock held by PEAS Trust, dtd 12/27/2012 and (ii) 22,050 shares of common stock held by SEAS Trust, dtd 12/27/2012. Steven Berger may be deemed to beneficially own the shares owned by the Selling Stockholders.</w:t>
      </w:r>
    </w:p>
    <w:p>
      <w:pPr>
        <w:spacing w:after="0" w:line="1" w:lineRule="exact"/>
        <w:rPr>
          <w:rFonts w:ascii="Arial" w:cs="Arial" w:eastAsia="Arial" w:hAnsi="Arial"/>
          <w:sz w:val="17"/>
          <w:szCs w:val="17"/>
          <w:color w:val="auto"/>
        </w:rPr>
      </w:pPr>
    </w:p>
    <w:p>
      <w:pPr>
        <w:ind w:left="560" w:right="80" w:hanging="444"/>
        <w:spacing w:after="0" w:line="260"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Michael Bigger may be deemed to beneficially own the shares owned by the Selling Stockholder.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675"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hanging="444"/>
        <w:spacing w:after="0" w:line="267"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of shares of common stock being offered pursuant to this prospectus consists of the following: (i) an aggregate of 432,900 shares of common stock being offered pursuant to this prospectus by AG Family LP, (ii) an aggregate of 162,330 shares of common stock being offered pursuant to this prospectus by Tomsat Investment &amp; Trading and (iii) an aggregate of 108,225 shares of common stock being offered pursuant to this prospectus by Thomas A. Satterfield Rev Trust. Based on information provided to the Company by the Selling Stockholders, the number of shares of common stock in the columns “Shares of Common Stock Owned Prior to the Offering” and “Shares of Common Stock Owned After Offering” also include the following: (i) 165,000 shares of common stock held by AG Family LP, (ii) 48,063 shares of common stock held by Tomsat Investment &amp; Trading and (iii) 27,500 shares of common stock held by Thomas A. Satterfield Rev Trust. Thomas A. Satterfield, Jr. may be deemed to beneficially own the shares owned by the Selling Stockholders.</w:t>
      </w:r>
    </w:p>
    <w:p>
      <w:pPr>
        <w:spacing w:after="0" w:line="2" w:lineRule="exact"/>
        <w:rPr>
          <w:rFonts w:ascii="Arial" w:cs="Arial" w:eastAsia="Arial" w:hAnsi="Arial"/>
          <w:sz w:val="17"/>
          <w:szCs w:val="17"/>
          <w:color w:val="auto"/>
        </w:rPr>
      </w:pPr>
    </w:p>
    <w:p>
      <w:pPr>
        <w:ind w:left="560" w:right="4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Jonathan S. Shafmaster may be deemed to beneficially own the shares owned by the Selling Stockholder.</w:t>
      </w:r>
    </w:p>
    <w:p>
      <w:pPr>
        <w:ind w:left="560" w:right="140" w:hanging="444"/>
        <w:spacing w:after="0" w:line="281"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information provided to the Company by the Selling Stockholder, other than the shares of common stock being offered pursuant to this prospectus, the Selling Stockholder beneficially owns 100,510 shares of common stock. Howard Kent may be deemed to beneficially own the shares owned by the Selling Stockholder. Howard Kent is the father of Selling Stockholders Adam Kent and Erica Kent.</w:t>
      </w:r>
    </w:p>
    <w:p>
      <w:pPr>
        <w:spacing w:after="0" w:line="1" w:lineRule="exact"/>
        <w:rPr>
          <w:rFonts w:ascii="Arial" w:cs="Arial" w:eastAsia="Arial" w:hAnsi="Arial"/>
          <w:sz w:val="16"/>
          <w:szCs w:val="16"/>
          <w:color w:val="auto"/>
        </w:rPr>
      </w:pPr>
    </w:p>
    <w:p>
      <w:pPr>
        <w:jc w:val="both"/>
        <w:ind w:left="560" w:right="10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85,224 shares of common stock and 116,620 shares of common stock that may be acquired upon exercise of a common stock warrant previously issued to the Selling Stockholder.</w:t>
      </w:r>
    </w:p>
    <w:p>
      <w:pPr>
        <w:spacing w:after="0" w:line="1" w:lineRule="exact"/>
        <w:rPr>
          <w:rFonts w:ascii="Arial" w:cs="Arial" w:eastAsia="Arial" w:hAnsi="Arial"/>
          <w:sz w:val="18"/>
          <w:szCs w:val="18"/>
          <w:color w:val="auto"/>
        </w:rPr>
      </w:pPr>
    </w:p>
    <w:p>
      <w:pPr>
        <w:ind w:left="560" w:right="6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Michael Bigger may be deemed to beneficially own the shares owned by the Selling Stockholder.</w:t>
      </w:r>
    </w:p>
    <w:p>
      <w:pPr>
        <w:ind w:left="560" w:right="140" w:hanging="444"/>
        <w:spacing w:after="0" w:line="265"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information provided to the Company by the Selling Stockholder, other than the shares of common stock being offered pursuant to this prospectus, the Selling Stockholder beneficially owns 26,111 shares of common stock. Charles-Edouard Gros, who is the brother of Eledon’s Chief Executive Officer, David-Alexandre Gros, may be deemed to beneficially own the shares owned by the Selling Stockholder.</w:t>
      </w:r>
    </w:p>
    <w:p>
      <w:pPr>
        <w:ind w:left="560" w:right="8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Scher Zalmi Duchman may be deemed to beneficially own the shares owned by the Selling Stockholder.</w:t>
      </w:r>
    </w:p>
    <w:p>
      <w:pPr>
        <w:ind w:left="560" w:right="14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35,875 shares of common stock.</w:t>
      </w:r>
    </w:p>
    <w:p>
      <w:pPr>
        <w:ind w:left="560" w:right="48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Andres E. Garcia may be deemed to beneficially own the shares owned by the Selling Stockholder.</w:t>
      </w:r>
    </w:p>
    <w:p>
      <w:pPr>
        <w:ind w:left="560" w:right="14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101,530 shares of common stock. Cornelis F. Wit may be deemed to beneficially own the shares owned by the Selling Stockholder.</w:t>
      </w:r>
    </w:p>
    <w:p>
      <w:pPr>
        <w:spacing w:after="0" w:line="1" w:lineRule="exact"/>
        <w:rPr>
          <w:rFonts w:ascii="Arial" w:cs="Arial" w:eastAsia="Arial" w:hAnsi="Arial"/>
          <w:sz w:val="18"/>
          <w:szCs w:val="18"/>
          <w:color w:val="auto"/>
        </w:rPr>
      </w:pPr>
    </w:p>
    <w:p>
      <w:pPr>
        <w:jc w:val="both"/>
        <w:ind w:left="560" w:right="12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76,151 shares of common stock. George Rohlinger may be deemed to beneficially own the shares owned by the Selling Stockholder.</w:t>
      </w:r>
    </w:p>
    <w:p>
      <w:pPr>
        <w:spacing w:after="0" w:line="1" w:lineRule="exact"/>
        <w:rPr>
          <w:rFonts w:ascii="Arial" w:cs="Arial" w:eastAsia="Arial" w:hAnsi="Arial"/>
          <w:sz w:val="18"/>
          <w:szCs w:val="18"/>
          <w:color w:val="auto"/>
        </w:rPr>
      </w:pPr>
    </w:p>
    <w:p>
      <w:pPr>
        <w:ind w:left="560" w:right="140" w:hanging="444"/>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42,858 shares of common stock.</w:t>
      </w:r>
    </w:p>
    <w:p>
      <w:pPr>
        <w:jc w:val="both"/>
        <w:ind w:left="560" w:right="140" w:hanging="444"/>
        <w:spacing w:after="0" w:line="255"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33,523 shares of common stock. Ivonne Letschert may be deemed to beneficially own the shares owned by the Selling Stockholder.</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380" w:hanging="444"/>
        <w:spacing w:after="0" w:line="269"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information provided to the Company by the Selling Stockholder, the number of shares of common stock in the column “Shares of Common Stock Owned Prior to the Offering” includes, and the number of shares of common stock in the column “Shares of Common Stock Owned After Offering” consists of, 23,316 shares of common stock owned by the Selling Stockholder or its affiliate. Robert J. Levitt may be deemed to beneficially own the shares owned by the Selling Stockholder or its affiliate.</w:t>
      </w:r>
    </w:p>
    <w:p>
      <w:pPr>
        <w:spacing w:after="0" w:line="1" w:lineRule="exact"/>
        <w:rPr>
          <w:rFonts w:ascii="Arial" w:cs="Arial" w:eastAsia="Arial" w:hAnsi="Arial"/>
          <w:sz w:val="17"/>
          <w:szCs w:val="17"/>
          <w:color w:val="auto"/>
        </w:rPr>
      </w:pPr>
    </w:p>
    <w:p>
      <w:pPr>
        <w:ind w:left="560" w:right="10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22,374 shares of common stock.</w:t>
      </w:r>
    </w:p>
    <w:p>
      <w:pPr>
        <w:jc w:val="both"/>
        <w:ind w:left="560" w:right="6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18,242 shares of common stock. Toliver Jackson Brown, Jr. may be deemed to beneficially own the shares owned by the Selling Stockholder.</w:t>
      </w:r>
    </w:p>
    <w:p>
      <w:pPr>
        <w:spacing w:after="0" w:line="1" w:lineRule="exact"/>
        <w:rPr>
          <w:rFonts w:ascii="Arial" w:cs="Arial" w:eastAsia="Arial" w:hAnsi="Arial"/>
          <w:sz w:val="18"/>
          <w:szCs w:val="18"/>
          <w:color w:val="auto"/>
        </w:rPr>
      </w:pPr>
    </w:p>
    <w:p>
      <w:pPr>
        <w:ind w:left="560" w:right="4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8,100 shares of common stock. The Selling Stockholder is the brother of Erica Kent, a Selling Stockholder, and the son of Howard Kent, who may be deemed to beneficially own the shares owned by Selling Stockholder Marcia Kent Spousal Lifetime Access TR DTD 12/24/12.</w:t>
      </w:r>
    </w:p>
    <w:p>
      <w:pPr>
        <w:spacing w:after="0" w:line="1" w:lineRule="exact"/>
        <w:rPr>
          <w:rFonts w:ascii="Arial" w:cs="Arial" w:eastAsia="Arial" w:hAnsi="Arial"/>
          <w:sz w:val="18"/>
          <w:szCs w:val="18"/>
          <w:color w:val="auto"/>
        </w:rPr>
      </w:pPr>
    </w:p>
    <w:p>
      <w:pPr>
        <w:jc w:val="both"/>
        <w:ind w:left="560" w:right="6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15,333 shares of common stock and 113,324 shares of common stock that may be acquired upon exercise of a common stock warrant previously issued to the Selling Stockholder.</w:t>
      </w:r>
    </w:p>
    <w:p>
      <w:pPr>
        <w:spacing w:after="0" w:line="1" w:lineRule="exact"/>
        <w:rPr>
          <w:rFonts w:ascii="Arial" w:cs="Arial" w:eastAsia="Arial" w:hAnsi="Arial"/>
          <w:sz w:val="18"/>
          <w:szCs w:val="18"/>
          <w:color w:val="auto"/>
        </w:rPr>
      </w:pPr>
    </w:p>
    <w:p>
      <w:pPr>
        <w:ind w:left="560" w:right="38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Richard Friedman may be deemed to beneficially own the shares owned by the Selling Stockholder.</w:t>
      </w:r>
    </w:p>
    <w:p>
      <w:pPr>
        <w:ind w:left="560" w:right="10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other than the shares of common stock being offered pursuant to this prospectus, the Selling Stockholder beneficially owns 44,219 shares of common stock.</w:t>
      </w:r>
    </w:p>
    <w:p>
      <w:pPr>
        <w:ind w:left="560" w:right="2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Shlomo Boehm may be deemed to beneficially own the shares owned by the Selling Stockholder.</w:t>
      </w:r>
    </w:p>
    <w:p>
      <w:pPr>
        <w:ind w:left="560" w:right="220" w:hanging="444"/>
        <w:spacing w:after="0" w:line="255"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provided to the Company by the Selling Stockholder, the Selling Stockholder is the sister of Adam Kent, a Selling Stockholder, and the daughter of Howard Kent, who may be deemed to beneficially own the shares owned by Selling Stockholder Marcia Kent Spousal Lifetime Access TR DTD 12/24/12.</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with the Selling Stockholders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April 28, 2023, in connection with the Purchase Agreement, the Company entered into the Registration Rights Agreement with the Selling Stockholders. Pursuant to the Registration Rights Agreement, the Company agreed, among other things, to prepare and file with the SEC a registration statement to register for resale the shares of our common stock issued and issuable to the Selling Stockholders pursuant to the Purchase Agreement and to cause the registration statement to become and remain effective within the time periods specified in the Registration Rights Agreement. We have also agreed, among other things, to indemnify the Selling Stockholders and their officers, directors, members, partners, agents, brokers, investment advisors and employees from certain liabilities and to pay all fees and expenses incident to our performance of or compliance with the Registration Rights Agreement.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September 2020 Stock Purchase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September 14, 2020, Eledon entered into a Stock Purchase Agreement (the “Series X1 Purchase Agreement”) with certain institutional and accredited investors. Pursuant to the Series X1 Purchase Agreement, Eledon sold an aggregate of approximately 199,112 shares of Series X1 non-voting Convertible Preferred Stock (“Series X1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675"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Preferred Stock”) for an aggregate purchase price of approximately $99.1 million. Each share of Series X1 Preferred Stock is convertible into 55.5556 shares of the Company’s common stock; subject to certain limitations, including, that the holder will be prohibited from converting Series X1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X1 Preferred Stock. In addition, on December 23, 2020, following the satisfaction of certain incremental closing conditions, including stockholder approval of the issuance of common stock upon conversion of the Series X1 Preferred Stock and the effective registration of the resale of the common stock with the SEC, Eledon sold an additional 1,004,111 shares of its common stock pursuant to the Series X1 Purchase Agreement for gross proceeds of $9.0 million. Certain of the Selling Stockholders participated as investors in the Series X1 Purchase Agreement transactions described above, including certain of the BVF Stockholders, Surfside Angels LLC, Tomsat Investments &amp; Trading Co., Inc. and District 2 Capital Fund LP.</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Common Stock Exchange Agreements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February 13, 2020, Eledon entered into an exchange agreement with certain of the BVF Stockholders, pursuant to which such stockholders exchanged 210,888 shares of the Company’s common stock for 3,796 shares of newly designated Series X non-voting Convertible Preferred Stock (the “Series X Preferred Stock”). Each share of Series X Preferred Stock is convertible into 55.5556 shares of common stock at the option of the holder at any time; subject to certain limitations, including, that the holder will be prohibited from converting Series X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 Preferred Stock. The Company agreed to reimburse the BVF Stockholders for their expenses in connection with the exchange up to a total of $25,000.</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June 1, 2020 and June 10, 2020, certain of the BVF Stockholders converted a total of 3,285 shares of Series X Preferred Stock into 182,500 shares of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December 2020 Exchange Agreements</w:t>
      </w:r>
    </w:p>
    <w:p>
      <w:pPr>
        <w:spacing w:after="0" w:line="117"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On December 31, 2020, Eledon entered into an exchange agreement with certain stockholders, including the BVF Stockholders, pursuant to which such stockholders exchanged 344,666 shares of the Company’s common stock, for 6,203.98 shares of Series X Preferred Stock.</w:t>
      </w:r>
    </w:p>
    <w:p>
      <w:pPr>
        <w:spacing w:after="0" w:line="38"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 addition, on December 31, 2020, Eledon entered into an exchange agreement with the BVF Stockholders, pursuant to which such stockholders exchanged 509,117 shares of the Company’s common stock for one or more pre-funded warrants to purchase an aggregate of 509,117 shares of the Company’s common stock at a nominal exercise price.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September 2021 Exchange Agreements</w:t>
      </w:r>
    </w:p>
    <w:p>
      <w:pPr>
        <w:spacing w:after="0" w:line="117" w:lineRule="exact"/>
        <w:rPr>
          <w:sz w:val="20"/>
          <w:szCs w:val="20"/>
          <w:color w:val="auto"/>
        </w:rPr>
      </w:pPr>
    </w:p>
    <w:p>
      <w:pPr>
        <w:jc w:val="both"/>
        <w:ind w:left="120" w:right="280"/>
        <w:spacing w:after="0" w:line="279" w:lineRule="auto"/>
        <w:rPr>
          <w:sz w:val="20"/>
          <w:szCs w:val="20"/>
          <w:color w:val="auto"/>
        </w:rPr>
      </w:pPr>
      <w:r>
        <w:rPr>
          <w:rFonts w:ascii="Arial" w:cs="Arial" w:eastAsia="Arial" w:hAnsi="Arial"/>
          <w:sz w:val="17"/>
          <w:szCs w:val="17"/>
          <w:color w:val="auto"/>
        </w:rPr>
        <w:t>On September 21, 2021, Eledon issued warrants exercisable for 298,692 shares of common stock in exchange for warrants exercisable for 5,376.456 shares of Series X1 Preferred Stock previously issued in connection with the Company’s acquisition of Anelixis in September 2021. These Series X1 Preferred Stock warrants were replaced by the Company for the outstanding warrants issued by Anelixis that were not settled upon completion of the merger. Selling Stockholders Nico P. Pronk and Nathan Cali participated in the September 2021 exchanges.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January 2022 Exchange Agreement</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January 11, 2022, Eledon entered into an exchange agreement with the BVF Stockholders, pursuant to which such stockholders exchanged 550,000 shares of the Company’s common stock for 9,899.99 shares of Series X1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Observers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From July 2021 to March 2022, Arman Gupta, an employee of BVF Partners L.P., an affiliate of the BVF Stockholders, served as a non-voting observer on the board of directors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December 2019 to September 2020, Selling Stockholder Nathan Cali served as a non-voting observer of the board of directors of Anelixis.</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675"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Each Selling Stockholder and any of their pledgees, assignees and successors-in-interest may, from time to time, sell any or all of the Shares covered hereby on any of the following markets or exchanges on which our common stock is listed or quoted for trading on the date in question: the NYSE American, the Nasdaq Capital Market, the Nasdaq Global Market, the Nasdaq Global Select Market or the New York Stock Exchange (or any successors to any of the foregoing), or on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67" w:lineRule="exact"/>
        <w:rPr>
          <w:sz w:val="20"/>
          <w:szCs w:val="20"/>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130" w:lineRule="exact"/>
        <w:rPr>
          <w:rFonts w:ascii="Arial" w:cs="Arial" w:eastAsia="Arial" w:hAnsi="Arial"/>
          <w:sz w:val="18"/>
          <w:szCs w:val="18"/>
          <w:color w:val="auto"/>
        </w:rPr>
      </w:pPr>
    </w:p>
    <w:p>
      <w:pPr>
        <w:ind w:left="1100" w:right="42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Stockholders to sell a specified number of such securities at a stipulated price per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The Selling Stockholders may also sell securities under Rule 144 promulgated by the SEC pursuant to the Securities Act, as such rule may be amended or interpreted from time to time, or any similar rule or regulation hereafter adopted by the SEC having substantially the same purpose and effect as such rule (“Rule 144”), or any other exemption from registration under the Securities Act, if available, rather than under this prospectus.</w:t>
      </w:r>
    </w:p>
    <w:p>
      <w:pPr>
        <w:spacing w:after="0" w:line="14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Broker dealers engaged by the Selling Stockholders may arrange for other broker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the sale of the Shares or otherwise, the Selling Stockholders may enter into hedging transactions with broker dealers or other financial institutions, which may in turn engage in short sales of the Shares in the course of hedging the positions they assume. The Selling Stockholders may also sell Shares short and deliver these securities to close out their short positions, or loan or pledge the Shares to broker dealers that in turn may sell such shares. The Selling Stockholders may also enter into option or other transactions with broker dealers or other financial institutions or create one or more derivative securities which require the delivery to such broker dealer or other financial institution of the Shares offered by this prospectus, which securities such broker dealer or other financial institution may resell pursuant to this prospectus (as supplemented or amended to reflect such transaction).</w:t>
      </w:r>
    </w:p>
    <w:p>
      <w:pPr>
        <w:spacing w:after="0" w:line="19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Selling Stockholders and any broker dealers or agents that are involved in selling the Shares may be deemed to be “underwriters” within the meaning of the Securities Act in connection with such sales. In such event,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commissions received by such broker 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Under applicable rules and regulations under the Securities Exchange Act of 1934, as amended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9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agreed to keep this prospectus effective until the date that all Shares covered by this registration statement (i) have been sold, hereunder or pursuant to Rule 144, or (ii) may be sold without volume or manner-of-sale restrictions pursuant to Rule 144 and without the requirement for the Company to be in compliance with the current public information requirement under Rule 144. The resale securities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320" w:top="675" w:right="5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validity of the securities in respect of which this prospectus is being delivered will be passed upon for us by O’Melveny &amp; Myers LLP, Newport Beach, California.</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KMJ Corbin &amp; Company LLP, independent registered public accounting firm, has audited our consolidated financial statements as of and for the years ended December 31, 2022 and 2021, included in our Annual Report on Form 10-K for the year ended December 31, 2022 as set forth in their report (which includes an explanatory paragraph regarding the Company’s ability to continue as a going concern), which is incorporated by reference in this prospectus and elsewhere in the registration statement. Our consolidated financial statements are incorporated by reference in reliance on KMJ Corbin &amp; Company LLP’s report, given on their authority as experts in accounting and auditing.</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w:t>
      </w:r>
    </w:p>
    <w:p>
      <w:pPr>
        <w:spacing w:after="0" w:line="17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filings are available to the public on the Internet, through a database maintained by the SEC at www.sec.gov. We also maintain a website at www.eledon.com.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made with the SEC under Sections 13(a), 13(c), 14, or 15(d) of the Exchange Act subsequent to the date of the registration statement of which this prospectus forms a part and prior to its effectiveness and until the end of any offerings under this prospectus, except for any document or portion thereof deemed to be “furnished” and not filed in accordance with SEC rules:</w:t>
      </w:r>
    </w:p>
    <w:p>
      <w:pPr>
        <w:spacing w:after="0" w:line="83" w:lineRule="exact"/>
        <w:rPr>
          <w:sz w:val="20"/>
          <w:szCs w:val="20"/>
          <w:color w:val="auto"/>
        </w:rPr>
      </w:pPr>
    </w:p>
    <w:p>
      <w:pPr>
        <w:jc w:val="both"/>
        <w:ind w:left="1100" w:right="280" w:hanging="433"/>
        <w:spacing w:after="0" w:line="263"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2022, including the information specifically incorporated by reference into the Annual Report on Form 10-K from our </w:t>
      </w:r>
      <w:hyperlink r:id="rId33">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2023 Annual Meeting of Stockholders filed with the SEC on May 1, 2023;</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2023 filed with the SEC on May 11, 2023;</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35">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dated April 26, 2023;</w:t>
      </w:r>
    </w:p>
    <w:p>
      <w:pPr>
        <w:spacing w:after="0" w:line="158"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63"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37">
        <w:r>
          <w:rPr>
            <w:rFonts w:ascii="Arial" w:cs="Arial" w:eastAsia="Arial" w:hAnsi="Arial"/>
            <w:sz w:val="18"/>
            <w:szCs w:val="18"/>
            <w:u w:val="single" w:color="auto"/>
            <w:color w:val="0000EE"/>
          </w:rPr>
          <w:t>Exhibit 4.5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2020, filed with the SEC on March 31, 2021, as well as any subsequent amendments or reports filed for the purpose of updating such description; and</w:t>
      </w:r>
    </w:p>
    <w:p>
      <w:pPr>
        <w:spacing w:after="0" w:line="89" w:lineRule="exact"/>
        <w:rPr>
          <w:rFonts w:ascii="Arial" w:cs="Arial" w:eastAsia="Arial" w:hAnsi="Arial"/>
          <w:sz w:val="18"/>
          <w:szCs w:val="18"/>
          <w:color w:val="auto"/>
        </w:rPr>
      </w:pPr>
    </w:p>
    <w:p>
      <w:pPr>
        <w:ind w:left="1100" w:right="180" w:hanging="433"/>
        <w:spacing w:after="0" w:line="263"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documents filed by the Company pursuant to Sections 13(a), 13(c), 14 and 15(d) of the Exchange Act, after the date of the original registration statement of which this prospectus forms a part and prior to its effectiveness, provided that all documents “furnished” by the Company to the SEC and not “filed” are not deemed incorporated by reference herein.</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84"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Eledon Pharmaceuticals, Inc., 19900 MacArthur Boulevard, Suite 550, Irvine, California 92612, telephone: (949) 238-8090.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675" w:right="4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1428750</wp:posOffset>
            </wp:positionV>
            <wp:extent cx="2717165" cy="68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717165" cy="685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75,757,590 Shares of Common Stock</w:t>
      </w:r>
    </w:p>
    <w:p>
      <w:pPr>
        <w:spacing w:after="0" w:line="72"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1833245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6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4"/>
    </w:lvl>
  </w:abstractNum>
  <w:abstractNum w:abstractNumId="6">
    <w:nsid w:val="515F007C"/>
    <w:multiLevelType w:val="hybridMultilevel"/>
    <w:lvl w:ilvl="0">
      <w:lvlJc w:val="left"/>
      <w:lvlText w:val="(%1)"/>
      <w:numFmt w:val="decimal"/>
      <w:start w:val="27"/>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e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32" Type="http://schemas.openxmlformats.org/officeDocument/2006/relationships/hyperlink" Target="http://www.sec.gov/ix?doc=/Archives/edgar/data/1404281/000095017023011011/eldn-20221231.htm" TargetMode="External"/><Relationship Id="rId33" Type="http://schemas.openxmlformats.org/officeDocument/2006/relationships/hyperlink" Target="http://www.sec.gov/ix?doc=/Archives/edgar/data/1404281/000095017023016306/eldn-20230501.htm" TargetMode="External"/><Relationship Id="rId34" Type="http://schemas.openxmlformats.org/officeDocument/2006/relationships/hyperlink" Target="http://www.sec.gov/ix?doc=/Archives/edgar/data/1404281/000095017023021372/eldn-20230331.htm" TargetMode="External"/><Relationship Id="rId35" Type="http://schemas.openxmlformats.org/officeDocument/2006/relationships/hyperlink" Target="http://www.sec.gov/ix?doc=/Archives/edgar/data/1404281/000095017023016017/eldn-20230426.htm" TargetMode="External"/><Relationship Id="rId37" Type="http://schemas.openxmlformats.org/officeDocument/2006/relationships/hyperlink" Target="http://www.sec.gov/Archives/edgar/data/1404281/000156459021016828/nvus-ex45_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2023-06-08T15:11:04Z</dcterms:created>
  <dcterms:modified xsi:type="dcterms:W3CDTF">2023-06-08T15:11:04Z</dcterms:modified>
</cp:coreProperties>
</file>