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11, 2020</w:t>
      </w:r>
    </w:p>
    <w:p>
      <w:pPr>
        <w:spacing w:after="0" w:line="31" w:lineRule="exact"/>
        <w:rPr>
          <w:sz w:val="24"/>
          <w:szCs w:val="24"/>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115570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124460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NOVUS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155575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98" w:lineRule="exact"/>
        <w:rPr>
          <w:sz w:val="24"/>
          <w:szCs w:val="24"/>
          <w:color w:val="auto"/>
        </w:rPr>
      </w:pPr>
    </w:p>
    <w:tbl>
      <w:tblPr>
        <w:tblLayout w:type="fixed"/>
        <w:tblInd w:w="1900" w:type="dxa"/>
        <w:tblCellMar>
          <w:top w:w="0" w:type="dxa"/>
          <w:left w:w="0" w:type="dxa"/>
          <w:bottom w:w="0" w:type="dxa"/>
          <w:right w:w="0" w:type="dxa"/>
        </w:tblCellMar>
      </w:tblPr>
      <w:tr>
        <w:trPr>
          <w:trHeight w:val="216"/>
        </w:trPr>
        <w:tc>
          <w:tcPr>
            <w:tcW w:w="588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300" w:type="dxa"/>
            <w:vAlign w:val="bottom"/>
          </w:tcPr>
          <w:p>
            <w:pPr>
              <w:spacing w:after="0"/>
              <w:rPr>
                <w:sz w:val="18"/>
                <w:szCs w:val="18"/>
                <w:color w:val="auto"/>
              </w:rPr>
            </w:pPr>
          </w:p>
        </w:tc>
      </w:tr>
      <w:tr>
        <w:trPr>
          <w:trHeight w:val="214"/>
        </w:trPr>
        <w:tc>
          <w:tcPr>
            <w:tcW w:w="5880" w:type="dxa"/>
            <w:vAlign w:val="bottom"/>
          </w:tcPr>
          <w:p>
            <w:pPr>
              <w:jc w:val="center"/>
              <w:ind w:right="3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00" w:type="dxa"/>
            <w:vAlign w:val="bottom"/>
          </w:tcPr>
          <w:p>
            <w:pPr>
              <w:jc w:val="center"/>
              <w:ind w:left="82"/>
              <w:spacing w:after="0"/>
              <w:rPr>
                <w:sz w:val="20"/>
                <w:szCs w:val="20"/>
                <w:color w:val="auto"/>
              </w:rPr>
            </w:pPr>
            <w:r>
              <w:rPr>
                <w:rFonts w:ascii="Times New Roman" w:cs="Times New Roman" w:eastAsia="Times New Roman" w:hAnsi="Times New Roman"/>
                <w:sz w:val="18"/>
                <w:szCs w:val="18"/>
                <w:b w:val="1"/>
                <w:bCs w:val="1"/>
                <w:color w:val="auto"/>
                <w:w w:val="98"/>
              </w:rPr>
              <w:t>20-1000967</w:t>
            </w:r>
          </w:p>
        </w:tc>
      </w:tr>
      <w:tr>
        <w:trPr>
          <w:trHeight w:val="148"/>
        </w:trPr>
        <w:tc>
          <w:tcPr>
            <w:tcW w:w="5880" w:type="dxa"/>
            <w:vAlign w:val="bottom"/>
          </w:tcPr>
          <w:p>
            <w:pPr>
              <w:jc w:val="center"/>
              <w:ind w:right="3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00" w:type="dxa"/>
            <w:vAlign w:val="bottom"/>
          </w:tcPr>
          <w:p>
            <w:pPr>
              <w:jc w:val="center"/>
              <w:ind w:left="1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880" w:type="dxa"/>
            <w:vAlign w:val="bottom"/>
          </w:tcPr>
          <w:p>
            <w:pPr>
              <w:jc w:val="center"/>
              <w:ind w:right="39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00" w:type="dxa"/>
            <w:vAlign w:val="bottom"/>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19900 MacArthur Blvd., Suite 550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Irvine, California 92612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(949) 238-8090</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David-Alexandre C. Gros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Novus Therapeutics, Inc.</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19900 MacArthur Blvd., Suite 550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Irvine, California 92612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(949) 238-8090</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Ryan A. Murr, Esq.</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Gibson, Dunn &amp; Crutcher LLP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555 Mission Street, Suite 3000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 Francisco, CA 94105-0921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(415) 393-8373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125730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3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94" w:lineRule="exact"/>
        <w:rPr>
          <w:sz w:val="24"/>
          <w:szCs w:val="24"/>
          <w:color w:val="auto"/>
        </w:rPr>
      </w:pPr>
    </w:p>
    <w:p>
      <w:pPr>
        <w:ind w:right="100" w:firstLine="449"/>
        <w:spacing w:after="0" w:line="235"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30" w:lineRule="exact"/>
        <w:rPr>
          <w:sz w:val="24"/>
          <w:szCs w:val="24"/>
          <w:color w:val="auto"/>
        </w:rPr>
      </w:pPr>
    </w:p>
    <w:p>
      <w:pPr>
        <w:ind w:firstLine="449"/>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30" w:lineRule="exact"/>
        <w:rPr>
          <w:sz w:val="24"/>
          <w:szCs w:val="24"/>
          <w:color w:val="auto"/>
        </w:rPr>
      </w:pPr>
    </w:p>
    <w:p>
      <w:pPr>
        <w:ind w:right="100" w:firstLine="449"/>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4" w:lineRule="exact"/>
        <w:rPr>
          <w:sz w:val="24"/>
          <w:szCs w:val="24"/>
          <w:color w:val="auto"/>
        </w:rPr>
      </w:pPr>
    </w:p>
    <w:p>
      <w:pPr>
        <w:ind w:right="20" w:firstLine="449"/>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0" w:lineRule="exact"/>
        <w:rPr>
          <w:sz w:val="24"/>
          <w:szCs w:val="24"/>
          <w:color w:val="auto"/>
        </w:rPr>
      </w:pPr>
    </w:p>
    <w:p>
      <w:pPr>
        <w:ind w:right="200" w:firstLine="449"/>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30" w:lineRule="exact"/>
        <w:rPr>
          <w:sz w:val="24"/>
          <w:szCs w:val="24"/>
          <w:color w:val="auto"/>
        </w:rPr>
      </w:pPr>
    </w:p>
    <w:p>
      <w:pPr>
        <w:ind w:right="120" w:firstLine="449"/>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44" w:lineRule="exact"/>
        <w:rPr>
          <w:sz w:val="24"/>
          <w:szCs w:val="24"/>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0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12" w:lineRule="exact"/>
        <w:rPr>
          <w:sz w:val="24"/>
          <w:szCs w:val="24"/>
          <w:color w:val="auto"/>
        </w:rPr>
      </w:pPr>
    </w:p>
    <w:p>
      <w:pPr>
        <w:jc w:val="both"/>
        <w:ind w:firstLine="44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6" w:right="399" w:bottom="1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7"/>
        </w:trPr>
        <w:tc>
          <w:tcPr>
            <w:tcW w:w="4980" w:type="dxa"/>
            <w:vAlign w:val="bottom"/>
            <w:tcBorders>
              <w:top w:val="single" w:sz="8" w:color="auto"/>
              <w:right w:val="single" w:sz="8" w:color="auto"/>
            </w:tcBorders>
          </w:tcPr>
          <w:p>
            <w:pPr>
              <w:spacing w:after="0"/>
              <w:rPr>
                <w:sz w:val="11"/>
                <w:szCs w:val="11"/>
                <w:color w:val="auto"/>
              </w:rPr>
            </w:pPr>
          </w:p>
        </w:tc>
        <w:tc>
          <w:tcPr>
            <w:tcW w:w="1580" w:type="dxa"/>
            <w:vAlign w:val="bottom"/>
            <w:tcBorders>
              <w:top w:val="single" w:sz="8" w:color="auto"/>
              <w:right w:val="single" w:sz="8" w:color="auto"/>
            </w:tcBorders>
          </w:tcPr>
          <w:p>
            <w:pPr>
              <w:spacing w:after="0"/>
              <w:rPr>
                <w:sz w:val="11"/>
                <w:szCs w:val="11"/>
                <w:color w:val="auto"/>
              </w:rPr>
            </w:pPr>
          </w:p>
        </w:tc>
        <w:tc>
          <w:tcPr>
            <w:tcW w:w="1560" w:type="dxa"/>
            <w:vAlign w:val="bottom"/>
            <w:tcBorders>
              <w:top w:val="single" w:sz="8" w:color="auto"/>
              <w:right w:val="single" w:sz="8" w:color="auto"/>
            </w:tcBorders>
          </w:tcPr>
          <w:p>
            <w:pPr>
              <w:spacing w:after="0"/>
              <w:rPr>
                <w:sz w:val="11"/>
                <w:szCs w:val="11"/>
                <w:color w:val="auto"/>
              </w:rPr>
            </w:pPr>
          </w:p>
        </w:tc>
        <w:tc>
          <w:tcPr>
            <w:tcW w:w="1580" w:type="dxa"/>
            <w:vAlign w:val="bottom"/>
            <w:tcBorders>
              <w:top w:val="single" w:sz="8" w:color="auto"/>
              <w:right w:val="single" w:sz="8" w:color="auto"/>
            </w:tcBorders>
          </w:tcPr>
          <w:p>
            <w:pPr>
              <w:jc w:val="center"/>
              <w:ind w:left="4"/>
              <w:spacing w:after="0" w:line="137"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1540" w:type="dxa"/>
            <w:vAlign w:val="bottom"/>
            <w:tcBorders>
              <w:top w:val="single" w:sz="8" w:color="auto"/>
            </w:tcBorders>
          </w:tcPr>
          <w:p>
            <w:pPr>
              <w:spacing w:after="0"/>
              <w:rPr>
                <w:sz w:val="11"/>
                <w:szCs w:val="11"/>
                <w:color w:val="auto"/>
              </w:rPr>
            </w:pPr>
          </w:p>
        </w:tc>
      </w:tr>
      <w:tr>
        <w:trPr>
          <w:trHeight w:val="148"/>
        </w:trPr>
        <w:tc>
          <w:tcPr>
            <w:tcW w:w="498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Pr>
          <w:p>
            <w:pPr>
              <w:spacing w:after="0"/>
              <w:rPr>
                <w:sz w:val="12"/>
                <w:szCs w:val="12"/>
                <w:color w:val="auto"/>
              </w:rPr>
            </w:pPr>
          </w:p>
        </w:tc>
      </w:tr>
      <w:tr>
        <w:trPr>
          <w:trHeight w:val="160"/>
        </w:trPr>
        <w:tc>
          <w:tcPr>
            <w:tcW w:w="49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80" w:type="dxa"/>
            <w:vAlign w:val="bottom"/>
            <w:tcBorders>
              <w:right w:val="single" w:sz="8" w:color="auto"/>
            </w:tcBorders>
          </w:tcPr>
          <w:p>
            <w:pPr>
              <w:ind w:left="420"/>
              <w:spacing w:after="0" w:line="160" w:lineRule="exact"/>
              <w:rPr>
                <w:sz w:val="20"/>
                <w:szCs w:val="20"/>
                <w:color w:val="auto"/>
              </w:rPr>
            </w:pPr>
            <w:r>
              <w:rPr>
                <w:rFonts w:ascii="Times New Roman" w:cs="Times New Roman" w:eastAsia="Times New Roman" w:hAnsi="Times New Roman"/>
                <w:sz w:val="14"/>
                <w:szCs w:val="14"/>
                <w:b w:val="1"/>
                <w:bCs w:val="1"/>
                <w:color w:val="auto"/>
              </w:rPr>
              <w:t>Amount to be</w:t>
            </w:r>
          </w:p>
        </w:tc>
        <w:tc>
          <w:tcPr>
            <w:tcW w:w="1560" w:type="dxa"/>
            <w:vAlign w:val="bottom"/>
            <w:tcBorders>
              <w:right w:val="single" w:sz="8" w:color="auto"/>
            </w:tcBorders>
          </w:tcPr>
          <w:p>
            <w:pPr>
              <w:jc w:val="center"/>
              <w:ind w:left="2"/>
              <w:spacing w:after="0" w:line="160"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80" w:type="dxa"/>
            <w:vAlign w:val="bottom"/>
            <w:tcBorders>
              <w:right w:val="single" w:sz="8" w:color="auto"/>
            </w:tcBorders>
          </w:tcPr>
          <w:p>
            <w:pPr>
              <w:jc w:val="center"/>
              <w:ind w:left="4"/>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40" w:type="dxa"/>
            <w:vAlign w:val="bottom"/>
          </w:tcPr>
          <w:p>
            <w:pPr>
              <w:jc w:val="center"/>
              <w:ind w:left="2"/>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76"/>
        </w:trPr>
        <w:tc>
          <w:tcPr>
            <w:tcW w:w="4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8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15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Per Share(2)</w:t>
            </w:r>
          </w:p>
        </w:tc>
        <w:tc>
          <w:tcPr>
            <w:tcW w:w="158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Offering Price(2)</w:t>
            </w:r>
          </w:p>
        </w:tc>
        <w:tc>
          <w:tcPr>
            <w:tcW w:w="154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Registration Fee</w:t>
            </w:r>
          </w:p>
        </w:tc>
      </w:tr>
      <w:tr>
        <w:trPr>
          <w:trHeight w:val="209"/>
        </w:trPr>
        <w:tc>
          <w:tcPr>
            <w:tcW w:w="4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58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12,364,568</w:t>
            </w:r>
          </w:p>
        </w:tc>
        <w:tc>
          <w:tcPr>
            <w:tcW w:w="15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6"/>
              </w:rPr>
              <w:t>$20.28</w:t>
            </w:r>
          </w:p>
        </w:tc>
        <w:tc>
          <w:tcPr>
            <w:tcW w:w="158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8"/>
              </w:rPr>
              <w:t>$250,753,439</w:t>
            </w:r>
          </w:p>
        </w:tc>
        <w:tc>
          <w:tcPr>
            <w:tcW w:w="154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$27,357.20</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ind w:left="460" w:right="320" w:hanging="452"/>
        <w:spacing w:after="0" w:line="258"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also covers such additional securities as may become issuable to prevent dilution resulting from stock splits, stock dividends and similar events.</w:t>
      </w:r>
    </w:p>
    <w:p>
      <w:pPr>
        <w:ind w:left="460" w:right="120" w:hanging="452"/>
        <w:spacing w:after="0" w:line="260"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calculated on the basis of the average of the high and low prices of the Registrant’s Common Stock reported on the Nasdaq Capital Market on December 8, 2020.</w:t>
      </w:r>
    </w:p>
    <w:p>
      <w:pPr>
        <w:spacing w:after="0" w:line="4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4338"/>
        </w:rPr>
        <w:t>Subject to Completion, dated December 11,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173990</wp:posOffset>
            </wp:positionV>
            <wp:extent cx="1508760" cy="402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876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12,364,568 Shares of Common Stock</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225425</wp:posOffset>
            </wp:positionV>
            <wp:extent cx="1491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This prospectus relates to the proposed resale or other disposition of an aggregate of 12,364,568 shares of our Common Stock, $0.001 par value per share (the “Shares”), by the selling stockholders identified in this prospectus (collectively with any of the holders’ transferees, pledgees, donees or successors, the “Selling Stockholders”). The Shares covered by this prospectus consist of (i) 12,065,875 Shares that are issuable upon conversion of Series X</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 xml:space="preserve"> Preferred Stock that was issued in a private placement transaction dated September 14, 2020 and (ii) 298,693 Shares that are issuable upon conversion of Series X</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 xml:space="preserve"> Preferred Stock underlying warrants that the Company assumed in connection with the acquisition of Anelixis Therapeutics, Inc. on September 14, 2020.</w:t>
      </w:r>
    </w:p>
    <w:p>
      <w:pPr>
        <w:spacing w:after="0" w:line="16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will not receive any proceeds from the sale by the Selling Stockholders of the Shares. We are paying the cost of registering the Shares covered by this prospectus as well as various related expenses. The Selling Stockholders are responsible for all selling commissions, transfer taxes and other costs related to the offer and sale of its shares.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Sales of the Shares by the Selling Stockholders may occur at fixed prices, at prevailing market prices at the time of sale, at prices related to the prevailing market price, at varying prices determined at the time of sale, or at negotiated prices. The Selling Stockholders may sell shares to or through underwriters, broker-dealers or agents, who may receive compensation in the form of discounts, concessions or commissions from the Selling Stockholders, the purchasers of the shares, or both. If required, the number of shares to be sold, the public offering price of those shares, the names of any underwriters, broker-dealers or agents and any applicable commission or discount will be included in a supplement to this prospectus, called a prospectus supplement. See the disclosure under the heading “Plan of Distribution” elsewhere in this prospectus for more information about how the Selling Stockholders may sell or otherwise dispose of their Shares hereunder.</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Common Stock is traded on The Nasdaq Capital Market under the symbol “NVUS.” On December 8, 2020, the closing sale price of our Common Stock was $19.74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208280</wp:posOffset>
            </wp:positionV>
            <wp:extent cx="149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00" w:firstLine="449"/>
        <w:spacing w:after="0" w:line="263"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Investing in our common stock involves a high degree of risk. Please read the information contained in and incorporated by reference under the heading “</w:t>
      </w:r>
      <w:hyperlink w:anchor="page10">
        <w:r>
          <w:rPr>
            <w:rFonts w:ascii="Times New Roman" w:cs="Times New Roman" w:eastAsia="Times New Roman" w:hAnsi="Times New Roman"/>
            <w:sz w:val="21"/>
            <w:szCs w:val="21"/>
            <w:b w:val="1"/>
            <w:bCs w:val="1"/>
            <w:u w:val="single" w:color="auto"/>
            <w:color w:val="0000EE"/>
          </w:rPr>
          <w:t>Risk Factors</w:t>
        </w:r>
      </w:hyperlink>
      <w:r>
        <w:rPr>
          <w:rFonts w:ascii="Times New Roman" w:cs="Times New Roman" w:eastAsia="Times New Roman" w:hAnsi="Times New Roman"/>
          <w:sz w:val="21"/>
          <w:szCs w:val="21"/>
          <w:b w:val="1"/>
          <w:bCs w:val="1"/>
          <w:color w:val="auto"/>
        </w:rPr>
        <w:t>” beginning on page 6 of this prospectus, and under similar headings in the other documents that are filed after the date hereof and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201930</wp:posOffset>
            </wp:positionV>
            <wp:extent cx="14916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198120</wp:posOffset>
            </wp:positionV>
            <wp:extent cx="14916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416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This prospectus is dated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bl>
    <w:p>
      <w:pPr>
        <w:sectPr>
          <w:pgSz w:w="11900" w:h="16838" w:orient="portrait"/>
          <w:cols w:equalWidth="0" w:num="1">
            <w:col w:w="11220"/>
          </w:cols>
          <w:pgMar w:left="320" w:top="455" w:right="3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ABOUT THIS PROSPECTUS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191"/>
        </w:trPr>
        <w:tc>
          <w:tcPr>
            <w:tcW w:w="10640" w:type="dxa"/>
            <w:vAlign w:val="bottom"/>
            <w:vMerge w:val="continue"/>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SPECIAL NOTE REGARDING FORWARD-LOOKING STATEMENTS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THE COMPANY</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SELECTED FINANCIAL DATA</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RISK FACTORS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USE OF PROCEEDS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SELLING STOCKHOLDERS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PLAN OF DISTRIBUTION</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LEGAL MATTERS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EXPERTS</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WHERE YOU CAN FIND MORE INFORMATION</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INCORPORATION OF CERTAIN INFORMATION BY REFERENCE</w:t>
              </w:r>
            </w:hyperlink>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180"/>
          </w:cols>
          <w:pgMar w:left="320" w:top="455" w:right="3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and the information incorporated by reference in this prospectus before making an investment in the securities of Novus Therapeutics, Inc. See “Where You Can Find More Information” and “Incorporation of Certain Information by Reference” for additional information. You should rely only on the information contained in or incorporated by reference in this prospectus or a prospectus supplement. The Company has not authorized anyone to provide you with different information. This document may be used only in jurisdictions where offers and sales of these securities are permitted. You should assume that information contained in this prospectus, or in any document incorporated by reference, is accurate only as of any date on the front cover of the applicable document. Our business, financial condition, results of operations and prospects may have changed since that date.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to the terms “Novus,” “our,” “us,” “we”, or the “Company” refer to Novus Therapeutics, Inc. and its wholly-owned subsidiaries, on a consolidated basis.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55" w:right="4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contains “forward-looking statements” as defined by the Private Securities Litigation Reform Act of 1995, which statements involve substantial risks and uncertainties. Any statements about the Company’s future expectations, plans and prospects, including statements about its strategy, future operations, and development of its product candidates and other statements containing words such as “believes,” “anticipates,” “plans,” “expects,” “estimates,” “intends,” “predicts,” “projects,” “targets,” “could,” “may,” and similar expressions, constitute forward-looking statements, although not all forward-looking statements include such identifying words. Forward-looking statements include, but are not limited to statements regarding:</w:t>
      </w:r>
    </w:p>
    <w:p>
      <w:pPr>
        <w:spacing w:after="0" w:line="93" w:lineRule="exact"/>
        <w:rPr>
          <w:sz w:val="20"/>
          <w:szCs w:val="20"/>
          <w:color w:val="auto"/>
        </w:rPr>
      </w:pPr>
    </w:p>
    <w:p>
      <w:pPr>
        <w:ind w:left="1000" w:right="340" w:hanging="439"/>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and the Anelixis acquisition, which may make it difficult to evaluate the success of our business to date and to assess our future viability;</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operations, including our ability to access capital markets;</w:t>
      </w:r>
    </w:p>
    <w:p>
      <w:pPr>
        <w:spacing w:after="0" w:line="130" w:lineRule="exact"/>
        <w:rPr>
          <w:rFonts w:ascii="Times New Roman" w:cs="Times New Roman" w:eastAsia="Times New Roman" w:hAnsi="Times New Roman"/>
          <w:sz w:val="18"/>
          <w:szCs w:val="18"/>
          <w:color w:val="auto"/>
        </w:rPr>
      </w:pPr>
    </w:p>
    <w:p>
      <w:pPr>
        <w:ind w:left="1000" w:right="40" w:hanging="439"/>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timing for the commencement and completion of product development or clinical trials for the Company’s product candidates;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conduct and outcome of preclinical studies and clinical trials;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future clinical and regulatory milestones, such as New Drug Application (“NDA”) submissions;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clinical trials of the Company’s product candidates may not be successful in establishing safety and tolerability or efficacy;</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plans and timing with respect to seeking regulatory approvals and uncertainties regarding the regulatory process;</w:t>
      </w:r>
    </w:p>
    <w:p>
      <w:pPr>
        <w:spacing w:after="0" w:line="130" w:lineRule="exact"/>
        <w:rPr>
          <w:rFonts w:ascii="Times New Roman" w:cs="Times New Roman" w:eastAsia="Times New Roman" w:hAnsi="Times New Roman"/>
          <w:sz w:val="18"/>
          <w:szCs w:val="18"/>
          <w:color w:val="auto"/>
        </w:rPr>
      </w:pPr>
    </w:p>
    <w:p>
      <w:pPr>
        <w:ind w:left="1000" w:right="320" w:hanging="439"/>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treatment of data by the U.S. Food and Drug Administration (“FDA”), the European Medicines Agency (“EMA”) or other regulatory authorities of the Company’s product candidates;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the Company’s product candidates;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intellectual property position and strategy;</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identify additional product candidates with significant commercial potential;</w:t>
      </w:r>
    </w:p>
    <w:p>
      <w:pPr>
        <w:spacing w:after="0" w:line="130" w:lineRule="exact"/>
        <w:rPr>
          <w:rFonts w:ascii="Times New Roman" w:cs="Times New Roman" w:eastAsia="Times New Roman" w:hAnsi="Times New Roman"/>
          <w:sz w:val="18"/>
          <w:szCs w:val="18"/>
          <w:color w:val="auto"/>
        </w:rPr>
      </w:pPr>
    </w:p>
    <w:p>
      <w:pPr>
        <w:ind w:left="1000" w:right="100" w:hanging="439"/>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funds and resources to pursue the Company’s research and development projects, including preclinical studies and clinical trials of its product candidates, and manufacturing activities.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the Company’s competitors and industry; the impact of government laws and regulations;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over which the Company’s cash balances will fund its operations.</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Actual results may differ materially from those indicated by such forward-looking statements as a result of various important factors, including: the ability to develop commercially viable product formulations on a timely basis, or at all; the sufficiency of the Company’s cash resources; the ability to obtain necessary regulatory and ethics approvals to commence additional clinical trials; whether data from early clinical trials will be indicative of the data that will be obtained from future clinical trials; whether the results of clinical trials will warrant submission for regulatory approval of any investigational product; whether any such submission will receive approval from the FDA or equivalent foreign regulatory agencies and, if the Company is able to obtain such approval for an investigational product, whether it will be successfully distributed and marketed; and the duration of the COVID-19 pandemic, including economic and other impacts of the pandemic and of and actions taken in response to it by governments, businesses, and individuals. These risks and uncertainties, as well as other risks and uncertainties that could cause the Company’s actual results to differ significantly from the forward-looking statements contained herein, are described in greater detail in described under the heading “Risk Factors” in this prospectus.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455" w:right="3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Novus is a biopharmaceutical company focused on developing life-changing, targeted medicines for patients undergoing organ or cellular transplantation, as well as those living with immunological diseases. Our lead product candidate, AT-1501, is a humanized monoclonal antibody (mAb), designed to target CD40 Ligand (“CD40L,” also called CD154), a molecule expressed on the surface of human immune system T cells. The central role of CD40/CD40L signaling in generating pro-inflammatory responses makes it an attractive candidate for therapeutic intervention in autoimmune disease, induction and maintenance of transplant tolerance, and neuroinflammation. Blocking the activation of the CD40L pathway ameliorates disease progression and pathology in preclinical models of autoimmunity and prevents acute and long-term allograft transplant rejection in multiple animal species.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plan to develop AT-1501 in up to 4 indications: prevention of kidney allograft rejection, prevention of islet cell allograft rejection, treatment of autoimmune nephritis, and treatment of amyotrophic lateral sclerosis (“ALS”). AT-1501 successfully completed a Phase 1 study in healthy subjects and a cohort of subjects with ALS.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September 2020, we acquired Anelixis Therapeutics, Inc. (“Anelixis”), the company that owned or controlled the intellectual property related to AT-1501, a humanized IgG1 anti-CD40L antibody lacking Fc effector function. AT-1501 is designed to inhibit signaling via CD40L, a costimulatory type II membrane receptor expressed on activated T cells and CD40, a receptor expressed on Antigen Presenting Cells (“APC”s). Interactions between B cell expressing CD40, and activated CD4+ “helper” T cells expressing CD40L, play a critical role in promoting germinal center formation, clonal expansion, antibody production, and secretion of pro-inflammatory cytokines that amplify immune response. The role of CD40 in B cells has been extensively characterized and has been shown to be essential for productive primary and secondary humoral immune responses to T cell dependent antigens. Anti CD40L antibodies also inhibit both CD40 as well as CD11 costimulatory receptors on antigen presenting cells, thus inhibiting the pro-inflammatory polarization of CD4+ and CD8+ lymphocytes. Blocking the ligand also polarizes CD4+ lymphocytes to FoxP3 positive Tregs, a specialized subpopulation of T cells that act to suppress immune response, which functionally secrete IL10 and other cytokines creating a more tolerogenic environment. Finally, blocking the CD-CD40L pathway has not been shown to cause systemic lymphopenia.</w:t>
      </w:r>
    </w:p>
    <w:p>
      <w:pPr>
        <w:spacing w:after="0" w:line="19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business strategy is to optimize the clinical and commercial value of AT-1501 and become a global biopharmaceutical company with a focused autoimmune franchise.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October 2020, we effected a reverse stock-split of our issued and outstanding Common Stock and options for Common Stock at a ratio of one-for-eighteen (the “Reverse Stock Split”). The Reverse Stock Split reduces the number of shares of common stock issuable upon the conversion of the Company’s outstanding preferred stock and the exercise or vesting of its outstanding stock options, restricted stock units and warrants in proportion to the ratio of the reverse stock split and causes a proportionate increase in the conversion and exercise prices of such convertible notes, stock options and warrants. The par value per common share remained unchanged. Except where the context otherwise requires, share numbers in this prospectus reflect the Reverse Stock Split.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March 26, 2004 under the name Tokai Pharmaceuticals, Inc. and we changed our name to Novus Therapeutics on May 9, 2017. Our principal executive offices are located at 19900 MacArthur Boulevard, Suite 550, Irvine, California 92612, and our telephone number is (949) 238-8090. Our website address is novustherapeutics.com. The information contained in, or accessible through, our website does not constitute part of this prospectus. We have included our website address in this prospectus solely as an inactive textual reference.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455"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included in our Annual Report on Form 10-K filed with the SEC on March 17, 2020, and our unaudited consolidated financial statements included in our Quarterly Reports on Form 10-Q filed with the SEC on May 15, 2020, and August 14, 2020, as adjusted to reflect the Reverse Stock Split for all periods presented. Our unaudited consolidated financial statements included in our Quarterly Report on Form 10-Q filed with the SEC on November 16, 2020 gave retroactive effect to the reverse stock-split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acquisition of Anelixis, as presented in the unaudited pro forma financial statements and accompanying notes for the six months ended June 30, 2020 and the fiscal year ended December 31, 2019 contained in the Company’s definitive proxy statement on Schedule 14A dated November 20, 2020 as Annex D thereto and incorporated herein by reference.</w:t>
      </w:r>
    </w:p>
    <w:p>
      <w:pPr>
        <w:sectPr>
          <w:pgSz w:w="11900" w:h="16838" w:orient="portrait"/>
          <w:cols w:equalWidth="0" w:num="1">
            <w:col w:w="11140"/>
          </w:cols>
          <w:pgMar w:left="320" w:top="455" w:right="439" w:bottom="1440" w:gutter="0" w:footer="0" w:header="0"/>
        </w:sectPr>
      </w:pP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REPORTED</w:t>
      </w:r>
    </w:p>
    <w:p>
      <w:pPr>
        <w:spacing w:after="0" w:line="2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-119380</wp:posOffset>
            </wp:positionV>
            <wp:extent cx="54178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14605</wp:posOffset>
            </wp:positionV>
            <wp:extent cx="54178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Common shares outstanding at year end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-119380</wp:posOffset>
            </wp:positionV>
            <wp:extent cx="54178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54178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-119380</wp:posOffset>
            </wp:positionV>
            <wp:extent cx="54178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54178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-119380</wp:posOffset>
            </wp:positionV>
            <wp:extent cx="54178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54178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Common shares outstanding at period end</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(16,011)</w:t>
            </w:r>
          </w:p>
        </w:tc>
        <w:tc>
          <w:tcPr>
            <w:tcW w:w="18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(14,065)</w:t>
            </w:r>
          </w:p>
        </w:tc>
        <w:tc>
          <w:tcPr>
            <w:tcW w:w="60" w:type="dxa"/>
            <w:vAlign w:val="bottom"/>
          </w:tcPr>
          <w:p>
            <w:pPr>
              <w:spacing w:after="0"/>
              <w:rPr>
                <w:sz w:val="16"/>
                <w:szCs w:val="16"/>
                <w:color w:val="auto"/>
              </w:rPr>
            </w:pPr>
          </w:p>
        </w:tc>
      </w:tr>
      <w:tr>
        <w:trPr>
          <w:trHeight w:val="216"/>
        </w:trPr>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11,799,468</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9,005,352</w:t>
            </w: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12,967,338</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9,422,143</w:t>
            </w:r>
          </w:p>
        </w:tc>
      </w:tr>
      <w:tr>
        <w:trPr>
          <w:trHeight w:val="364"/>
        </w:trPr>
        <w:tc>
          <w:tcPr>
            <w:tcW w:w="20" w:type="dxa"/>
            <w:vAlign w:val="bottom"/>
          </w:tcPr>
          <w:p>
            <w:pPr>
              <w:spacing w:after="0"/>
              <w:rPr>
                <w:sz w:val="24"/>
                <w:szCs w:val="24"/>
                <w:color w:val="auto"/>
              </w:rPr>
            </w:pPr>
          </w:p>
        </w:tc>
        <w:tc>
          <w:tcPr>
            <w:tcW w:w="2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gridSpan w:val="4"/>
          </w:tcPr>
          <w:p>
            <w:pPr>
              <w:jc w:val="center"/>
              <w:ind w:right="14"/>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60" w:type="dxa"/>
            <w:vAlign w:val="bottom"/>
          </w:tcPr>
          <w:p>
            <w:pPr>
              <w:spacing w:after="0"/>
              <w:rPr>
                <w:sz w:val="10"/>
                <w:szCs w:val="10"/>
                <w:color w:val="auto"/>
              </w:rPr>
            </w:pPr>
          </w:p>
        </w:tc>
      </w:tr>
      <w:tr>
        <w:trPr>
          <w:trHeight w:val="216"/>
        </w:trPr>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(4,881)</w:t>
            </w:r>
          </w:p>
        </w:tc>
      </w:tr>
      <w:tr>
        <w:trPr>
          <w:trHeight w:val="216"/>
        </w:trPr>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17,267,123</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9,427,073</w:t>
            </w: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16,069,562</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9,447,361</w:t>
            </w:r>
          </w:p>
        </w:tc>
      </w:tr>
      <w:tr>
        <w:trPr>
          <w:trHeight w:val="364"/>
        </w:trPr>
        <w:tc>
          <w:tcPr>
            <w:tcW w:w="20" w:type="dxa"/>
            <w:vAlign w:val="bottom"/>
          </w:tcPr>
          <w:p>
            <w:pPr>
              <w:spacing w:after="0"/>
              <w:rPr>
                <w:sz w:val="24"/>
                <w:szCs w:val="24"/>
                <w:color w:val="auto"/>
              </w:rPr>
            </w:pPr>
          </w:p>
        </w:tc>
        <w:tc>
          <w:tcPr>
            <w:tcW w:w="20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42"/>
        </w:trPr>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gridSpan w:val="4"/>
          </w:tcPr>
          <w:p>
            <w:pPr>
              <w:jc w:val="center"/>
              <w:ind w:right="14"/>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60" w:type="dxa"/>
            <w:vAlign w:val="bottom"/>
          </w:tcPr>
          <w:p>
            <w:pPr>
              <w:spacing w:after="0"/>
              <w:rPr>
                <w:sz w:val="10"/>
                <w:szCs w:val="10"/>
                <w:color w:val="auto"/>
              </w:rPr>
            </w:pPr>
          </w:p>
        </w:tc>
      </w:tr>
      <w:tr>
        <w:trPr>
          <w:trHeight w:val="216"/>
        </w:trPr>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16"/>
        </w:trPr>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16,981,540</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11,751,110</w:t>
            </w: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19,379,562</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12,974,923</w:t>
            </w:r>
          </w:p>
        </w:tc>
      </w:tr>
      <w:tr>
        <w:trPr>
          <w:trHeight w:val="36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gridSpan w:val="4"/>
          </w:tcPr>
          <w:p>
            <w:pPr>
              <w:jc w:val="center"/>
              <w:ind w:right="14"/>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60" w:type="dxa"/>
            <w:vAlign w:val="bottom"/>
          </w:tcPr>
          <w:p>
            <w:pPr>
              <w:spacing w:after="0"/>
              <w:rPr>
                <w:sz w:val="10"/>
                <w:szCs w:val="10"/>
                <w:color w:val="auto"/>
              </w:rPr>
            </w:pPr>
          </w:p>
        </w:tc>
      </w:tr>
      <w:tr>
        <w:trPr>
          <w:trHeight w:val="216"/>
        </w:trPr>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(8,974)</w:t>
            </w:r>
          </w:p>
        </w:tc>
      </w:tr>
      <w:tr>
        <w:trPr>
          <w:trHeight w:val="216"/>
        </w:trPr>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17,124,331</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10,595,511</w:t>
            </w: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19,379,562</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12,974,923</w:t>
            </w:r>
          </w:p>
        </w:tc>
      </w:tr>
    </w:tbl>
    <w:p>
      <w:pPr>
        <w:sectPr>
          <w:pgSz w:w="11900" w:h="16838" w:orient="portrait"/>
          <w:cols w:equalWidth="0" w:num="2">
            <w:col w:w="7060" w:space="720"/>
            <w:col w:w="3360"/>
          </w:cols>
          <w:pgMar w:left="320" w:top="455" w:right="4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ADJUSTED FOR ONE-FOR-EIGHTEEN REVERSE STOCK SPLIT</w:t>
      </w:r>
    </w:p>
    <w:p>
      <w:pPr>
        <w:spacing w:after="0" w:line="2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3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-119380</wp:posOffset>
            </wp:positionV>
            <wp:extent cx="54178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54178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Common shares outstanding at year end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-119380</wp:posOffset>
            </wp:positionV>
            <wp:extent cx="54178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54178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-119380</wp:posOffset>
            </wp:positionV>
            <wp:extent cx="54178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54178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-119380</wp:posOffset>
            </wp:positionV>
            <wp:extent cx="54178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54178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Common shares outstanding at period end</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3"/>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2598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ind w:left="323"/>
        <w:spacing w:after="0"/>
        <w:tabs>
          <w:tab w:leader="none" w:pos="1382"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2598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jc w:val="center"/>
        <w:ind w:right="357"/>
        <w:spacing w:after="0" w:line="235" w:lineRule="auto"/>
        <w:rPr>
          <w:sz w:val="20"/>
          <w:szCs w:val="20"/>
          <w:color w:val="auto"/>
        </w:rPr>
      </w:pPr>
      <w:r>
        <w:rPr>
          <w:rFonts w:ascii="Times New Roman" w:cs="Times New Roman" w:eastAsia="Times New Roman" w:hAnsi="Times New Roman"/>
          <w:sz w:val="14"/>
          <w:szCs w:val="14"/>
          <w:color w:val="auto"/>
        </w:rPr>
        <w:t>(Unaudited)</w:t>
      </w:r>
    </w:p>
    <w:p>
      <w:pPr>
        <w:ind w:left="3"/>
        <w:spacing w:after="0"/>
        <w:tabs>
          <w:tab w:leader="none" w:pos="342" w:val="left"/>
          <w:tab w:leader="none" w:pos="1102" w:val="left"/>
          <w:tab w:leader="none" w:pos="1402" w:val="left"/>
        </w:tabs>
        <w:rPr>
          <w:sz w:val="20"/>
          <w:szCs w:val="20"/>
          <w:color w:val="auto"/>
        </w:rPr>
      </w:pPr>
      <w:r>
        <w:rPr>
          <w:rFonts w:ascii="Times New Roman" w:cs="Times New Roman" w:eastAsia="Times New Roman" w:hAnsi="Times New Roman"/>
          <w:sz w:val="18"/>
          <w:szCs w:val="18"/>
          <w:color w:val="auto"/>
        </w:rPr>
        <w:t>$</w:t>
        <w:tab/>
        <w:t>(16,011)</w:t>
        <w:tab/>
        <w:t>$</w:t>
        <w:tab/>
        <w:t>(14,065)</w:t>
      </w:r>
    </w:p>
    <w:p>
      <w:pPr>
        <w:spacing w:after="0" w:line="7" w:lineRule="exact"/>
        <w:rPr>
          <w:sz w:val="20"/>
          <w:szCs w:val="20"/>
          <w:color w:val="auto"/>
        </w:rPr>
      </w:pPr>
    </w:p>
    <w:p>
      <w:pPr>
        <w:ind w:left="463" w:hanging="463"/>
        <w:spacing w:after="0"/>
        <w:tabs>
          <w:tab w:leader="none" w:pos="4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(24.42)  $    (28.11)</w:t>
      </w:r>
    </w:p>
    <w:p>
      <w:pPr>
        <w:spacing w:after="0" w:line="9" w:lineRule="exact"/>
        <w:rPr>
          <w:rFonts w:ascii="Times New Roman" w:cs="Times New Roman" w:eastAsia="Times New Roman" w:hAnsi="Times New Roman"/>
          <w:sz w:val="18"/>
          <w:szCs w:val="18"/>
          <w:color w:val="auto"/>
        </w:rPr>
      </w:pPr>
    </w:p>
    <w:p>
      <w:pPr>
        <w:ind w:left="3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655,526</w:t>
      </w:r>
      <w:r>
        <w:rPr>
          <w:rFonts w:ascii="Times New Roman" w:cs="Times New Roman" w:eastAsia="Times New Roman" w:hAnsi="Times New Roman"/>
          <w:sz w:val="17"/>
          <w:szCs w:val="17"/>
          <w:color w:val="auto"/>
        </w:rPr>
        <w:t>500,297</w:t>
      </w:r>
    </w:p>
    <w:p>
      <w:pPr>
        <w:spacing w:after="0" w:line="9" w:lineRule="exact"/>
        <w:rPr>
          <w:rFonts w:ascii="Times New Roman" w:cs="Times New Roman" w:eastAsia="Times New Roman" w:hAnsi="Times New Roman"/>
          <w:sz w:val="18"/>
          <w:szCs w:val="18"/>
          <w:color w:val="auto"/>
        </w:rPr>
      </w:pPr>
    </w:p>
    <w:p>
      <w:pPr>
        <w:ind w:left="3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720,407</w:t>
      </w:r>
      <w:r>
        <w:rPr>
          <w:rFonts w:ascii="Times New Roman" w:cs="Times New Roman" w:eastAsia="Times New Roman" w:hAnsi="Times New Roman"/>
          <w:sz w:val="17"/>
          <w:szCs w:val="17"/>
          <w:color w:val="auto"/>
        </w:rPr>
        <w:t>523,452</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3" w:type="dxa"/>
        <w:tblCellMar>
          <w:top w:w="0" w:type="dxa"/>
          <w:left w:w="0" w:type="dxa"/>
          <w:bottom w:w="0" w:type="dxa"/>
          <w:right w:w="0" w:type="dxa"/>
        </w:tblCellMar>
      </w:tblPr>
      <w:tr>
        <w:trPr>
          <w:trHeight w:val="142"/>
        </w:trPr>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124"/>
        </w:trPr>
        <w:tc>
          <w:tcPr>
            <w:tcW w:w="120" w:type="dxa"/>
            <w:vAlign w:val="bottom"/>
          </w:tcPr>
          <w:p>
            <w:pPr>
              <w:spacing w:after="0"/>
              <w:rPr>
                <w:sz w:val="10"/>
                <w:szCs w:val="10"/>
                <w:color w:val="auto"/>
              </w:rPr>
            </w:pPr>
          </w:p>
        </w:tc>
        <w:tc>
          <w:tcPr>
            <w:tcW w:w="1240" w:type="dxa"/>
            <w:vAlign w:val="bottom"/>
            <w:gridSpan w:val="2"/>
          </w:tcPr>
          <w:p>
            <w:pPr>
              <w:jc w:val="center"/>
              <w:ind w:left="41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(4,881)</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16"/>
        </w:trPr>
        <w:tc>
          <w:tcPr>
            <w:tcW w:w="12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959,285</w:t>
            </w:r>
          </w:p>
        </w:tc>
        <w:tc>
          <w:tcPr>
            <w:tcW w:w="3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523,726</w:t>
            </w:r>
          </w:p>
        </w:tc>
      </w:tr>
      <w:tr>
        <w:trPr>
          <w:trHeight w:val="234"/>
        </w:trPr>
        <w:tc>
          <w:tcPr>
            <w:tcW w:w="120" w:type="dxa"/>
            <w:vAlign w:val="bottom"/>
          </w:tcPr>
          <w:p>
            <w:pPr>
              <w:spacing w:after="0"/>
              <w:rPr>
                <w:sz w:val="20"/>
                <w:szCs w:val="20"/>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892,753</w:t>
            </w:r>
          </w:p>
        </w:tc>
        <w:tc>
          <w:tcPr>
            <w:tcW w:w="3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524,853</w:t>
            </w:r>
          </w:p>
        </w:tc>
      </w:tr>
      <w:tr>
        <w:trPr>
          <w:trHeight w:val="364"/>
        </w:trPr>
        <w:tc>
          <w:tcPr>
            <w:tcW w:w="20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42"/>
        </w:trPr>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124"/>
        </w:trPr>
        <w:tc>
          <w:tcPr>
            <w:tcW w:w="120" w:type="dxa"/>
            <w:vAlign w:val="bottom"/>
          </w:tcPr>
          <w:p>
            <w:pPr>
              <w:spacing w:after="0"/>
              <w:rPr>
                <w:sz w:val="10"/>
                <w:szCs w:val="10"/>
                <w:color w:val="auto"/>
              </w:rPr>
            </w:pPr>
          </w:p>
        </w:tc>
        <w:tc>
          <w:tcPr>
            <w:tcW w:w="1240" w:type="dxa"/>
            <w:vAlign w:val="bottom"/>
            <w:gridSpan w:val="2"/>
          </w:tcPr>
          <w:p>
            <w:pPr>
              <w:jc w:val="center"/>
              <w:ind w:left="41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12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943,419</w:t>
            </w:r>
          </w:p>
        </w:tc>
        <w:tc>
          <w:tcPr>
            <w:tcW w:w="3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652,839</w:t>
            </w:r>
          </w:p>
        </w:tc>
      </w:tr>
      <w:tr>
        <w:trPr>
          <w:trHeight w:val="234"/>
        </w:trPr>
        <w:tc>
          <w:tcPr>
            <w:tcW w:w="120" w:type="dxa"/>
            <w:vAlign w:val="bottom"/>
          </w:tcPr>
          <w:p>
            <w:pPr>
              <w:spacing w:after="0"/>
              <w:rPr>
                <w:sz w:val="20"/>
                <w:szCs w:val="20"/>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1,076,642</w:t>
            </w:r>
          </w:p>
        </w:tc>
        <w:tc>
          <w:tcPr>
            <w:tcW w:w="3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720,829</w:t>
            </w:r>
          </w:p>
        </w:tc>
      </w:tr>
      <w:tr>
        <w:trPr>
          <w:trHeight w:val="365"/>
        </w:trPr>
        <w:tc>
          <w:tcPr>
            <w:tcW w:w="120" w:type="dxa"/>
            <w:vAlign w:val="bottom"/>
          </w:tcPr>
          <w:p>
            <w:pPr>
              <w:spacing w:after="0"/>
              <w:rPr>
                <w:sz w:val="24"/>
                <w:szCs w:val="24"/>
                <w:color w:val="auto"/>
              </w:rPr>
            </w:pPr>
          </w:p>
        </w:tc>
        <w:tc>
          <w:tcPr>
            <w:tcW w:w="19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9"/>
        </w:trPr>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8"/>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12598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jc w:val="center"/>
        <w:ind w:right="357"/>
        <w:spacing w:after="0" w:line="233" w:lineRule="auto"/>
        <w:rPr>
          <w:sz w:val="20"/>
          <w:szCs w:val="20"/>
          <w:color w:val="auto"/>
        </w:rPr>
      </w:pPr>
      <w:r>
        <w:rPr>
          <w:rFonts w:ascii="Times New Roman" w:cs="Times New Roman" w:eastAsia="Times New Roman" w:hAnsi="Times New Roman"/>
          <w:sz w:val="14"/>
          <w:szCs w:val="14"/>
          <w:color w:val="auto"/>
        </w:rPr>
        <w:t>(Unaudited)</w:t>
      </w:r>
    </w:p>
    <w:p>
      <w:pPr>
        <w:spacing w:after="0" w:line="1" w:lineRule="exact"/>
        <w:rPr>
          <w:sz w:val="20"/>
          <w:szCs w:val="20"/>
          <w:color w:val="auto"/>
        </w:rPr>
      </w:pPr>
    </w:p>
    <w:p>
      <w:pPr>
        <w:ind w:left="3"/>
        <w:spacing w:after="0"/>
        <w:tabs>
          <w:tab w:leader="none" w:pos="342" w:val="left"/>
          <w:tab w:leader="none" w:pos="1102" w:val="left"/>
          <w:tab w:leader="none" w:pos="1502" w:val="left"/>
        </w:tabs>
        <w:rPr>
          <w:sz w:val="20"/>
          <w:szCs w:val="20"/>
          <w:color w:val="auto"/>
        </w:rPr>
      </w:pPr>
      <w:r>
        <w:rPr>
          <w:rFonts w:ascii="Times New Roman" w:cs="Times New Roman" w:eastAsia="Times New Roman" w:hAnsi="Times New Roman"/>
          <w:sz w:val="18"/>
          <w:szCs w:val="18"/>
          <w:color w:val="auto"/>
        </w:rPr>
        <w:t>$</w:t>
        <w:tab/>
        <w:t>(10,763)</w:t>
        <w:tab/>
        <w:t>$</w:t>
      </w:r>
      <w:r>
        <w:rPr>
          <w:sz w:val="20"/>
          <w:szCs w:val="20"/>
          <w:color w:val="auto"/>
        </w:rPr>
        <w:tab/>
      </w:r>
      <w:r>
        <w:rPr>
          <w:rFonts w:ascii="Times New Roman" w:cs="Times New Roman" w:eastAsia="Times New Roman" w:hAnsi="Times New Roman"/>
          <w:sz w:val="17"/>
          <w:szCs w:val="17"/>
          <w:color w:val="auto"/>
        </w:rPr>
        <w:t>(8,974)</w:t>
      </w:r>
    </w:p>
    <w:p>
      <w:pPr>
        <w:spacing w:after="0" w:line="7" w:lineRule="exact"/>
        <w:rPr>
          <w:sz w:val="20"/>
          <w:szCs w:val="20"/>
          <w:color w:val="auto"/>
        </w:rPr>
      </w:pPr>
    </w:p>
    <w:p>
      <w:pPr>
        <w:ind w:left="463" w:hanging="463"/>
        <w:spacing w:after="0"/>
        <w:tabs>
          <w:tab w:leader="none" w:pos="4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(11.31)  $    (15.25)</w:t>
      </w:r>
    </w:p>
    <w:p>
      <w:pPr>
        <w:spacing w:after="0" w:line="9" w:lineRule="exact"/>
        <w:rPr>
          <w:rFonts w:ascii="Times New Roman" w:cs="Times New Roman" w:eastAsia="Times New Roman" w:hAnsi="Times New Roman"/>
          <w:sz w:val="18"/>
          <w:szCs w:val="18"/>
          <w:color w:val="auto"/>
        </w:rPr>
      </w:pPr>
    </w:p>
    <w:p>
      <w:pPr>
        <w:ind w:left="3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951,352</w:t>
      </w:r>
      <w:r>
        <w:rPr>
          <w:rFonts w:ascii="Times New Roman" w:cs="Times New Roman" w:eastAsia="Times New Roman" w:hAnsi="Times New Roman"/>
          <w:sz w:val="17"/>
          <w:szCs w:val="17"/>
          <w:color w:val="auto"/>
        </w:rPr>
        <w:t>588,640</w:t>
      </w:r>
    </w:p>
    <w:p>
      <w:pPr>
        <w:spacing w:after="0" w:line="9" w:lineRule="exact"/>
        <w:rPr>
          <w:sz w:val="20"/>
          <w:szCs w:val="20"/>
          <w:color w:val="auto"/>
        </w:rPr>
      </w:pPr>
    </w:p>
    <w:p>
      <w:pPr>
        <w:ind w:left="203"/>
        <w:spacing w:after="0"/>
        <w:tabs>
          <w:tab w:leader="none" w:pos="1382" w:val="left"/>
        </w:tabs>
        <w:rPr>
          <w:sz w:val="20"/>
          <w:szCs w:val="20"/>
          <w:color w:val="auto"/>
        </w:rPr>
      </w:pPr>
      <w:r>
        <w:rPr>
          <w:rFonts w:ascii="Times New Roman" w:cs="Times New Roman" w:eastAsia="Times New Roman" w:hAnsi="Times New Roman"/>
          <w:sz w:val="18"/>
          <w:szCs w:val="18"/>
          <w:color w:val="auto"/>
        </w:rPr>
        <w:t>1,076,642</w:t>
      </w:r>
      <w:r>
        <w:rPr>
          <w:sz w:val="20"/>
          <w:szCs w:val="20"/>
          <w:color w:val="auto"/>
        </w:rPr>
        <w:tab/>
      </w:r>
      <w:r>
        <w:rPr>
          <w:rFonts w:ascii="Times New Roman" w:cs="Times New Roman" w:eastAsia="Times New Roman" w:hAnsi="Times New Roman"/>
          <w:sz w:val="18"/>
          <w:szCs w:val="18"/>
          <w:color w:val="auto"/>
        </w:rPr>
        <w:t>720,829</w:t>
      </w:r>
    </w:p>
    <w:p>
      <w:pPr>
        <w:sectPr>
          <w:pgSz w:w="11900" w:h="16838" w:orient="portrait"/>
          <w:cols w:equalWidth="0" w:num="2">
            <w:col w:w="7077" w:space="720"/>
            <w:col w:w="2342"/>
          </w:cols>
          <w:pgMar w:left="320" w:top="455" w:right="1440"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Before making an investment decision, you should carefully consider the risks described under “Risk Factors” in the applicable prospectus supplement, together with all of the other information appearing in this prospectus or incorporated by reference into this prospectus and any applicable prospectus supplement, in light of your particular investment objectives and financial circumstances. Our business, financial condition or results of operations could be materially adversely affected by any of these risks. The trading price of our securities could decline due to any of these risks, and you may lose all or part of your investment. This prospectus and the incorporated documents also contain forward-looking statements that involve risks and uncertainties. Our actual results could differ materially from those anticipated in these forward-looking statements as a result of certain factors, including the risks mentioned elsewhere in this prospectus. You should also consider the risks, uncertainties and assumptions discussed under the heading “Risk Factors” included in our most recent Annual Report on Form 10-K, as revised or supplemented by our most recent Quarterly Report on Form 10-Q, which are incorporated herein by reference, together with the other information contained in this prospectus and in our filings with the SEC that we have incorporated by reference in this prospectus. We expect to update these Risk Factors from time to time in the periodic and current reports we file with the SEC after the date of this prospectus. These updated Risk Factors will be incorporated by reference in this prospectus. If any of these risks occur, our business, financial condition, results of operations and future growth prospects could be materially and adversely affected. In these circumstances, the trading price of our securities could decline, and you may lose all or part of your investment.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455" w:right="3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proceeds from the resale of the Shares under this prospectus are solely for the accounts of the Selling Stockholders. We will not receive any proceeds from the sale of Shares under this prospectus.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Concurrent with the Company’s acquisition of Anelixis on September 14, 2020, the Company entered into a Stock Purchase Agreement (the “Stock Purchase Agreement”) with certain institutional and accredited investors (the “Investors”), pursuant to which the Company issued and sold approximately 217,200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for an aggregate purchase price of approximately $108.15 million (the “Financing”). The Financing was exempt from registration pursuant to Section 4(a)(2) of the Securities Act and/or Regulation D promulgated thereunder, as a transaction by an issuer not involving a public offering.</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At the closing of the Financing, the Company entered into a Registration Rights Agreement (the “Registration Rights Agreement”) with the Investors. Pursuant to the Registration Rights Agreement, the Company has included in this prospectus 12,065,875 shares of Common Stock, which may be issued upon conversion of the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Shares issued pursuant to the Stock Purchase Agreement.</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this prospectus includes 298,693 Shares that are issuable upon conversion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underlying warrants held by Noble Capital Markets, Inc., which the Company assumed in connection with the acquisition of Anelixis.</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Except as otherwise noted below, the following table sets forth certain information regarding the Selling Stockholders and the shares of Common Stock beneficially owned by each person or entity, which is based on information that is available to us as of December 1, 2020. The Selling Stockholders may offer shares under this prospectus from time to time and may elect to sell none, some or all of the shares set forth next to its name. As a result, we cannot estimate the number of shares of Common Stock that the Selling Stockholders will beneficially own after termination of sales under this prospectus. In addition, the Selling Stockholders may have sold, transferred or otherwise disposed of all or a portion of such holder’s shares of Common Stock since the date on which it provided information for this table.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or warrants that are currently exercisable or exercisable within 60 days of December 1, 2020 are considered outstanding and beneficially owned by the person holding the options or warrants for the purpose of calculating the percentage ownership of that person but not for the purpose of calculating the percentage ownership of any other person.</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are relying on written commitments from the Selling Stockholders to notify us of any changes in its beneficial ownership after the date it originally provided this information. See “Plan of Distribution”.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Beneficially Owned After Offering (3)</w:t>
            </w:r>
          </w:p>
        </w:tc>
        <w:tc>
          <w:tcPr>
            <w:tcW w:w="0" w:type="dxa"/>
            <w:vAlign w:val="bottom"/>
          </w:tcPr>
          <w:p>
            <w:pPr>
              <w:spacing w:after="0"/>
              <w:rPr>
                <w:sz w:val="1"/>
                <w:szCs w:val="1"/>
                <w:color w:val="auto"/>
              </w:rPr>
            </w:pPr>
          </w:p>
        </w:tc>
      </w:tr>
      <w:tr>
        <w:trPr>
          <w:trHeight w:val="167"/>
        </w:trPr>
        <w:tc>
          <w:tcPr>
            <w:tcW w:w="1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Owned Before</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Selling Stockholder (1)</w:t>
            </w:r>
          </w:p>
        </w:tc>
        <w:tc>
          <w:tcPr>
            <w:tcW w:w="108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Offering (2)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6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BVF Partners L.P. (4)</w:t>
            </w: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2,789,382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2,594,055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1,476,345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rPr>
              <w:t>9.990%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Cormorant Global Healthcare Master Fund, LP(5)</w:t>
            </w:r>
          </w:p>
        </w:tc>
        <w:tc>
          <w:tcPr>
            <w:tcW w:w="2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1,952,500</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1,952,500</w:t>
            </w:r>
          </w:p>
        </w:tc>
        <w:tc>
          <w:tcPr>
            <w:tcW w:w="6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Logos Global Master Fund, LP(6)</w:t>
            </w:r>
          </w:p>
        </w:tc>
        <w:tc>
          <w:tcPr>
            <w:tcW w:w="2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1,115,722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1,115,722</w:t>
            </w: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EcoR1 Capital (7)</w:t>
            </w:r>
          </w:p>
        </w:tc>
        <w:tc>
          <w:tcPr>
            <w:tcW w:w="2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1,115,722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1,115,722</w:t>
            </w:r>
          </w:p>
        </w:tc>
        <w:tc>
          <w:tcPr>
            <w:tcW w:w="6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Select Portfolios: Biotechnology Portfolio (8)</w:t>
            </w:r>
          </w:p>
        </w:tc>
        <w:tc>
          <w:tcPr>
            <w:tcW w:w="2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1,004,111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1,004,111</w:t>
            </w: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Adage Capital Partners L.P. (9)</w:t>
            </w:r>
          </w:p>
        </w:tc>
        <w:tc>
          <w:tcPr>
            <w:tcW w:w="2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892,555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892,555</w:t>
            </w:r>
          </w:p>
        </w:tc>
        <w:tc>
          <w:tcPr>
            <w:tcW w:w="6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Woodline Master Fund LP (10)</w:t>
            </w:r>
          </w:p>
        </w:tc>
        <w:tc>
          <w:tcPr>
            <w:tcW w:w="2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892,555</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892,555</w:t>
            </w: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Ridgeback Capital Mgmt LLC (11)</w:t>
            </w:r>
          </w:p>
        </w:tc>
        <w:tc>
          <w:tcPr>
            <w:tcW w:w="2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669,388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669,388</w:t>
            </w:r>
          </w:p>
        </w:tc>
        <w:tc>
          <w:tcPr>
            <w:tcW w:w="6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Capital Markets, Inc. (12)</w:t>
            </w:r>
          </w:p>
        </w:tc>
        <w:tc>
          <w:tcPr>
            <w:tcW w:w="2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298,693</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298,693</w:t>
            </w: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Janus Henderson Biotech Innovation Master Fund Limited (13)</w:t>
            </w:r>
          </w:p>
        </w:tc>
        <w:tc>
          <w:tcPr>
            <w:tcW w:w="2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278,888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278,888</w:t>
            </w:r>
          </w:p>
        </w:tc>
        <w:tc>
          <w:tcPr>
            <w:tcW w:w="6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Samsara BioCapital, L.P. (14)</w:t>
            </w:r>
          </w:p>
        </w:tc>
        <w:tc>
          <w:tcPr>
            <w:tcW w:w="2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278,888</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278,888</w:t>
            </w: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1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tc>
        <w:tc>
          <w:tcPr>
            <w:tcW w:w="2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97"/>
        </w:trPr>
        <w:tc>
          <w:tcPr>
            <w:tcW w:w="5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J. Flesher (15)</w:t>
            </w:r>
          </w:p>
        </w:tc>
        <w:tc>
          <w:tcPr>
            <w:tcW w:w="2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104,348</w:t>
            </w: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55,555</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48,793</w:t>
            </w:r>
          </w:p>
        </w:tc>
        <w:tc>
          <w:tcPr>
            <w:tcW w:w="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Michael P. Cruse (16)</w:t>
            </w:r>
          </w:p>
        </w:tc>
        <w:tc>
          <w:tcPr>
            <w:tcW w:w="2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22,533</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11,111</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11,422</w:t>
            </w: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Selling Stockholders as a group (17)</w:t>
            </w:r>
          </w:p>
        </w:tc>
        <w:tc>
          <w:tcPr>
            <w:tcW w:w="2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1,204,825</w:t>
            </w: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1,204,825</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(1%) of outstanding the Common Stock.</w:t>
      </w:r>
    </w:p>
    <w:p>
      <w:pPr>
        <w:spacing w:after="0" w:line="130" w:lineRule="exact"/>
        <w:rPr>
          <w:rFonts w:ascii="Times New Roman" w:cs="Times New Roman" w:eastAsia="Times New Roman" w:hAnsi="Times New Roman"/>
          <w:sz w:val="18"/>
          <w:szCs w:val="18"/>
          <w:color w:val="auto"/>
        </w:rPr>
      </w:pPr>
    </w:p>
    <w:p>
      <w:pPr>
        <w:ind w:left="1000" w:right="40" w:hanging="547"/>
        <w:spacing w:after="0" w:line="255"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information about other selling stockholders, except for any future transferees, pledgees, donees or successors of the selling stockholder named in the table above, will be set forth in a prospectus supplement or amendment to the registration statement of which this prospectus is a part. Additionally, post-effective amendments to the registration statement will be filed to disclose any material changes to the plan of distribution from the description contained in the final prospectus.</w:t>
      </w:r>
    </w:p>
    <w:p>
      <w:pPr>
        <w:spacing w:after="0" w:line="2" w:lineRule="exact"/>
        <w:rPr>
          <w:rFonts w:ascii="Times New Roman" w:cs="Times New Roman" w:eastAsia="Times New Roman" w:hAnsi="Times New Roman"/>
          <w:sz w:val="18"/>
          <w:szCs w:val="18"/>
          <w:color w:val="auto"/>
        </w:rPr>
      </w:pPr>
    </w:p>
    <w:p>
      <w:pPr>
        <w:ind w:left="1000" w:right="40" w:hanging="547"/>
        <w:spacing w:after="0" w:line="250"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common stock issuable upon conversion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Effective as of 5:00 p.m. (Eastern time) on the second business day after the date on which stockholder approval of the conversion of the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into Shares in accordance with Nasdaq Listing Rule 5635(a) is received, each share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then outstanding automatically converts into approximately 55.5555556 shares of Common Stock (which reflects the Reverse Stock Split), and at any time thereafter at the option of the holder thereof, into approximately 55.5555556 shares of Common Stock, in each case, subject to certain beneficial ownership limitations, including that a holder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is prohibited from converting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into shares of Common Stock if, as a result of such conversion, such holder, together with its affiliates, would beneficially own more than a specified percentage (to be initially set at 9.9% and thereafter adjusted by the holder between to a number between 4.9% and 19.9%) of the total number of shares of Common Stock issued and outstanding immediately after giving effect to such conversion. The number of Shares in the second column does not reflect these limitations.</w:t>
      </w:r>
    </w:p>
    <w:p>
      <w:pPr>
        <w:spacing w:after="0" w:line="3" w:lineRule="exact"/>
        <w:rPr>
          <w:rFonts w:ascii="Times New Roman" w:cs="Times New Roman" w:eastAsia="Times New Roman" w:hAnsi="Times New Roman"/>
          <w:sz w:val="18"/>
          <w:szCs w:val="18"/>
          <w:color w:val="auto"/>
        </w:rPr>
      </w:pPr>
    </w:p>
    <w:p>
      <w:pPr>
        <w:ind w:left="1000" w:right="220" w:hanging="547"/>
        <w:spacing w:after="0" w:line="250"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all shares offered by the Selling Stockholders hereby are sold and that the Selling Stockholders buy or sell no additional shares of Common Stock prior to the completion of this offering. The beneficial ownership numbers and percentages shown assume the conversion into Common Stock of the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after giving effect to the impact of the beneficial ownership limitations discussed in footnote No. 2 above.</w:t>
      </w:r>
    </w:p>
    <w:p>
      <w:pPr>
        <w:spacing w:after="0" w:line="1" w:lineRule="exact"/>
        <w:rPr>
          <w:rFonts w:ascii="Times New Roman" w:cs="Times New Roman" w:eastAsia="Times New Roman" w:hAnsi="Times New Roman"/>
          <w:sz w:val="18"/>
          <w:szCs w:val="18"/>
          <w:color w:val="auto"/>
        </w:rPr>
      </w:pPr>
    </w:p>
    <w:p>
      <w:pPr>
        <w:ind w:left="1000" w:hanging="547"/>
        <w:spacing w:after="0" w:line="250"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available to the Company and information provided in a Schedule 13G filed by BVF Partners L.P. (“Partners”) on October 5, 2020. Consists of (i) 195,326 shares of common stock, (ii) 2,950,850 shares of common stock issuable upon the exercise of warrants and (iii) 6,885,096 shares of Common Stock issuable upon conversion of shares of convertible preferred stock held by Biotechnology Value Fund, L.P. (“BVF”), Biotechnology Value Fund II, L.P. (“BVF2”), Biotechnology Value Trading Fund OS L.P. (“Trading Fund OS”), and held in a certain Partners managed account (collectively, the “BVF Entities”). The warrants and shares of convertible preferred stock are subject to a beneficial ownership limitation of 9.99%, which does not permit the BVF Entities to exercise that portion of the warrants or convert that portion of the convertible preferred stock that would result in the BVF Entities owning, after exercise or conversion, a number of shares of Common Stock in excess of the beneficial ownership limitation. The amounts and percentages in the table give effect to the 9.99% beneficial ownership limitation. BVF I GP L.L.C. (“BVF GP”), as the general partner of BVF, may be deemed to beneficially own the shares beneficially owned by BVF. BVF II GP L.L.C. (“BVF2 GP”), as the general partner of BVF2, may be deemed to beneficially own the shares beneficially owned by BVF2. BVF Partners OS Ltd. (“Partners OS”), as the general partner of Trading Fund OS, may be deemed to beneficially own the shares beneficially owned by Trading Fund OS. BVF GP Holdings L.L.C. (“BVF GPH”), as the sole member of each of BVF GP and BVF2 GP, may be deemed to beneficially own the shares beneficially owned in the aggregate by BVF and BVF2. Partners, as the investment manager of general partner of BVF, BVF2, and the investment manager of Trading Fund OS, and the sole member of Partners OS, may be deemed to beneficially own the shares beneficially owned by BVF, BVF2 and Trading Fund OS. BVF Inc., as the general partner of Partners, may be deemed to beneficially own the shares beneficially owned by Partners. Mark Lampert, as a director and officer of BVF Inc., may be deemed to beneficially own the shares beneficially owned by BVF Inc.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Trading Fund OS, and held in the Partners mManaged aAccounts. The Schedule 13G indicates that the aforementioned entities share voting and investment power over the securities owned. The address of BVF, BVF2, BVF GP, BVF2 GP, BVF GPH, Partners, BVF Inc. and Mr. Lampert is 44 Montgomery St., 40th Floor, San Francisco, California 94104, and the address of Trading Fund OS and Partners OS is PO Box 309 Ugland House, Grand Cayman, KY1-1104, Cayman Islands.</w:t>
      </w:r>
    </w:p>
    <w:p>
      <w:pPr>
        <w:spacing w:after="0" w:line="9" w:lineRule="exact"/>
        <w:rPr>
          <w:rFonts w:ascii="Times New Roman" w:cs="Times New Roman" w:eastAsia="Times New Roman" w:hAnsi="Times New Roman"/>
          <w:sz w:val="18"/>
          <w:szCs w:val="18"/>
          <w:color w:val="auto"/>
        </w:rPr>
      </w:pPr>
    </w:p>
    <w:p>
      <w:pPr>
        <w:ind w:left="1000" w:right="300" w:hanging="547"/>
        <w:spacing w:after="0" w:line="250"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35,145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Bihua Chen may be deemed to beneficially own the shares owned by the Selling Stockholder. The address of the Selling Stockholder is 200 Clarendon Street, 52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Boston, MA 02116.</w:t>
      </w:r>
    </w:p>
    <w:p>
      <w:pPr>
        <w:spacing w:after="0" w:line="1" w:lineRule="exact"/>
        <w:rPr>
          <w:rFonts w:ascii="Times New Roman" w:cs="Times New Roman" w:eastAsia="Times New Roman" w:hAnsi="Times New Roman"/>
          <w:sz w:val="18"/>
          <w:szCs w:val="18"/>
          <w:color w:val="auto"/>
        </w:rPr>
      </w:pPr>
    </w:p>
    <w:p>
      <w:pPr>
        <w:ind w:left="1000" w:right="260" w:hanging="547"/>
        <w:spacing w:after="0" w:line="250"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20,083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Arsani William may be deemed to beneficially own the shares owned by the Selling Stockholder. The address of the Selling Stockholder is 1 Letterman Drive, Ste D3-700, San Francisco, CA 94129.</w:t>
      </w:r>
    </w:p>
    <w:p>
      <w:pPr>
        <w:spacing w:after="0" w:line="1" w:lineRule="exact"/>
        <w:rPr>
          <w:rFonts w:ascii="Times New Roman" w:cs="Times New Roman" w:eastAsia="Times New Roman" w:hAnsi="Times New Roman"/>
          <w:sz w:val="18"/>
          <w:szCs w:val="18"/>
          <w:color w:val="auto"/>
        </w:rPr>
      </w:pPr>
    </w:p>
    <w:p>
      <w:pPr>
        <w:jc w:val="both"/>
        <w:ind w:left="1000" w:right="80" w:hanging="547"/>
        <w:spacing w:after="0" w:line="250"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20,083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owned by EcoR1 Capital Fund, L.P. and EcoR1 Capital Fund Qualified, L.P.. Oleg Nodelman may be deemed to beneficially own the shares owned by the Selling Stockholder. The address of the Selling Stockholder is 357 Tehama Street #3, San Francisco, CA 94103.</w:t>
      </w:r>
    </w:p>
    <w:p>
      <w:pPr>
        <w:spacing w:after="0" w:line="1" w:lineRule="exact"/>
        <w:rPr>
          <w:rFonts w:ascii="Times New Roman" w:cs="Times New Roman" w:eastAsia="Times New Roman" w:hAnsi="Times New Roman"/>
          <w:sz w:val="18"/>
          <w:szCs w:val="18"/>
          <w:color w:val="auto"/>
        </w:rPr>
      </w:pPr>
    </w:p>
    <w:p>
      <w:pPr>
        <w:ind w:left="1000" w:right="200" w:hanging="547"/>
        <w:spacing w:after="0" w:line="250"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1,004,111 shares of Common Stock. The address of the Selling Stockholder is Mag &amp; Co c/o Brown Brothers Harriman &amp; Co, Attn: Corporate Actions/Vault, 140 Broadway, New York, NY 10005.</w:t>
      </w:r>
    </w:p>
    <w:p>
      <w:pPr>
        <w:spacing w:after="0" w:line="1" w:lineRule="exact"/>
        <w:rPr>
          <w:rFonts w:ascii="Times New Roman" w:cs="Times New Roman" w:eastAsia="Times New Roman" w:hAnsi="Times New Roman"/>
          <w:sz w:val="18"/>
          <w:szCs w:val="18"/>
          <w:color w:val="auto"/>
        </w:rPr>
      </w:pPr>
    </w:p>
    <w:p>
      <w:pPr>
        <w:ind w:left="1000" w:right="60" w:hanging="547"/>
        <w:spacing w:after="0" w:line="250"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16,066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Robert Atchinson and Phillip Gross, as managing members of Adage Capital Advisors, L. L. C, may be deemed to beneficially own the share owned by the Selling Stockholder. The address of the Selling Stockholder is 200 Clarendon Street, 52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Boston, MA, 02116.</w:t>
      </w:r>
    </w:p>
    <w:p>
      <w:pPr>
        <w:spacing w:after="0" w:line="1" w:lineRule="exact"/>
        <w:rPr>
          <w:rFonts w:ascii="Times New Roman" w:cs="Times New Roman" w:eastAsia="Times New Roman" w:hAnsi="Times New Roman"/>
          <w:sz w:val="18"/>
          <w:szCs w:val="18"/>
          <w:color w:val="auto"/>
        </w:rPr>
      </w:pPr>
    </w:p>
    <w:p>
      <w:pPr>
        <w:ind w:left="1000" w:right="40" w:hanging="547"/>
        <w:spacing w:after="0" w:line="253"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16,066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Woodline Partners LP serves as the investment manager of Woodline Master Fund LP and may be deemed to be the beneficial owner of the shares reported on this line. Woodline Master Fund LP disclaims any beneficial ownership of these shares. The address of the Selling Stockholder is 4 Embarcadero Center, Suite 3450, San Francisco, CA 94111.</w:t>
      </w:r>
    </w:p>
    <w:p>
      <w:pPr>
        <w:sectPr>
          <w:pgSz w:w="11900" w:h="16838" w:orient="portrait"/>
          <w:cols w:equalWidth="0" w:num="1">
            <w:col w:w="11240"/>
          </w:cols>
          <w:pgMar w:left="320" w:top="455" w:right="339" w:bottom="565"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455" w:right="339" w:bottom="565"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40" w:hanging="547"/>
        <w:spacing w:after="0" w:line="25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12,049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Wayne Holman may be deemed to beneficially own the shares owned by the Selling Stockholder. The address of the Selling Stockholder is 348 West 14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New York, NY 10014.</w:t>
      </w:r>
    </w:p>
    <w:p>
      <w:pPr>
        <w:spacing w:after="0" w:line="1" w:lineRule="exact"/>
        <w:rPr>
          <w:rFonts w:ascii="Times New Roman" w:cs="Times New Roman" w:eastAsia="Times New Roman" w:hAnsi="Times New Roman"/>
          <w:sz w:val="18"/>
          <w:szCs w:val="18"/>
          <w:color w:val="auto"/>
        </w:rPr>
      </w:pPr>
    </w:p>
    <w:p>
      <w:pPr>
        <w:ind w:left="1000" w:right="100" w:hanging="547"/>
        <w:spacing w:after="0" w:line="25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5,376,539 warrants exercisable into 5,376.47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Nico P. Pronk may be deemed to beneficially own the shares owned by the Selling Stockholder. The address of the Selling Stockholder is 225 NE Mizner Blvd, Suite 150, Boca Raton, FL 33432.</w:t>
      </w:r>
    </w:p>
    <w:p>
      <w:pPr>
        <w:spacing w:after="0" w:line="1" w:lineRule="exact"/>
        <w:rPr>
          <w:rFonts w:ascii="Times New Roman" w:cs="Times New Roman" w:eastAsia="Times New Roman" w:hAnsi="Times New Roman"/>
          <w:sz w:val="18"/>
          <w:szCs w:val="18"/>
          <w:color w:val="auto"/>
        </w:rPr>
      </w:pPr>
    </w:p>
    <w:p>
      <w:pPr>
        <w:ind w:left="1000" w:right="20" w:hanging="547"/>
        <w:spacing w:after="0" w:line="25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5,020 shares of Series X1 Preferred Stock. Such shares may be deemed to be beneficially owned by Janus Capital Management LLC (“Janus”), an investment adviser registered under the Investment Advisers Act of 1940, who acts as investment adviser for the Fund and has the ability to make decisions with respect to the voting and disposition of the shares subject to the oversight of the board of directors of the Fund. Under the terms of its management contract with the Fund, Janus has overall responsibility for directing the investments of the Fund in accordance with the Fund’s investment objective, policies and limitations. Andrew Acker and Dan Lyons have been appointed by Janus to make decisions with respect to the voting and disposition of the Shares. The address of the Selling Stockholder is 151 Detroit Street, Denver, CO 80206.</w:t>
      </w:r>
    </w:p>
    <w:p>
      <w:pPr>
        <w:spacing w:after="0" w:line="2" w:lineRule="exact"/>
        <w:rPr>
          <w:rFonts w:ascii="Times New Roman" w:cs="Times New Roman" w:eastAsia="Times New Roman" w:hAnsi="Times New Roman"/>
          <w:sz w:val="18"/>
          <w:szCs w:val="18"/>
          <w:color w:val="auto"/>
        </w:rPr>
      </w:pPr>
    </w:p>
    <w:p>
      <w:pPr>
        <w:ind w:left="1000" w:right="240" w:hanging="547"/>
        <w:spacing w:after="0" w:line="25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5,020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Srinivas Akkaraju may be deemed to beneficially own the shares owned by the Selling Stockholder. The address of the Selling Stockholder is 628 Middlefield Road, Palo Alto, CA 94301.</w:t>
      </w:r>
    </w:p>
    <w:p>
      <w:pPr>
        <w:spacing w:after="0" w:line="1" w:lineRule="exact"/>
        <w:rPr>
          <w:rFonts w:ascii="Times New Roman" w:cs="Times New Roman" w:eastAsia="Times New Roman" w:hAnsi="Times New Roman"/>
          <w:sz w:val="18"/>
          <w:szCs w:val="18"/>
          <w:color w:val="auto"/>
        </w:rPr>
      </w:pPr>
    </w:p>
    <w:p>
      <w:pPr>
        <w:jc w:val="both"/>
        <w:ind w:left="1000" w:right="20" w:hanging="547"/>
        <w:spacing w:after="0" w:line="25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(i) 8,717 shares of Common Stock, (ii) 40,078 shares of Common Stock exercisable as of November 15, 2020 or that will become exercisable within 60 days after such date and (iii) 1,0000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Mr. Flesher served as Chief Executive Officer of the Company from July 30, 2015 until September 4, 2020. The address of the Selling Stockholder is c/o Novus Therapeutics, Inc. 19900 MacArthur Blvd., Suite 550, Irvine, CA 92612.</w:t>
      </w:r>
    </w:p>
    <w:p>
      <w:pPr>
        <w:spacing w:after="0" w:line="1" w:lineRule="exact"/>
        <w:rPr>
          <w:rFonts w:ascii="Times New Roman" w:cs="Times New Roman" w:eastAsia="Times New Roman" w:hAnsi="Times New Roman"/>
          <w:sz w:val="18"/>
          <w:szCs w:val="18"/>
          <w:color w:val="auto"/>
        </w:rPr>
      </w:pPr>
    </w:p>
    <w:p>
      <w:pPr>
        <w:ind w:left="1000" w:right="80" w:hanging="547"/>
        <w:spacing w:after="0" w:line="25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Consists of (i) 3,136 shares of Common Stock, (ii) 8,286 shares of Common Stock exercisable as of November 15, 2020 or that will become exercisable within 60 days after such date and (iii) 200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Mr Cruse served as Vice President Corporate Operations of the Company from May 10, 2017 until June 30, 2020. The address of the Selling Stockholder is c/o Novus Therapeutics, Inc. 19900 MacArthur Blvd., Suite 550, Irvine, CA 92612</w:t>
      </w:r>
    </w:p>
    <w:p>
      <w:pPr>
        <w:spacing w:after="0" w:line="1" w:lineRule="exact"/>
        <w:rPr>
          <w:rFonts w:ascii="Times New Roman" w:cs="Times New Roman" w:eastAsia="Times New Roman" w:hAnsi="Times New Roman"/>
          <w:sz w:val="18"/>
          <w:szCs w:val="18"/>
          <w:color w:val="auto"/>
        </w:rPr>
      </w:pPr>
    </w:p>
    <w:p>
      <w:pPr>
        <w:ind w:left="1000" w:hanging="547"/>
        <w:spacing w:after="0" w:line="26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21,687 shares of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Includes shares of 18 Selling Stockholders that individually hold less than one percent (1%) of outstanding Common Stock.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the Selling Stockholders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to the Stock Purchase Agreement, on September 16, 2020, in connection with the Financing, we entered into a registration rights agreement with the Selling Stockholders (the “Registration Rights Agreement”).</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the Registration Rights Agreement, we agreed to prepare and file with the SEC a registration statement that permits the resale or other disposition of the Selling Stockholders’ Shares issued upon conversion of the Series X</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Preferred Stock issued to such Selling Stockholder pursuant to the Stock Purchase Agreement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w:t>
      </w:r>
    </w:p>
    <w:p>
      <w:pPr>
        <w:spacing w:after="0" w:line="18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have also agreed, among other things, to indemnify the Selling Stockholders and their officers, directors, agents, partners, members, managers, stockholders, affiliates and employees from certain liabilities and to pay all fees and expenses incident to our obligations under the Registration Rights Agreement.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registering the Shares issued to the Selling Stockholders to permit the resale of these Shares by the holders of the Shares from time to time after the date of this prospectus. We will not receive any of the proceeds from the sale by the selling stockholders of the Shares. We will, or will procure to, bear all fees and expenses incident to our obligation to register the Shares.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all or a portion of the Shares beneficially owned by them and offered hereby from time to time directly or through one or more underwriters, broker-dealers or agents. If the Shares are sold through underwriters or broker-dealers, the Selling Stockholders will be responsible for underwriting discounts or commissions or agent’s commissions. The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455"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at negotiated prices. These sales may be effected in transactions, which may involve crosses or block transactions. The Selling Stockholders may use any one or more of the following methods when selling shares:</w:t>
      </w:r>
    </w:p>
    <w:p>
      <w:pPr>
        <w:spacing w:after="0" w:line="67" w:lineRule="exact"/>
        <w:rPr>
          <w:sz w:val="20"/>
          <w:szCs w:val="20"/>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00" w:right="160" w:hanging="439"/>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00" w:right="700" w:hanging="439"/>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as amended, or the Securities Act, as permitted by that rule, or Section 4(a)(1) under the Securities Act, if available, rather than under this prospectus, provided that they meet the criteria and conform to the requirements of those provisions.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Shares to or through underwriters, broker-dealers or agents, such underwriters, broker-dealers or agents may receive commissions in the form of discounts, concessions or commissions from the Selling Stockholders or commissions from purchasers of the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sales of the Shares or otherwise, the Selling Stockholders may enter into hedging transactions with broker-dealers or other financial institutions, which may in turn engage in short sales of the Shares in the course of hedging in positions they assume. The Selling Stockholders may also sell Shares short and if such short sale shall take place after the date that this Registration Statement is declared effective by the Commission, the Selling Stockholders may deliver Shares covered by this prospectus to close out short positions and to return borrowed shares in connection with such short sales. The Selling Stockholders may also loan or pledge Shares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Selling Stockholders , from time to time, pledge or grant a security interest in some or all of the Shares owned by them and, if they default in the performance of their secured obligations, the pledgees or secured parties may offer and sell the Shares from time to time pursuant to this prospectus or any amendment to this prospectus under Rule 424(b)(3) or other applicable provision of the Securities Act of 1933, amending, if necessary, the list of Selling Stockholders to include the pledgee, transferee or other successors in interest as Selling Stockholders under this prospectus. The Selling Stockholders also may transfer and donate the Shares in other circumstances in which case the transferees, donees, pledgees or other successors in interest will be the selling beneficial owners for purposes of this prospectus.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455" w:right="3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Selling Stockholders and any broker-dealer or agents participating in the distribution of the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Securities Exchange Act of 1934, as amended, or the Exchange Act.</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Selling Stockholders has informed the Company that it is not a registered broker-dealer and does not have any written or oral agreement or understanding, directly or indirectly, with any person to distribute the Shares. Upon the Company being notified in writing by a Selling Stockholders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Stockholders and of the participating broker-dealer(s), (ii) the number of shares involved, (iii) the price at which such the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U.S. states, the Shares may be sold in such states only through registered or licensed brokers or dealers. In addition, in some U.S. states the Shares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Stockholders will sell any or all of the Shares registered pursuant to the shelf registration statement, of which this prospectus forms a part.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by the Selling Stockholders and any other participating person. To the extent applicable,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pursuant to the registration rights agreement, including, without limitation, Securities and Exchange Commission filing fees and expenses of compliance with state securities or “blue sky” laws; provided, however, that each Selling Stockholders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455" w:right="3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upon for us by Gibson, Dunn &amp; Crutcher LLP, San Francisco, California.</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Novus Therapeutics, Inc.</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KMJ Corbin &amp; Company LLP, independent registered public accounting firm, has audited our consolidated financial statements as of and for the year ended December 31, 2019, included in our Annual Report on Form 10-K for the year ended December 31, 2019 as set forth in their report (which contains an explanatory paragraph describing conditions that raise substantial doubt about the Company’s ability to continue as a going concern as described in Note 2 to the consolidated financial statements), which is incorporated by reference in this prospectus and elsewhere in the registration statement. Our consolidated financial statements are incorporated by reference in reliance on KMJ Corbin &amp; Company LLP’s report, given on their authority as experts in accounting and auditing.</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as of and for the year ended December 31, 2018, included in our Annual Report on Form 10-K for the year ended December 31, 2019, as set forth in their report (which contains an explanatory paragraph describing conditions that raise substantial doubt about the Company’s ability to continue as a going concern as described in Note 2 to the consolidated financial statements),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Anelixis Therapeutics, Inc.</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audited financial statements of Anelixis Therapeutics, Inc. for the years ended December 31, 2019 and 2018 incorporated in this prospectus by reference to the Company’s Proxy Statement on Schedule 14A and Form 8-K/A dated November 20, 2020 have been audited by AAFCPAs, Inc, as stated in their report (which includes emphasis of matter paragraphs regarding the Company’s ability to continue as a going concern and the adoption of Accounting Standards Updates (ASU) Nos. 2014-19,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and 2018-08, </w:t>
      </w:r>
      <w:r>
        <w:rPr>
          <w:rFonts w:ascii="Times New Roman" w:cs="Times New Roman" w:eastAsia="Times New Roman" w:hAnsi="Times New Roman"/>
          <w:sz w:val="18"/>
          <w:szCs w:val="18"/>
          <w:i w:val="1"/>
          <w:iCs w:val="1"/>
          <w:color w:val="auto"/>
        </w:rPr>
        <w:t>Not-for-Profit Entities</w:t>
      </w:r>
      <w:r>
        <w:rPr>
          <w:rFonts w:ascii="Times New Roman" w:cs="Times New Roman" w:eastAsia="Times New Roman" w:hAnsi="Times New Roman"/>
          <w:sz w:val="18"/>
          <w:szCs w:val="18"/>
          <w:color w:val="auto"/>
        </w:rPr>
        <w:t xml:space="preserve"> (Topic 958): </w:t>
      </w:r>
      <w:r>
        <w:rPr>
          <w:rFonts w:ascii="Times New Roman" w:cs="Times New Roman" w:eastAsia="Times New Roman" w:hAnsi="Times New Roman"/>
          <w:sz w:val="18"/>
          <w:szCs w:val="18"/>
          <w:i w:val="1"/>
          <w:iCs w:val="1"/>
          <w:color w:val="auto"/>
        </w:rPr>
        <w:t>Clarifying the Scope and the Accounting Guidance for Contributions Received and Contributions Made)</w:t>
      </w:r>
      <w:r>
        <w:rPr>
          <w:rFonts w:ascii="Times New Roman" w:cs="Times New Roman" w:eastAsia="Times New Roman" w:hAnsi="Times New Roman"/>
          <w:sz w:val="18"/>
          <w:szCs w:val="18"/>
          <w:color w:val="auto"/>
        </w:rPr>
        <w:t>, incorporated by reference and given upon the authority of said firm as experts in auditing and accounting.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under the Exchange Act. You may read and copy any reports, statements or other information on file at the SEC’s public reference facility located at 100 F Street, N.E., Washington, D.C. 20549. Please call the SEC at 1-800-SEC-0330 for further information regarding its public facilities. Our SEC filings, including the complete registration statement of which this prospectus is a part, are available to the public from commercial document retrieval services and also available at the Internet website maintained by the SEC at </w:t>
      </w:r>
      <w:r>
        <w:rPr>
          <w:rFonts w:ascii="Times New Roman" w:cs="Times New Roman" w:eastAsia="Times New Roman" w:hAnsi="Times New Roman"/>
          <w:sz w:val="18"/>
          <w:szCs w:val="18"/>
          <w:i w:val="1"/>
          <w:iCs w:val="1"/>
          <w:u w:val="single" w:color="auto"/>
          <w:color w:val="auto"/>
        </w:rPr>
        <w:t>http://www.sec.gov</w:t>
      </w:r>
      <w:r>
        <w:rPr>
          <w:rFonts w:ascii="Times New Roman" w:cs="Times New Roman" w:eastAsia="Times New Roman" w:hAnsi="Times New Roman"/>
          <w:sz w:val="18"/>
          <w:szCs w:val="18"/>
          <w:i w:val="1"/>
          <w:iCs w:val="1"/>
          <w:color w:val="auto"/>
        </w:rPr>
        <w: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made with the SEC under Sections 13(a), 13(c), 14, or 15(d) of the Securities Exchange Act of 1934 subsequent to the date of this registration statement until the end of any offerings under this prospectus:</w:t>
      </w:r>
    </w:p>
    <w:p>
      <w:pPr>
        <w:spacing w:after="0" w:line="89" w:lineRule="exact"/>
        <w:rPr>
          <w:sz w:val="20"/>
          <w:szCs w:val="20"/>
          <w:color w:val="auto"/>
        </w:rPr>
      </w:pPr>
    </w:p>
    <w:p>
      <w:pPr>
        <w:ind w:left="1000" w:right="540" w:hanging="439"/>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2019, including the information specifically incorporated by reference into the Annual Report on Form 10-K from our </w:t>
      </w:r>
      <w:hyperlink r:id="rId6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2020 Annual Meeting of Stockholders;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w:t>
      </w:r>
      <w:hyperlink r:id="rId63">
        <w:r>
          <w:rPr>
            <w:rFonts w:ascii="Times New Roman" w:cs="Times New Roman" w:eastAsia="Times New Roman" w:hAnsi="Times New Roman"/>
            <w:sz w:val="18"/>
            <w:szCs w:val="18"/>
            <w:u w:val="single" w:color="auto"/>
            <w:color w:val="0000EE"/>
          </w:rPr>
          <w:t>March 31, 2020</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June 30,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5">
        <w:r>
          <w:rPr>
            <w:rFonts w:ascii="Times New Roman" w:cs="Times New Roman" w:eastAsia="Times New Roman" w:hAnsi="Times New Roman"/>
            <w:sz w:val="18"/>
            <w:szCs w:val="18"/>
            <w:u w:val="single" w:color="auto"/>
            <w:color w:val="0000EE"/>
          </w:rPr>
          <w:t>September 30, 2020</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00" w:right="60" w:hanging="439"/>
        <w:spacing w:after="0" w:line="282" w:lineRule="auto"/>
        <w:tabs>
          <w:tab w:leader="none" w:pos="1000" w:val="left"/>
        </w:tabs>
        <w:numPr>
          <w:ilvl w:val="0"/>
          <w:numId w:val="8"/>
        </w:numPr>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auto"/>
          </w:rPr>
          <w:t xml:space="preserve">Our Current Reports on Forms 8-K and 8-K/A dated </w:t>
        </w:r>
        <w:r>
          <w:rPr>
            <w:rFonts w:ascii="Times New Roman" w:cs="Times New Roman" w:eastAsia="Times New Roman" w:hAnsi="Times New Roman"/>
            <w:sz w:val="18"/>
            <w:szCs w:val="18"/>
            <w:u w:val="single" w:color="auto"/>
            <w:color w:val="0000EE"/>
          </w:rPr>
          <w:t>January 16,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7,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19,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20,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23,</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May 13, 2020</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June 17, 2020</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September 4, 2020</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0">
        <w:r>
          <w:rPr>
            <w:rFonts w:ascii="Times New Roman" w:cs="Times New Roman" w:eastAsia="Times New Roman" w:hAnsi="Times New Roman"/>
            <w:sz w:val="18"/>
            <w:szCs w:val="18"/>
            <w:u w:val="single" w:color="auto"/>
            <w:color w:val="0000EE"/>
          </w:rPr>
          <w:t>September 15, 2020</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1">
        <w:r>
          <w:rPr>
            <w:rFonts w:ascii="Times New Roman" w:cs="Times New Roman" w:eastAsia="Times New Roman" w:hAnsi="Times New Roman"/>
            <w:sz w:val="18"/>
            <w:szCs w:val="18"/>
            <w:u w:val="single" w:color="auto"/>
            <w:color w:val="0000EE"/>
          </w:rPr>
          <w:t>October 6, 2020</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2">
        <w:r>
          <w:rPr>
            <w:rFonts w:ascii="Times New Roman" w:cs="Times New Roman" w:eastAsia="Times New Roman" w:hAnsi="Times New Roman"/>
            <w:sz w:val="18"/>
            <w:szCs w:val="18"/>
            <w:u w:val="single" w:color="auto"/>
            <w:color w:val="0000EE"/>
          </w:rPr>
          <w:t xml:space="preserve">November 20, 2020 </w:t>
        </w:r>
      </w:hyperlink>
      <w:hyperlink r:id="rId66">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73">
        <w:r>
          <w:rPr>
            <w:rFonts w:ascii="Times New Roman" w:cs="Times New Roman" w:eastAsia="Times New Roman" w:hAnsi="Times New Roman"/>
            <w:sz w:val="18"/>
            <w:szCs w:val="18"/>
            <w:u w:val="single" w:color="auto"/>
            <w:color w:val="0000EE"/>
          </w:rPr>
          <w:t>December 10, 2020</w:t>
        </w:r>
      </w:hyperlink>
      <w:r>
        <w:rPr>
          <w:rFonts w:ascii="Times New Roman" w:cs="Times New Roman" w:eastAsia="Times New Roman" w:hAnsi="Times New Roman"/>
          <w:sz w:val="18"/>
          <w:szCs w:val="18"/>
          <w:color w:val="000000"/>
        </w:rPr>
        <w:t>;</w:t>
      </w:r>
    </w:p>
    <w:p>
      <w:pPr>
        <w:spacing w:after="0" w:line="94"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455" w:right="3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75">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dated November 20, 2020;</w:t>
      </w:r>
    </w:p>
    <w:p>
      <w:pPr>
        <w:spacing w:after="0" w:line="130" w:lineRule="exact"/>
        <w:rPr>
          <w:rFonts w:ascii="Times New Roman" w:cs="Times New Roman" w:eastAsia="Times New Roman" w:hAnsi="Times New Roman"/>
          <w:sz w:val="18"/>
          <w:szCs w:val="18"/>
          <w:color w:val="auto"/>
        </w:rPr>
      </w:pPr>
    </w:p>
    <w:p>
      <w:pPr>
        <w:ind w:left="1000" w:right="140" w:hanging="439"/>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76">
        <w:r>
          <w:rPr>
            <w:rFonts w:ascii="Times New Roman" w:cs="Times New Roman" w:eastAsia="Times New Roman" w:hAnsi="Times New Roman"/>
            <w:sz w:val="18"/>
            <w:szCs w:val="18"/>
            <w:u w:val="single" w:color="auto"/>
            <w:color w:val="0000EE"/>
          </w:rPr>
          <w:t>September 12, 2014</w:t>
        </w:r>
      </w:hyperlink>
      <w:r>
        <w:rPr>
          <w:rFonts w:ascii="Times New Roman" w:cs="Times New Roman" w:eastAsia="Times New Roman" w:hAnsi="Times New Roman"/>
          <w:sz w:val="18"/>
          <w:szCs w:val="18"/>
          <w:color w:val="auto"/>
        </w:rPr>
        <w:t xml:space="preserve">, as amended on </w:t>
      </w:r>
      <w:hyperlink r:id="rId77">
        <w:r>
          <w:rPr>
            <w:rFonts w:ascii="Times New Roman" w:cs="Times New Roman" w:eastAsia="Times New Roman" w:hAnsi="Times New Roman"/>
            <w:sz w:val="18"/>
            <w:szCs w:val="18"/>
            <w:u w:val="single" w:color="auto"/>
            <w:color w:val="0000EE"/>
          </w:rPr>
          <w:t>June 23, 2017</w:t>
        </w:r>
      </w:hyperlink>
      <w:r>
        <w:rPr>
          <w:rFonts w:ascii="Times New Roman" w:cs="Times New Roman" w:eastAsia="Times New Roman" w:hAnsi="Times New Roman"/>
          <w:sz w:val="18"/>
          <w:szCs w:val="18"/>
          <w:color w:val="auto"/>
        </w:rPr>
        <w:t>, as well as any subsequent amendments or reports filed for the purpose of updating such description; and</w:t>
      </w:r>
    </w:p>
    <w:p>
      <w:pPr>
        <w:spacing w:after="0" w:line="67" w:lineRule="exact"/>
        <w:rPr>
          <w:rFonts w:ascii="Times New Roman" w:cs="Times New Roman" w:eastAsia="Times New Roman" w:hAnsi="Times New Roman"/>
          <w:sz w:val="18"/>
          <w:szCs w:val="18"/>
          <w:color w:val="auto"/>
        </w:rPr>
      </w:pPr>
    </w:p>
    <w:p>
      <w:pPr>
        <w:ind w:left="1000" w:right="40" w:hanging="439"/>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by the Company pursuant to Sections 13(a), 13(c), 14 and 15(d) of the Exchange Act, after the date of the original Registration Statement and prior to effectiveness of the registration statement of which this prospectus is a part, provided that all documents “furnished” by the Company to the SEC and not “filed” are not deemed incorporated by reference herein.</w:t>
      </w:r>
    </w:p>
    <w:p>
      <w:pPr>
        <w:spacing w:after="0" w:line="176" w:lineRule="exact"/>
        <w:rPr>
          <w:rFonts w:ascii="Times New Roman" w:cs="Times New Roman" w:eastAsia="Times New Roman" w:hAnsi="Times New Roman"/>
          <w:sz w:val="18"/>
          <w:szCs w:val="18"/>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else to provide you with different information. You should not assume that the information in this prospectus or any prospectus supplement is accurate as of any date other than the date on the front page of those documents.</w:t>
      </w:r>
    </w:p>
    <w:p>
      <w:pPr>
        <w:spacing w:after="0" w:line="176"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76" w:lineRule="exact"/>
        <w:rPr>
          <w:rFonts w:ascii="Times New Roman" w:cs="Times New Roman" w:eastAsia="Times New Roman" w:hAnsi="Times New Roman"/>
          <w:sz w:val="18"/>
          <w:szCs w:val="18"/>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Novus Therapeutics Inc., 19900 MacArthur Boulevard, Suite 550, Irvine, California 92612, telephone: (949) 238-8090.</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8" w:name="page19"/>
    <w:bookmarkEnd w:id="1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8"/>
          <w:szCs w:val="28"/>
          <w:b w:val="1"/>
          <w:bCs w:val="1"/>
          <w:color w:val="auto"/>
        </w:rPr>
        <w:t>12,364,568 Shares of Common Stock</w:t>
      </w:r>
    </w:p>
    <w:p>
      <w:pPr>
        <w:spacing w:after="0" w:line="5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9"/>
          <w:szCs w:val="29"/>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388620</wp:posOffset>
            </wp:positionV>
            <wp:extent cx="14916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expenses payable by us in connection with the issuance and distribution of the securities being registered (other than underwriting discounts and commissions, if any) are set forth below. Each item listed is estimated, except for the SEC registration fee.</w:t>
      </w:r>
    </w:p>
    <w:p>
      <w:pPr>
        <w:spacing w:after="0" w:line="207"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Fee—Securities and Exchange Commission</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Certificate of Incorporation provides for the elimination of personal monetary liability of directors to the fullest extent permissible under Delaware law. Delaware law does not permit the elimination or limitation of director monetary liability for: (i) breaches of the director’s duty of loyalty to the corporation or its stockholders; (ii) acts or omissions not in good faith or involving intentional misconduct or knowing violations of law; (iii) the payment of unlawful dividends or unlawful stock repurchases or redemptions or (iv) transactions in which the director received an improper personal benefit.</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permits a Delaware corporation to indemnify, on certain terms and conditions, any person who was or is a party or is threatened to be made a party to any threatened pending or completed action, suit or proceeding, whether civil, criminal, administrative or investigative,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The Certificate of Incorporation and Bylaws of the Company require the Company to indemnify the Company’s directors and officers to the fullest extent permitted under Delaware law.</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the Company has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filed with this registration statement on Form S-3 is set forth on the Exhibit Index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512(a) of Regulation S-K</w:t>
      </w:r>
      <w:r>
        <w:rPr>
          <w:rFonts w:ascii="Times New Roman" w:cs="Times New Roman" w:eastAsia="Times New Roman" w:hAnsi="Times New Roman"/>
          <w:sz w:val="18"/>
          <w:szCs w:val="18"/>
          <w:color w:val="auto"/>
        </w:rPr>
        <w:t>. The undersigned registrant hereby undertakes: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455"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680" w:hanging="223"/>
        <w:spacing w:after="0"/>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460" w:right="40" w:hanging="3"/>
        <w:spacing w:after="0" w:line="269" w:lineRule="auto"/>
        <w:tabs>
          <w:tab w:leader="none" w:pos="725"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w:t>
      </w:r>
    </w:p>
    <w:p>
      <w:pPr>
        <w:spacing w:after="0" w:line="2" w:lineRule="exact"/>
        <w:rPr>
          <w:rFonts w:ascii="Times New Roman" w:cs="Times New Roman" w:eastAsia="Times New Roman" w:hAnsi="Times New Roman"/>
          <w:sz w:val="17"/>
          <w:szCs w:val="17"/>
          <w:color w:val="auto"/>
        </w:rPr>
      </w:pPr>
    </w:p>
    <w:p>
      <w:pPr>
        <w:ind w:left="460" w:right="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 percent change in the maximum aggregate offering price set forth in the “Calculation of Registration Fee” table in the effective registration statement; and</w:t>
      </w:r>
    </w:p>
    <w:p>
      <w:pPr>
        <w:spacing w:after="0" w:line="73" w:lineRule="exact"/>
        <w:rPr>
          <w:rFonts w:ascii="Times New Roman" w:cs="Times New Roman" w:eastAsia="Times New Roman" w:hAnsi="Times New Roman"/>
          <w:sz w:val="17"/>
          <w:szCs w:val="17"/>
          <w:color w:val="auto"/>
        </w:rPr>
      </w:pPr>
    </w:p>
    <w:p>
      <w:pPr>
        <w:ind w:left="460" w:right="100" w:hanging="3"/>
        <w:spacing w:after="0" w:line="282" w:lineRule="auto"/>
        <w:tabs>
          <w:tab w:leader="none" w:pos="7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5" w:lineRule="exact"/>
        <w:rPr>
          <w:sz w:val="20"/>
          <w:szCs w:val="20"/>
          <w:color w:val="auto"/>
        </w:rPr>
      </w:pPr>
    </w:p>
    <w:p>
      <w:pPr>
        <w:ind w:left="460" w:right="10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81" w:lineRule="exact"/>
        <w:rPr>
          <w:rFonts w:ascii="Times New Roman" w:cs="Times New Roman" w:eastAsia="Times New Roman" w:hAnsi="Times New Roman"/>
          <w:sz w:val="18"/>
          <w:szCs w:val="18"/>
          <w:color w:val="auto"/>
        </w:rPr>
      </w:pPr>
    </w:p>
    <w:p>
      <w:pPr>
        <w:ind w:left="460" w:right="4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460" w:right="140" w:hanging="3"/>
        <w:spacing w:after="0" w:line="282" w:lineRule="auto"/>
        <w:tabs>
          <w:tab w:leader="none" w:pos="7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this registration statement; and</w:t>
      </w:r>
    </w:p>
    <w:p>
      <w:pPr>
        <w:spacing w:after="0" w:line="53" w:lineRule="exact"/>
        <w:rPr>
          <w:rFonts w:ascii="Times New Roman" w:cs="Times New Roman" w:eastAsia="Times New Roman" w:hAnsi="Times New Roman"/>
          <w:sz w:val="18"/>
          <w:szCs w:val="18"/>
          <w:color w:val="auto"/>
        </w:rPr>
      </w:pPr>
    </w:p>
    <w:p>
      <w:pPr>
        <w:ind w:left="460" w:hanging="3"/>
        <w:spacing w:after="0" w:line="253" w:lineRule="auto"/>
        <w:tabs>
          <w:tab w:leader="none" w:pos="7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this Registration Statement or made in any such document immediately prior to such effective 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455"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44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53" w:lineRule="exact"/>
        <w:rPr>
          <w:rFonts w:ascii="Times New Roman" w:cs="Times New Roman" w:eastAsia="Times New Roman" w:hAnsi="Times New Roman"/>
          <w:sz w:val="18"/>
          <w:szCs w:val="18"/>
          <w:color w:val="auto"/>
        </w:rPr>
      </w:pPr>
    </w:p>
    <w:p>
      <w:pPr>
        <w:ind w:left="46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1" w:lineRule="exact"/>
        <w:rPr>
          <w:rFonts w:ascii="Times New Roman" w:cs="Times New Roman" w:eastAsia="Times New Roman" w:hAnsi="Times New Roman"/>
          <w:sz w:val="18"/>
          <w:szCs w:val="18"/>
          <w:color w:val="auto"/>
        </w:rPr>
      </w:pPr>
    </w:p>
    <w:p>
      <w:pPr>
        <w:ind w:left="680" w:hanging="223"/>
        <w:spacing w:after="0"/>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460" w:right="780" w:hanging="3"/>
        <w:spacing w:after="0" w:line="282" w:lineRule="auto"/>
        <w:tabs>
          <w:tab w:leader="none" w:pos="72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460" w:right="160" w:hanging="3"/>
        <w:spacing w:after="0" w:line="282" w:lineRule="auto"/>
        <w:tabs>
          <w:tab w:leader="none" w:pos="77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760" w:hanging="303"/>
        <w:spacing w:after="0"/>
        <w:tabs>
          <w:tab w:leader="none" w:pos="7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Item 512(b) of Regulation S-K</w:t>
      </w:r>
      <w:r>
        <w:rPr>
          <w:rFonts w:ascii="Times New Roman" w:cs="Times New Roman" w:eastAsia="Times New Roman" w:hAnsi="Times New Roman"/>
          <w:sz w:val="18"/>
          <w:szCs w:val="18"/>
          <w:color w:val="auto"/>
        </w:rPr>
        <w:t>. The undersigned registrant hereby undertakes that, for purposes of determining any liability under the Securities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1933, each filing of the registrant’s annual report pursuant to Section 13(a) or Section 15(d) of the Securities Exchange Act of 1934, as amended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Item 512(h) of Regulation S-K</w:t>
      </w:r>
      <w:r>
        <w:rPr>
          <w:rFonts w:ascii="Times New Roman" w:cs="Times New Roman" w:eastAsia="Times New Roman" w:hAnsi="Times New Roman"/>
          <w:sz w:val="18"/>
          <w:szCs w:val="18"/>
          <w:color w:val="auto"/>
        </w:rPr>
        <w:t>. Insofar as indemnification for liabilities arising under the Securities Act of 1933 may be permitted to directors,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60"/>
          </w:cols>
          <w:pgMar w:left="320" w:top="455" w:right="4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80" w:type="dxa"/>
            <w:vAlign w:val="bottom"/>
            <w:gridSpan w:val="18"/>
          </w:tcPr>
          <w:p>
            <w:pPr>
              <w:ind w:left="1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00" w:type="dxa"/>
            <w:vAlign w:val="bottom"/>
            <w:gridSpan w:val="14"/>
          </w:tcPr>
          <w:p>
            <w:pPr>
              <w:spacing w:after="0"/>
              <w:rPr>
                <w:sz w:val="24"/>
                <w:szCs w:val="24"/>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spacing w:after="0"/>
              <w:rPr>
                <w:sz w:val="24"/>
                <w:szCs w:val="24"/>
                <w:color w:val="auto"/>
              </w:rPr>
            </w:pPr>
          </w:p>
        </w:tc>
        <w:tc>
          <w:tcPr>
            <w:tcW w:w="92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Certificate of Designations of Series X1 Convertible Preferred Stock (Incorporated by reference to Exhibit 3.1 to the registrant’s</w:t>
              </w:r>
            </w:hyperlink>
          </w:p>
        </w:tc>
        <w:tc>
          <w:tcPr>
            <w:tcW w:w="50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current report on Form 8-K (File No. 001-36620) filed on September 15, 2020</w:t>
              </w:r>
            </w:hyperlink>
          </w:p>
        </w:tc>
        <w:tc>
          <w:tcPr>
            <w:tcW w:w="4100" w:type="dxa"/>
            <w:vAlign w:val="bottom"/>
            <w:gridSpan w:val="11"/>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Form of Common Stock Certificate (Incorporated by reference to Exhibit 4.1 to Amendment No. 1 to the Registration Statement on</w:t>
              </w:r>
            </w:hyperlink>
          </w:p>
        </w:tc>
        <w:tc>
          <w:tcPr>
            <w:tcW w:w="26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8-A, filed by the registrant on June 23, 2017)</w:t>
              </w:r>
            </w:hyperlink>
          </w:p>
        </w:tc>
      </w:tr>
      <w:tr>
        <w:trPr>
          <w:trHeight w:val="20"/>
        </w:trPr>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tcPr>
          <w:p>
            <w:pPr>
              <w:spacing w:after="0"/>
              <w:rPr>
                <w:sz w:val="24"/>
                <w:szCs w:val="24"/>
                <w:color w:val="auto"/>
              </w:rPr>
            </w:pPr>
          </w:p>
        </w:tc>
        <w:tc>
          <w:tcPr>
            <w:tcW w:w="97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Restated Certificate of Incorporation of Novus Therapeutics, Inc., a Delaware corporation, dated September 22, 2014 (Incorporated by</w:t>
              </w:r>
            </w:hyperlink>
          </w:p>
        </w:tc>
      </w:tr>
      <w:tr>
        <w:trPr>
          <w:trHeight w:val="236"/>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40" w:type="dxa"/>
            <w:vAlign w:val="bottom"/>
            <w:gridSpan w:val="19"/>
          </w:tcPr>
          <w:p>
            <w:pPr>
              <w:spacing w:after="0"/>
              <w:rPr>
                <w:rFonts w:ascii="Times New Roman" w:cs="Times New Roman" w:eastAsia="Times New Roman" w:hAnsi="Times New Roman"/>
                <w:sz w:val="18"/>
                <w:szCs w:val="18"/>
                <w:u w:val="single" w:color="auto"/>
                <w:color w:val="0000EE"/>
              </w:rPr>
            </w:pPr>
            <w:hyperlink r:id="rId91">
              <w:r>
                <w:rPr>
                  <w:rFonts w:ascii="Times New Roman" w:cs="Times New Roman" w:eastAsia="Times New Roman" w:hAnsi="Times New Roman"/>
                  <w:sz w:val="18"/>
                  <w:szCs w:val="18"/>
                  <w:u w:val="single" w:color="auto"/>
                  <w:color w:val="0000EE"/>
                </w:rPr>
                <w:t>reference to Exhibit 3.1 to the registrant’s current report on Form 8-K (File No. 001-36620) filed on September 26, 2014)</w:t>
              </w:r>
            </w:hyperlink>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tcPr>
          <w:p>
            <w:pPr>
              <w:spacing w:after="0"/>
              <w:rPr>
                <w:sz w:val="24"/>
                <w:szCs w:val="24"/>
                <w:color w:val="auto"/>
              </w:rPr>
            </w:pPr>
          </w:p>
        </w:tc>
        <w:tc>
          <w:tcPr>
            <w:tcW w:w="95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Certificate of Amendment to Certificate of Incorporation of Novus Therapeutics, Inc. (effecting, among other things a reverse stock</w:t>
              </w:r>
            </w:hyperlink>
          </w:p>
        </w:tc>
        <w:tc>
          <w:tcPr>
            <w:tcW w:w="24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split), filed with the Secretary of the State of Delaware on October 5, 2020 (Incorporated by reference to Exhibit 3.1 to the registrant’s</w:t>
              </w:r>
            </w:hyperlink>
          </w:p>
        </w:tc>
        <w:tc>
          <w:tcPr>
            <w:tcW w:w="6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current report on Form 8-K (File No. 001-36620) filed on October 6, 2020)</w:t>
              </w:r>
            </w:hyperlink>
          </w:p>
        </w:tc>
        <w:tc>
          <w:tcPr>
            <w:tcW w:w="4320" w:type="dxa"/>
            <w:vAlign w:val="bottom"/>
            <w:gridSpan w:val="1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Certificate of Amendment to Certificate of Incorporation of Novus Therapeutics, Inc. (effecting, among other things a reverse stock</w:t>
              </w:r>
            </w:hyperlink>
          </w:p>
        </w:tc>
        <w:tc>
          <w:tcPr>
            <w:tcW w:w="26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split), filed with the Secretary of the State of Delaware on May 9, 2017 (Incorporated by reference to Exhibit 3.1 to the registrant’s</w:t>
              </w:r>
            </w:hyperlink>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current report on Form 8-K (File No. 001-36620) filed on May 15, 2017)</w:t>
              </w:r>
            </w:hyperlink>
          </w:p>
        </w:tc>
        <w:tc>
          <w:tcPr>
            <w:tcW w:w="4140" w:type="dxa"/>
            <w:vAlign w:val="bottom"/>
            <w:tcBorders>
              <w:top w:val="single" w:sz="8" w:color="0000EE"/>
            </w:tcBorders>
            <w:gridSpan w:val="4"/>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tcPr>
          <w:p>
            <w:pPr>
              <w:spacing w:after="0"/>
              <w:rPr>
                <w:sz w:val="24"/>
                <w:szCs w:val="24"/>
                <w:color w:val="auto"/>
              </w:rPr>
            </w:pPr>
          </w:p>
        </w:tc>
        <w:tc>
          <w:tcPr>
            <w:tcW w:w="95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Certificate of Amendment to Certificate of Incorporation of Novus Therapeutics, Inc. (effecting, among other things a change in the</w:t>
              </w:r>
            </w:hyperlink>
          </w:p>
        </w:tc>
        <w:tc>
          <w:tcPr>
            <w:tcW w:w="24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corporation’s name to “Novus Therapeutics, Inc.”), filed with the Secretary of the State of Delaware on May 9, 2017 (Incorporated by</w:t>
              </w:r>
            </w:hyperlink>
          </w:p>
        </w:tc>
        <w:tc>
          <w:tcPr>
            <w:tcW w:w="80" w:type="dxa"/>
            <w:vAlign w:val="bottom"/>
            <w:gridSpan w:val="3"/>
          </w:tcPr>
          <w:p>
            <w:pPr>
              <w:spacing w:after="0"/>
              <w:rPr>
                <w:sz w:val="17"/>
                <w:szCs w:val="17"/>
                <w:color w:val="auto"/>
              </w:rPr>
            </w:pPr>
          </w:p>
        </w:tc>
      </w:tr>
      <w:tr>
        <w:trPr>
          <w:trHeight w:val="237"/>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40" w:type="dxa"/>
            <w:vAlign w:val="bottom"/>
            <w:gridSpan w:val="19"/>
          </w:tcPr>
          <w:p>
            <w:pPr>
              <w:spacing w:after="0"/>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reference to Exhibit 3.2 to the registrant’s current report on Form 8-K (File No. 001-36620) filed on May 15, 2017)</w:t>
              </w:r>
            </w:hyperlink>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tcPr>
          <w:p>
            <w:pPr>
              <w:spacing w:after="0"/>
              <w:rPr>
                <w:sz w:val="24"/>
                <w:szCs w:val="24"/>
                <w:color w:val="auto"/>
              </w:rPr>
            </w:pPr>
          </w:p>
        </w:tc>
        <w:tc>
          <w:tcPr>
            <w:tcW w:w="9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Amended and Restated Bylaws of Novus Therapeutics, Inc. (Incorporated by reference to Exhibit 3.1 to the registrant’s current report</w:t>
              </w:r>
            </w:hyperlink>
          </w:p>
        </w:tc>
        <w:tc>
          <w:tcPr>
            <w:tcW w:w="12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on Form 8-K (File No. 001-36620) filed on November 20, 2020)</w:t>
              </w:r>
            </w:hyperlink>
          </w:p>
        </w:tc>
        <w:tc>
          <w:tcPr>
            <w:tcW w:w="5080" w:type="dxa"/>
            <w:vAlign w:val="bottom"/>
            <w:gridSpan w:val="15"/>
          </w:tcPr>
          <w:p>
            <w:pPr>
              <w:spacing w:after="0"/>
              <w:rPr>
                <w:sz w:val="17"/>
                <w:szCs w:val="17"/>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60" w:type="dxa"/>
            <w:vAlign w:val="bottom"/>
          </w:tcPr>
          <w:p>
            <w:pPr>
              <w:spacing w:after="0"/>
              <w:rPr>
                <w:sz w:val="24"/>
                <w:szCs w:val="24"/>
                <w:color w:val="auto"/>
              </w:rPr>
            </w:pPr>
          </w:p>
        </w:tc>
        <w:tc>
          <w:tcPr>
            <w:tcW w:w="9740" w:type="dxa"/>
            <w:vAlign w:val="bottom"/>
            <w:gridSpan w:val="19"/>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Opinion of Gibson, Dunn &amp; Crutcher LLP **</w:t>
              </w:r>
            </w:hyperlink>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24"/>
                <w:szCs w:val="24"/>
                <w:color w:val="auto"/>
              </w:rPr>
            </w:pPr>
          </w:p>
        </w:tc>
        <w:tc>
          <w:tcPr>
            <w:tcW w:w="97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Stock Purchase Agreement, dated as of September 14, 2020, by and among Novus Therapeutics, Inc. and each purchaser identified on</w:t>
              </w:r>
            </w:hyperlink>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Annex A thereto (Incorporated by reference to Exhibit 10.1 to the registrant’s current report on Form 8-K (File No. 001-36620) filed</w:t>
              </w:r>
            </w:hyperlink>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on September 15, 2020</w:t>
              </w:r>
            </w:hyperlink>
          </w:p>
        </w:tc>
        <w:tc>
          <w:tcPr>
            <w:tcW w:w="200" w:type="dxa"/>
            <w:vAlign w:val="bottom"/>
            <w:gridSpan w:val="6"/>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980" w:type="dxa"/>
            <w:vAlign w:val="bottom"/>
            <w:gridSpan w:val="1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spacing w:after="0"/>
              <w:rPr>
                <w:sz w:val="24"/>
                <w:szCs w:val="24"/>
                <w:color w:val="auto"/>
              </w:rPr>
            </w:pPr>
          </w:p>
        </w:tc>
        <w:tc>
          <w:tcPr>
            <w:tcW w:w="96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Form of Registration Rights Agreement, by and among Novus Therapeutics, Inc. and certain purchasers (Incorporated by reference to</w:t>
              </w:r>
            </w:hyperlink>
          </w:p>
        </w:tc>
        <w:tc>
          <w:tcPr>
            <w:tcW w:w="100" w:type="dxa"/>
            <w:vAlign w:val="bottom"/>
            <w:gridSpan w:val="4"/>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40" w:type="dxa"/>
            <w:vAlign w:val="bottom"/>
            <w:gridSpan w:val="19"/>
          </w:tcPr>
          <w:p>
            <w:pPr>
              <w:spacing w:after="0"/>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Exhibit 10.2 to the registrant’s current report on Form 8-K (File No. 001-36620) filed on September 15, 2020)</w:t>
              </w:r>
            </w:hyperlink>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60" w:type="dxa"/>
            <w:vAlign w:val="bottom"/>
          </w:tcPr>
          <w:p>
            <w:pPr>
              <w:spacing w:after="0"/>
              <w:rPr>
                <w:sz w:val="24"/>
                <w:szCs w:val="24"/>
                <w:color w:val="auto"/>
              </w:rPr>
            </w:pPr>
          </w:p>
        </w:tc>
        <w:tc>
          <w:tcPr>
            <w:tcW w:w="9740" w:type="dxa"/>
            <w:vAlign w:val="bottom"/>
            <w:gridSpan w:val="19"/>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Consent of KMJ Corbin &amp; Company LLP, independent registered public accounting firm**</w:t>
              </w:r>
            </w:hyperlink>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60" w:type="dxa"/>
            <w:vAlign w:val="bottom"/>
          </w:tcPr>
          <w:p>
            <w:pPr>
              <w:spacing w:after="0"/>
              <w:rPr>
                <w:sz w:val="24"/>
                <w:szCs w:val="24"/>
                <w:color w:val="auto"/>
              </w:rPr>
            </w:pPr>
          </w:p>
        </w:tc>
        <w:tc>
          <w:tcPr>
            <w:tcW w:w="9740" w:type="dxa"/>
            <w:vAlign w:val="bottom"/>
            <w:gridSpan w:val="19"/>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Consent of Ernst &amp; Young LLP, independent registered public accounting firm**</w:t>
              </w:r>
            </w:hyperlink>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760" w:type="dxa"/>
            <w:vAlign w:val="bottom"/>
          </w:tcPr>
          <w:p>
            <w:pPr>
              <w:spacing w:after="0"/>
              <w:rPr>
                <w:sz w:val="24"/>
                <w:szCs w:val="24"/>
                <w:color w:val="auto"/>
              </w:rPr>
            </w:pPr>
          </w:p>
        </w:tc>
        <w:tc>
          <w:tcPr>
            <w:tcW w:w="9740" w:type="dxa"/>
            <w:vAlign w:val="bottom"/>
            <w:gridSpan w:val="19"/>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Consent of AAFCPAs, Inc, the independent auditors of Anelixis Therapeutics, Inc**</w:t>
              </w:r>
            </w:hyperlink>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760" w:type="dxa"/>
            <w:vAlign w:val="bottom"/>
          </w:tcPr>
          <w:p>
            <w:pPr>
              <w:spacing w:after="0"/>
              <w:rPr>
                <w:sz w:val="24"/>
                <w:szCs w:val="24"/>
                <w:color w:val="auto"/>
              </w:rPr>
            </w:pPr>
          </w:p>
        </w:tc>
        <w:tc>
          <w:tcPr>
            <w:tcW w:w="9740" w:type="dxa"/>
            <w:vAlign w:val="bottom"/>
            <w:gridSpan w:val="19"/>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Consent of Gibson, Dunn &amp; Crutcher LLP (included in legal opinion filed as Exhibit 5.1)**</w:t>
              </w:r>
            </w:hyperlink>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760" w:type="dxa"/>
            <w:vAlign w:val="bottom"/>
          </w:tcPr>
          <w:p>
            <w:pPr>
              <w:spacing w:after="0"/>
              <w:rPr>
                <w:sz w:val="24"/>
                <w:szCs w:val="24"/>
                <w:color w:val="auto"/>
              </w:rPr>
            </w:pPr>
          </w:p>
        </w:tc>
        <w:tc>
          <w:tcPr>
            <w:tcW w:w="9740" w:type="dxa"/>
            <w:vAlign w:val="bottom"/>
            <w:gridSpan w:val="19"/>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Power of Attorney (included on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220"/>
          </w:cols>
          <w:pgMar w:left="320" w:top="455"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Irvine, state of California, on December 11, 2020.</w:t>
      </w:r>
    </w:p>
    <w:p>
      <w:pPr>
        <w:spacing w:after="0" w:line="19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NOVUS THERAPEUTICS,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David-Alexandre C. Gros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David-Alexandre C. Gros</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 each of whom also constitutes and appoints David-Alexandre C. Gros and Jon S. Kuwahara, and each of them singly, his true and lawful attorney-in-fact and agent, for him , with full power of substitution and resubstitution, for him and in his name, place and stead, in any and all capacities, to sign any and all amendments to this Registration Statement, and to file the same and all exhibits thereto and any other documents in connection therewith with the Securities and Exchange Commission, granting unto each attorney-in-fact and agent full power and authority to do and perform each and every act and thing requisite and necessary to be done, as fully to all intents and purposes as he might or could do in person, hereby ratifying and confirming all that each attorney-in-fact and agent or his substitute or substitutes may lawfully do or cause to be done by virtue hereof.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David-Alexandre C. Gros</w:t>
            </w:r>
          </w:p>
        </w:tc>
        <w:tc>
          <w:tcPr>
            <w:tcW w:w="140" w:type="dxa"/>
            <w:vAlign w:val="bottom"/>
          </w:tcPr>
          <w:p>
            <w:pPr>
              <w:spacing w:after="0"/>
              <w:rPr>
                <w:sz w:val="24"/>
                <w:szCs w:val="24"/>
                <w:color w:val="auto"/>
              </w:rPr>
            </w:pPr>
          </w:p>
        </w:tc>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David-Alexandre C. Gros.</w:t>
            </w:r>
          </w:p>
        </w:tc>
        <w:tc>
          <w:tcPr>
            <w:tcW w:w="140" w:type="dxa"/>
            <w:vAlign w:val="bottom"/>
          </w:tcPr>
          <w:p>
            <w:pPr>
              <w:spacing w:after="0"/>
              <w:rPr>
                <w:sz w:val="19"/>
                <w:szCs w:val="19"/>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60" w:type="dxa"/>
            <w:vAlign w:val="bottom"/>
          </w:tcPr>
          <w:p>
            <w:pPr>
              <w:spacing w:after="0"/>
              <w:rPr>
                <w:sz w:val="19"/>
                <w:szCs w:val="19"/>
                <w:color w:val="auto"/>
              </w:rPr>
            </w:pPr>
          </w:p>
        </w:tc>
      </w:tr>
      <w:tr>
        <w:trPr>
          <w:trHeight w:val="427"/>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 S. Kuwahara</w:t>
            </w:r>
          </w:p>
        </w:tc>
        <w:tc>
          <w:tcPr>
            <w:tcW w:w="140" w:type="dxa"/>
            <w:vAlign w:val="bottom"/>
          </w:tcPr>
          <w:p>
            <w:pPr>
              <w:spacing w:after="0"/>
              <w:rPr>
                <w:sz w:val="24"/>
                <w:szCs w:val="24"/>
                <w:color w:val="auto"/>
              </w:rPr>
            </w:pPr>
          </w:p>
        </w:tc>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Senior Vice President Finance &amp; Administration</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178"/>
        </w:trPr>
        <w:tc>
          <w:tcPr>
            <w:tcW w:w="3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Jon S. Kuwahara</w:t>
            </w:r>
          </w:p>
        </w:tc>
        <w:tc>
          <w:tcPr>
            <w:tcW w:w="140" w:type="dxa"/>
            <w:vAlign w:val="bottom"/>
          </w:tcPr>
          <w:p>
            <w:pPr>
              <w:spacing w:after="0"/>
              <w:rPr>
                <w:sz w:val="15"/>
                <w:szCs w:val="15"/>
                <w:color w:val="auto"/>
              </w:rPr>
            </w:pPr>
          </w:p>
        </w:tc>
        <w:tc>
          <w:tcPr>
            <w:tcW w:w="3700" w:type="dxa"/>
            <w:vAlign w:val="bottom"/>
            <w:gridSpan w:val="2"/>
          </w:tcPr>
          <w:p>
            <w:pPr>
              <w:jc w:val="center"/>
              <w:ind w:right="120"/>
              <w:spacing w:after="0" w:line="177" w:lineRule="exact"/>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3460" w:type="dxa"/>
            <w:vAlign w:val="bottom"/>
          </w:tcPr>
          <w:p>
            <w:pPr>
              <w:spacing w:after="0"/>
              <w:rPr>
                <w:sz w:val="15"/>
                <w:szCs w:val="15"/>
                <w:color w:val="auto"/>
              </w:rPr>
            </w:pP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460" w:type="dxa"/>
            <w:vAlign w:val="bottom"/>
          </w:tcPr>
          <w:p>
            <w:pPr>
              <w:spacing w:after="0"/>
              <w:rPr>
                <w:sz w:val="20"/>
                <w:szCs w:val="20"/>
                <w:color w:val="auto"/>
              </w:rPr>
            </w:pPr>
          </w:p>
        </w:tc>
      </w:tr>
      <w:tr>
        <w:trPr>
          <w:trHeight w:val="44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Keith A. Katkin</w:t>
            </w:r>
          </w:p>
        </w:tc>
        <w:tc>
          <w:tcPr>
            <w:tcW w:w="140" w:type="dxa"/>
            <w:vAlign w:val="bottom"/>
          </w:tcPr>
          <w:p>
            <w:pPr>
              <w:spacing w:after="0"/>
              <w:rPr>
                <w:sz w:val="24"/>
                <w:szCs w:val="24"/>
                <w:color w:val="auto"/>
              </w:rPr>
            </w:pPr>
          </w:p>
        </w:tc>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 Chairman of the Board of Directors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Keith A. Katkin</w:t>
            </w:r>
          </w:p>
        </w:tc>
        <w:tc>
          <w:tcPr>
            <w:tcW w:w="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Gary A. Lyons</w:t>
            </w:r>
          </w:p>
        </w:tc>
        <w:tc>
          <w:tcPr>
            <w:tcW w:w="140" w:type="dxa"/>
            <w:vAlign w:val="bottom"/>
          </w:tcPr>
          <w:p>
            <w:pPr>
              <w:spacing w:after="0"/>
              <w:rPr>
                <w:sz w:val="24"/>
                <w:szCs w:val="24"/>
                <w:color w:val="auto"/>
              </w:rPr>
            </w:pPr>
          </w:p>
        </w:tc>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Gary A. Lyons</w:t>
            </w:r>
          </w:p>
        </w:tc>
        <w:tc>
          <w:tcPr>
            <w:tcW w:w="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Walter Ogier</w:t>
            </w:r>
          </w:p>
        </w:tc>
        <w:tc>
          <w:tcPr>
            <w:tcW w:w="140" w:type="dxa"/>
            <w:vAlign w:val="bottom"/>
          </w:tcPr>
          <w:p>
            <w:pPr>
              <w:spacing w:after="0"/>
              <w:rPr>
                <w:sz w:val="24"/>
                <w:szCs w:val="24"/>
                <w:color w:val="auto"/>
              </w:rPr>
            </w:pPr>
          </w:p>
        </w:tc>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Walter Ogier</w:t>
            </w:r>
          </w:p>
        </w:tc>
        <w:tc>
          <w:tcPr>
            <w:tcW w:w="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Perrin</w:t>
            </w:r>
          </w:p>
        </w:tc>
        <w:tc>
          <w:tcPr>
            <w:tcW w:w="140" w:type="dxa"/>
            <w:vAlign w:val="bottom"/>
          </w:tcPr>
          <w:p>
            <w:pPr>
              <w:spacing w:after="0"/>
              <w:rPr>
                <w:sz w:val="24"/>
                <w:szCs w:val="24"/>
                <w:color w:val="auto"/>
              </w:rPr>
            </w:pPr>
          </w:p>
        </w:tc>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President, 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Steven Perrin</w:t>
            </w:r>
          </w:p>
        </w:tc>
        <w:tc>
          <w:tcPr>
            <w:tcW w:w="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bl>
    <w:p>
      <w:pPr>
        <w:sectPr>
          <w:pgSz w:w="11900" w:h="16838" w:orient="portrait"/>
          <w:cols w:equalWidth="0" w:num="1">
            <w:col w:w="11240"/>
          </w:cols>
          <w:pgMar w:left="320" w:top="455" w:right="339" w:bottom="1440" w:gutter="0" w:footer="0" w:header="0"/>
        </w:sectPr>
      </w:pPr>
    </w:p>
    <w:bookmarkStart w:id="24" w:name="page25"/>
    <w:bookmarkEnd w:id="24"/>
    <w:p>
      <w:pPr>
        <w:ind w:left="1040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54455"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11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555 Mission Street</w:t>
      </w:r>
    </w:p>
    <w:p>
      <w:pPr>
        <w:spacing w:after="0" w:line="2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San Francisco, CA 94105-0921</w:t>
      </w:r>
    </w:p>
    <w:p>
      <w:pPr>
        <w:spacing w:after="0" w:line="9"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Tel 415.393.8200</w:t>
      </w:r>
    </w:p>
    <w:p>
      <w:pPr>
        <w:spacing w:after="0" w:line="9"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www.gibsondunn.com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Novus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19900 MacArthur Blvd., Suite 550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 92612</w:t>
      </w:r>
    </w:p>
    <w:p>
      <w:pPr>
        <w:spacing w:after="0" w:line="23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Novus Therapeutics, Inc.</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Statement on Form S-3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examined the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of Novus Therapeutics, Inc., a Delaware corporation (the</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in connection with the registration by the Company for resale from time to time by the selling stockholders named in the Registration Statement of up to 12,364,568 shares of the Company’s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arriving at the opinion expressed below, we have examined originals, or copies certified or otherwise identified to our satisfaction as being true and complete copies of the originals, of the specimen Common Stock certificate and such other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assumptions, exceptions, qualifications and limitations set forth herein, we are of the opinion that the Shares are validly issued, fully paid and non-assessable.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we further consent to the use of our name under the caption “</w:t>
      </w:r>
      <w:r>
        <w:rPr>
          <w:rFonts w:ascii="Times New Roman" w:cs="Times New Roman" w:eastAsia="Times New Roman" w:hAnsi="Times New Roman"/>
          <w:sz w:val="18"/>
          <w:szCs w:val="18"/>
          <w:u w:val="single" w:color="auto"/>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Matters</w:t>
      </w:r>
      <w:r>
        <w:rPr>
          <w:rFonts w:ascii="Times New Roman" w:cs="Times New Roman" w:eastAsia="Times New Roman" w:hAnsi="Times New Roman"/>
          <w:sz w:val="18"/>
          <w:szCs w:val="18"/>
          <w:color w:val="auto"/>
        </w:rPr>
        <w:t>”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GIBSON DUNN &amp; CRUTCHER LLP</w:t>
      </w:r>
    </w:p>
    <w:p>
      <w:pPr>
        <w:sectPr>
          <w:pgSz w:w="11900" w:h="16838" w:orient="portrait"/>
          <w:cols w:equalWidth="0" w:num="1">
            <w:col w:w="11240"/>
          </w:cols>
          <w:pgMar w:left="32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Novus Therapeutics, Inc. of our report dated March 16, 2020 (which contains an explanatory paragraph describing conditions that raise substantial doubt about Novus Therapeutics, Inc.’s ability to continue as a going concern), relating to the consolidated financial statements of Novus Therapeutics, Inc., appearing in the Annual Report on Form 10-K of Novus Therapeutics, Inc. for the year ended December 31,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heading “Experts” in the prospectus, which is part of this registration statement.</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KMJ Corbin &amp;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2020</w:t>
      </w:r>
    </w:p>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Novus Therapeutics, Inc. for the registration of 12,364,568 shares of its common stock and to the incorporation by reference therein of our report dated March 27, 2019, with respect to the consolidated financial statements of Novus Therapeutics, Inc. included in its Annual Report (Form 10-K) for the year ended December 31, 2019, filed with the Securities and Exchange Commission.</w:t>
      </w:r>
    </w:p>
    <w:p>
      <w:pPr>
        <w:spacing w:after="0" w:line="180"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2020</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this Registration Statement on Form S-3 of our report dated May 15, 2020, with respect to the financial statements of Anelixis Therapeutics, Inc. for the years ended December 31, 2019 and 2018, which report expresses an unqualified opinion and includes emphasis of matter paragraphs regarding the Company’s ability to continue as a going concern and the adoption of Accounting Standards Updates (ASU) Nos. 2014-19,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and 2018-08, </w:t>
      </w:r>
      <w:r>
        <w:rPr>
          <w:rFonts w:ascii="Times New Roman" w:cs="Times New Roman" w:eastAsia="Times New Roman" w:hAnsi="Times New Roman"/>
          <w:sz w:val="18"/>
          <w:szCs w:val="18"/>
          <w:i w:val="1"/>
          <w:iCs w:val="1"/>
          <w:color w:val="auto"/>
        </w:rPr>
        <w:t>Not-for- Profit Entities</w:t>
      </w:r>
      <w:r>
        <w:rPr>
          <w:rFonts w:ascii="Times New Roman" w:cs="Times New Roman" w:eastAsia="Times New Roman" w:hAnsi="Times New Roman"/>
          <w:sz w:val="18"/>
          <w:szCs w:val="18"/>
          <w:color w:val="auto"/>
        </w:rPr>
        <w:t xml:space="preserve"> (Topic 958): </w:t>
      </w:r>
      <w:r>
        <w:rPr>
          <w:rFonts w:ascii="Times New Roman" w:cs="Times New Roman" w:eastAsia="Times New Roman" w:hAnsi="Times New Roman"/>
          <w:sz w:val="18"/>
          <w:szCs w:val="18"/>
          <w:i w:val="1"/>
          <w:iCs w:val="1"/>
          <w:color w:val="auto"/>
        </w:rPr>
        <w:t>Clarifying the Scope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Guidance for Contributions Received and Contributions Made</w:t>
      </w:r>
      <w:r>
        <w:rPr>
          <w:rFonts w:ascii="Times New Roman" w:cs="Times New Roman" w:eastAsia="Times New Roman" w:hAnsi="Times New Roman"/>
          <w:sz w:val="18"/>
          <w:szCs w:val="18"/>
          <w:color w:val="auto"/>
        </w:rPr>
        <w:t>. Our report appears in Schedule 14A, Annex B of the Proxy Statement,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Form 8-K/A of Novus Therapeutics, Inc. We also consent to the reference to us under the heading “Experts” in such Registration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AAFCPAs,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2020</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Roman"/>
      <w:start w:val="1"/>
    </w:lvl>
  </w:abstractNum>
  <w:abstractNum w:abstractNumId="10">
    <w:nsid w:val="66EF438D"/>
    <w:multiLevelType w:val="hybridMultilevel"/>
    <w:lvl w:ilvl="0">
      <w:lvlJc w:val="left"/>
      <w:lvlText w:val="(%1)"/>
      <w:numFmt w:val="decimal"/>
      <w:start w:val="2"/>
    </w:lvl>
    <w:lvl w:ilvl="1">
      <w:lvlJc w:val="left"/>
      <w:lvlText w:val="(%2)"/>
      <w:numFmt w:val="upperLetter"/>
      <w:start w:val="1"/>
    </w:lvl>
  </w:abstractNum>
  <w:abstractNum w:abstractNumId="11">
    <w:nsid w:val="140E0F76"/>
    <w:multiLevelType w:val="hybridMultilevel"/>
    <w:lvl w:ilvl="0">
      <w:lvlJc w:val="left"/>
      <w:lvlText w:val="(%1)"/>
      <w:numFmt w:val="decimal"/>
      <w:start w:val="5"/>
    </w:lvl>
    <w:lvl w:ilvl="1">
      <w:lvlJc w:val="left"/>
      <w:lvlText w:val="(%2)"/>
      <w:numFmt w:val="lowerRoman"/>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4"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jpeg"/><Relationship Id="rId61" Type="http://schemas.openxmlformats.org/officeDocument/2006/relationships/hyperlink" Target="http://www.sec.gov/Archives/edgar/data/1404281/000156459020011260/nvus-10k_20191231.htm" TargetMode="External"/><Relationship Id="rId62" Type="http://schemas.openxmlformats.org/officeDocument/2006/relationships/hyperlink" Target="http://www.sec.gov/Archives/edgar/data/1404281/000156459020014525/nvus-def14a_20200512.htm" TargetMode="External"/><Relationship Id="rId63" Type="http://schemas.openxmlformats.org/officeDocument/2006/relationships/hyperlink" Target="http://www.sec.gov/Archives/edgar/data/1404281/000156459020025612/nvus-10q_20200331.htm" TargetMode="External"/><Relationship Id="rId64" Type="http://schemas.openxmlformats.org/officeDocument/2006/relationships/hyperlink" Target="http://www.sec.gov/Archives/edgar/data/1404281/000156459020040128/nvus-10q_20200630.htm" TargetMode="External"/><Relationship Id="rId65" Type="http://schemas.openxmlformats.org/officeDocument/2006/relationships/hyperlink" Target="http://www.sec.gov/Archives/edgar/data/1404281/000156459020054210/nvus-10q_20200930.htm" TargetMode="External"/><Relationship Id="rId66" Type="http://schemas.openxmlformats.org/officeDocument/2006/relationships/hyperlink" Target="http://www.sec.gov/Archives/edgar/data/1404281/000156459020018029/nvus-8k_20200421.htm" TargetMode="External"/><Relationship Id="rId67" Type="http://schemas.openxmlformats.org/officeDocument/2006/relationships/hyperlink" Target="http://www.sec.gov/Archives/edgar/data/1404281/000156459020025038/nvus-8k_20200512.htm" TargetMode="External"/><Relationship Id="rId68" Type="http://schemas.openxmlformats.org/officeDocument/2006/relationships/hyperlink" Target="http://www.sec.gov/Archives/edgar/data/1404281/000156459020029654/nvus-8k_20200611.htm" TargetMode="External"/><Relationship Id="rId69" Type="http://schemas.openxmlformats.org/officeDocument/2006/relationships/hyperlink" Target="http://www.sec.gov/Archives/edgar/data/1404281/000119312520240108/d72291d8k.htm" TargetMode="External"/><Relationship Id="rId70" Type="http://schemas.openxmlformats.org/officeDocument/2006/relationships/hyperlink" Target="http://www.sec.gov/Archives/edgar/data/1404281/000119312520246314/d26397d8k.htm" TargetMode="External"/><Relationship Id="rId71" Type="http://schemas.openxmlformats.org/officeDocument/2006/relationships/hyperlink" Target="http://www.sec.gov/Archives/edgar/data/1404281/000119312520264806/d18987d8k.htm" TargetMode="External"/><Relationship Id="rId72" Type="http://schemas.openxmlformats.org/officeDocument/2006/relationships/hyperlink" Target="http://www.sec.gov/Archives/edgar/data/1404281/000119312520298749/d79037d8ka.htm" TargetMode="External"/><Relationship Id="rId73" Type="http://schemas.openxmlformats.org/officeDocument/2006/relationships/hyperlink" Target="http://www.sec.gov/Archives/edgar/data/1404281/000156459020056746/nvus-8k_20201208.htm" TargetMode="External"/><Relationship Id="rId75" Type="http://schemas.openxmlformats.org/officeDocument/2006/relationships/hyperlink" Target="http://www.sec.gov/Archives/edgar/data/1404281/000119312520298745/d36630ddef14a.htm" TargetMode="External"/><Relationship Id="rId76" Type="http://schemas.openxmlformats.org/officeDocument/2006/relationships/hyperlink" Target="http://www.sec.gov/Archives/edgar/data/1404281/000119312514339327/d787592d8a12b.htm" TargetMode="External"/><Relationship Id="rId77" Type="http://schemas.openxmlformats.org/officeDocument/2006/relationships/hyperlink" Target="http://www.sec.gov/Archives/edgar/data/1404281/000119312517211880/d406180d8a12ba.htm" TargetMode="External"/><Relationship Id="rId89" Type="http://schemas.openxmlformats.org/officeDocument/2006/relationships/hyperlink" Target="http://www.sec.gov/Archives/edgar/data/1404281/000119312520246314/d26397dex31.htm" TargetMode="External"/><Relationship Id="rId90" Type="http://schemas.openxmlformats.org/officeDocument/2006/relationships/hyperlink" Target="http://www.sec.gov/Archives/edgar/data/1404281/000119312517211880/d406180dex41.htm" TargetMode="External"/><Relationship Id="rId91" Type="http://schemas.openxmlformats.org/officeDocument/2006/relationships/hyperlink" Target="http://www.sec.gov/Archives/edgar/data/1404281/000119312514354857/d793658dex31.htm" TargetMode="External"/><Relationship Id="rId92" Type="http://schemas.openxmlformats.org/officeDocument/2006/relationships/hyperlink" Target="http://www.sec.gov/Archives/edgar/data/1404281/000119312520264806/d18987dex31.htm" TargetMode="External"/><Relationship Id="rId93" Type="http://schemas.openxmlformats.org/officeDocument/2006/relationships/hyperlink" Target="http://www.sec.gov/Archives/edgar/data/1404281/000119312517170677/d393884dex31.htm" TargetMode="External"/><Relationship Id="rId94" Type="http://schemas.openxmlformats.org/officeDocument/2006/relationships/hyperlink" Target="http://www.sec.gov/Archives/edgar/data/1404281/000119312517170677/d393884dex32.htm" TargetMode="External"/><Relationship Id="rId95" Type="http://schemas.openxmlformats.org/officeDocument/2006/relationships/hyperlink" Target="http://www.sec.gov/Archives/edgar/data/1404281/000156459020054793/nvus-ex31_6.htm" TargetMode="External"/><Relationship Id="rId96" Type="http://schemas.openxmlformats.org/officeDocument/2006/relationships/hyperlink" Target="http://www.sec.gov/Archives/edgar/data/1404281/000119312520246314/d26397dex101.htm" TargetMode="External"/><Relationship Id="rId97" Type="http://schemas.openxmlformats.org/officeDocument/2006/relationships/hyperlink" Target="http://www.sec.gov/Archives/edgar/data/1404281/000119312520246314/d2639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2020-12-11T15:45:02Z</dcterms:created>
  <dcterms:modified xsi:type="dcterms:W3CDTF">2020-12-11T15:45:02Z</dcterms:modified>
</cp:coreProperties>
</file>