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79008ds3.htm"/>
        <w:bookmarkStart w:id="1" w:name="ksd79008ds3"/>
        <w:bookmarkEnd w:id="0"/>
        <w:bookmarkEnd w:id="1"/>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As filed with the Securities and Exchange Commission on May 1,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FORM S-3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ELEDON 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20-1000967</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120" w:after="0"/>
        <w:jc w:val="center"/>
        <w:rPr>
          <w:rFonts w:ascii="Times New Roman" w:hAnsi="Times New Roman"/>
          <w:b/>
          <w:sz w:val="20"/>
        </w:rPr>
      </w:pPr>
      <w:r>
        <w:rPr>
          <w:rFonts w:ascii="Times New Roman" w:hAnsi="Times New Roman"/>
          <w:b/>
          <w:sz w:val="20"/>
        </w:rPr>
        <w:t xml:space="preserve">19800 MacArthur Blvd., Suite 250 </w:t>
      </w:r>
    </w:p>
    <w:p>
      <w:pPr>
        <w:pStyle w:val="TextBody"/>
        <w:bidi w:val="0"/>
        <w:spacing w:before="0" w:after="0"/>
        <w:jc w:val="center"/>
        <w:rPr>
          <w:rFonts w:ascii="Times New Roman" w:hAnsi="Times New Roman"/>
          <w:b/>
          <w:sz w:val="20"/>
        </w:rPr>
      </w:pPr>
      <w:r>
        <w:rPr>
          <w:rFonts w:ascii="Times New Roman" w:hAnsi="Times New Roman"/>
          <w:b/>
          <w:sz w:val="20"/>
        </w:rPr>
        <w:t xml:space="preserve">Irvine, California 92612 </w:t>
      </w:r>
    </w:p>
    <w:p>
      <w:pPr>
        <w:pStyle w:val="TextBody"/>
        <w:bidi w:val="0"/>
        <w:spacing w:before="0" w:after="0"/>
        <w:jc w:val="center"/>
        <w:rPr>
          <w:rFonts w:ascii="Times New Roman" w:hAnsi="Times New Roman"/>
          <w:b/>
          <w:sz w:val="20"/>
        </w:rPr>
      </w:pPr>
      <w:r>
        <w:rPr>
          <w:rFonts w:ascii="Times New Roman" w:hAnsi="Times New Roman"/>
          <w:b/>
          <w:sz w:val="20"/>
        </w:rPr>
        <w:t xml:space="preserve">(949) 238-8090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8"/>
        </w:rPr>
      </w:pPr>
      <w:r>
        <w:rPr>
          <w:rFonts w:ascii="Times New Roman" w:hAnsi="Times New Roman"/>
          <w:b/>
          <w:sz w:val="18"/>
        </w:rPr>
        <w:t xml:space="preserve">David-Alexandre C. Gros </w:t>
      </w:r>
    </w:p>
    <w:p>
      <w:pPr>
        <w:pStyle w:val="TextBody"/>
        <w:bidi w:val="0"/>
        <w:spacing w:before="0" w:after="0"/>
        <w:jc w:val="center"/>
        <w:rPr>
          <w:rFonts w:ascii="Times New Roman" w:hAnsi="Times New Roman"/>
          <w:b/>
          <w:sz w:val="18"/>
        </w:rPr>
      </w:pPr>
      <w:r>
        <w:rPr>
          <w:rFonts w:ascii="Times New Roman" w:hAnsi="Times New Roman"/>
          <w:b/>
          <w:sz w:val="18"/>
        </w:rPr>
        <w:t xml:space="preserve">Chief Executive Officer </w:t>
      </w:r>
    </w:p>
    <w:p>
      <w:pPr>
        <w:pStyle w:val="TextBody"/>
        <w:bidi w:val="0"/>
        <w:spacing w:before="0" w:after="0"/>
        <w:jc w:val="center"/>
        <w:rPr>
          <w:rFonts w:ascii="Times New Roman" w:hAnsi="Times New Roman"/>
          <w:b/>
          <w:sz w:val="18"/>
        </w:rPr>
      </w:pPr>
      <w:r>
        <w:rPr>
          <w:rFonts w:ascii="Times New Roman" w:hAnsi="Times New Roman"/>
          <w:b/>
          <w:sz w:val="18"/>
        </w:rPr>
        <w:t xml:space="preserve">Eledon Pharmaceuticals, Inc. </w:t>
      </w:r>
    </w:p>
    <w:p>
      <w:pPr>
        <w:pStyle w:val="TextBody"/>
        <w:bidi w:val="0"/>
        <w:spacing w:before="0" w:after="0"/>
        <w:jc w:val="center"/>
        <w:rPr>
          <w:rFonts w:ascii="Times New Roman" w:hAnsi="Times New Roman"/>
          <w:b/>
          <w:sz w:val="18"/>
        </w:rPr>
      </w:pPr>
      <w:r>
        <w:rPr>
          <w:rFonts w:ascii="Times New Roman" w:hAnsi="Times New Roman"/>
          <w:b/>
          <w:sz w:val="18"/>
        </w:rPr>
        <w:t xml:space="preserve">19800 MacArthur Blvd., Suite 250 </w:t>
      </w:r>
    </w:p>
    <w:p>
      <w:pPr>
        <w:pStyle w:val="TextBody"/>
        <w:bidi w:val="0"/>
        <w:spacing w:before="0" w:after="0"/>
        <w:jc w:val="center"/>
        <w:rPr>
          <w:rFonts w:ascii="Times New Roman" w:hAnsi="Times New Roman"/>
          <w:b/>
          <w:sz w:val="18"/>
        </w:rPr>
      </w:pPr>
      <w:r>
        <w:rPr>
          <w:rFonts w:ascii="Times New Roman" w:hAnsi="Times New Roman"/>
          <w:b/>
          <w:sz w:val="18"/>
        </w:rPr>
        <w:t xml:space="preserve">Irvine, California 92612 </w:t>
      </w:r>
    </w:p>
    <w:p>
      <w:pPr>
        <w:pStyle w:val="TextBody"/>
        <w:bidi w:val="0"/>
        <w:spacing w:before="0" w:after="0"/>
        <w:jc w:val="center"/>
        <w:rPr>
          <w:rFonts w:ascii="Times New Roman" w:hAnsi="Times New Roman"/>
          <w:b/>
          <w:sz w:val="18"/>
        </w:rPr>
      </w:pPr>
      <w:r>
        <w:rPr>
          <w:rFonts w:ascii="Times New Roman" w:hAnsi="Times New Roman"/>
          <w:b/>
          <w:sz w:val="18"/>
        </w:rPr>
        <w:t xml:space="preserve">(949) 238-8090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sz w:val="18"/>
        </w:rPr>
      </w:pPr>
      <w:r>
        <w:rPr>
          <w:rFonts w:ascii="Times New Roman" w:hAnsi="Times New Roman"/>
          <w:b/>
          <w:i/>
          <w:sz w:val="18"/>
        </w:rPr>
        <w:t xml:space="preserve">Copies to: </w:t>
      </w:r>
    </w:p>
    <w:p>
      <w:pPr>
        <w:pStyle w:val="TextBody"/>
        <w:bidi w:val="0"/>
        <w:spacing w:before="120" w:after="0"/>
        <w:jc w:val="center"/>
        <w:rPr>
          <w:rFonts w:ascii="Times New Roman" w:hAnsi="Times New Roman"/>
          <w:b/>
          <w:sz w:val="18"/>
        </w:rPr>
      </w:pPr>
      <w:r>
        <w:rPr>
          <w:rFonts w:ascii="Times New Roman" w:hAnsi="Times New Roman"/>
          <w:b/>
          <w:sz w:val="18"/>
        </w:rPr>
        <w:t xml:space="preserve">Shelly Heyduk </w:t>
      </w:r>
    </w:p>
    <w:p>
      <w:pPr>
        <w:pStyle w:val="TextBody"/>
        <w:bidi w:val="0"/>
        <w:spacing w:before="0" w:after="0"/>
        <w:jc w:val="center"/>
        <w:rPr>
          <w:rFonts w:ascii="Times New Roman" w:hAnsi="Times New Roman"/>
          <w:b/>
          <w:sz w:val="18"/>
        </w:rPr>
      </w:pPr>
      <w:r>
        <w:rPr>
          <w:rFonts w:ascii="Times New Roman" w:hAnsi="Times New Roman"/>
          <w:b/>
          <w:sz w:val="18"/>
        </w:rPr>
        <w:t xml:space="preserve">O’Melveny &amp; Myers LLP </w:t>
      </w:r>
    </w:p>
    <w:p>
      <w:pPr>
        <w:pStyle w:val="TextBody"/>
        <w:bidi w:val="0"/>
        <w:spacing w:before="0" w:after="0"/>
        <w:jc w:val="center"/>
        <w:rPr>
          <w:rFonts w:ascii="Times New Roman" w:hAnsi="Times New Roman"/>
          <w:b/>
          <w:sz w:val="18"/>
        </w:rPr>
      </w:pPr>
      <w:r>
        <w:rPr>
          <w:rFonts w:ascii="Times New Roman" w:hAnsi="Times New Roman"/>
          <w:b/>
          <w:sz w:val="18"/>
        </w:rPr>
        <w:t xml:space="preserve">610 Newport Center Drive, 17th Floor </w:t>
      </w:r>
    </w:p>
    <w:p>
      <w:pPr>
        <w:pStyle w:val="TextBody"/>
        <w:bidi w:val="0"/>
        <w:spacing w:before="0" w:after="0"/>
        <w:jc w:val="center"/>
        <w:rPr>
          <w:rFonts w:ascii="Times New Roman" w:hAnsi="Times New Roman"/>
          <w:b/>
          <w:sz w:val="18"/>
        </w:rPr>
      </w:pPr>
      <w:r>
        <w:rPr>
          <w:rFonts w:ascii="Times New Roman" w:hAnsi="Times New Roman"/>
          <w:b/>
          <w:sz w:val="18"/>
        </w:rPr>
        <w:t xml:space="preserve">Newport Beach, California 92660 </w:t>
      </w:r>
    </w:p>
    <w:p>
      <w:pPr>
        <w:pStyle w:val="TextBody"/>
        <w:bidi w:val="0"/>
        <w:spacing w:before="0" w:after="0"/>
        <w:jc w:val="center"/>
        <w:rPr>
          <w:rFonts w:ascii="Times New Roman" w:hAnsi="Times New Roman"/>
          <w:b/>
          <w:sz w:val="18"/>
        </w:rPr>
      </w:pPr>
      <w:r>
        <w:rPr>
          <w:rFonts w:ascii="Times New Roman" w:hAnsi="Times New Roman"/>
          <w:b/>
          <w:sz w:val="18"/>
        </w:rPr>
        <w:t xml:space="preserve">(949) 823-6900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7"/>
        </w:rPr>
      </w:pPr>
      <w:r>
        <w:rPr>
          <w:rFonts w:ascii="Times New Roman" w:hAnsi="Times New Roman"/>
          <w:b/>
          <w:sz w:val="17"/>
        </w:rPr>
        <w:t xml:space="preserve">Approximate date of commencement of proposed sale to the public: </w:t>
      </w:r>
      <w:r>
        <w:rPr>
          <w:rFonts w:ascii="Times New Roman" w:hAnsi="Times New Roman"/>
          <w:sz w:val="17"/>
        </w:rPr>
        <w:t xml:space="preserve">From time to time after this registration statement becomes effective. </w:t>
      </w:r>
    </w:p>
    <w:p>
      <w:pPr>
        <w:pStyle w:val="TextBody"/>
        <w:bidi w:val="0"/>
        <w:spacing w:before="120" w:after="0"/>
        <w:jc w:val="left"/>
        <w:rPr>
          <w:rFonts w:ascii="Times New Roman" w:hAnsi="Times New Roman"/>
          <w:sz w:val="17"/>
        </w:rPr>
      </w:pPr>
      <w:r>
        <w:rPr>
          <w:rFonts w:ascii="Times New Roman" w:hAnsi="Times New Roman"/>
          <w:sz w:val="17"/>
        </w:rPr>
        <w:t xml:space="preserve">If the only securities being registered on this Form are being offered pursuant to dividend or interest reinvestment plans, please check the following box: ☐ </w:t>
      </w:r>
    </w:p>
    <w:p>
      <w:pPr>
        <w:pStyle w:val="TextBody"/>
        <w:bidi w:val="0"/>
        <w:spacing w:before="120" w:after="0"/>
        <w:jc w:val="left"/>
        <w:rPr>
          <w:rFonts w:ascii="Times New Roman" w:hAnsi="Times New Roman"/>
          <w:sz w:val="17"/>
        </w:rPr>
      </w:pPr>
      <w:r>
        <w:rPr>
          <w:rFonts w:ascii="Times New Roman" w:hAnsi="Times New Roman"/>
          <w:sz w:val="17"/>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120" w:after="0"/>
        <w:jc w:val="left"/>
        <w:rPr>
          <w:rFonts w:ascii="Times New Roman" w:hAnsi="Times New Roman"/>
          <w:sz w:val="17"/>
        </w:rPr>
      </w:pPr>
      <w:r>
        <w:rPr>
          <w:rFonts w:ascii="Times New Roman" w:hAnsi="Times New Roman"/>
          <w:sz w:val="17"/>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7"/>
        </w:rPr>
      </w:pPr>
      <w:r>
        <w:rPr>
          <w:rFonts w:ascii="Times New Roman" w:hAnsi="Times New Roman"/>
          <w:sz w:val="17"/>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7"/>
        </w:rPr>
      </w:pPr>
      <w:r>
        <w:rPr>
          <w:rFonts w:ascii="Times New Roman" w:hAnsi="Times New Roman"/>
          <w:sz w:val="17"/>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120" w:after="0"/>
        <w:jc w:val="left"/>
        <w:rPr>
          <w:rFonts w:ascii="Times New Roman" w:hAnsi="Times New Roman"/>
          <w:sz w:val="17"/>
        </w:rPr>
      </w:pPr>
      <w:r>
        <w:rPr>
          <w:rFonts w:ascii="Times New Roman" w:hAnsi="Times New Roman"/>
          <w:sz w:val="17"/>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120" w:after="0"/>
        <w:jc w:val="left"/>
        <w:rPr>
          <w:rFonts w:ascii="Times New Roman" w:hAnsi="Times New Roman"/>
          <w:sz w:val="17"/>
        </w:rPr>
      </w:pPr>
      <w:r>
        <w:rPr>
          <w:rFonts w:ascii="Times New Roman" w:hAnsi="Times New Roman"/>
          <w:sz w:val="17"/>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44"/>
        <w:gridCol w:w="104"/>
        <w:gridCol w:w="4818"/>
        <w:gridCol w:w="136"/>
        <w:gridCol w:w="2626"/>
        <w:gridCol w:w="104"/>
        <w:gridCol w:w="273"/>
      </w:tblGrid>
      <w:tr>
        <w:trPr/>
        <w:tc>
          <w:tcPr>
            <w:tcW w:w="2144"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818"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144"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818" w:type="dxa"/>
            <w:tcBorders/>
            <w:vAlign w:val="bottom"/>
          </w:tcPr>
          <w:p>
            <w:pPr>
              <w:pStyle w:val="TableContents"/>
              <w:bidi w:val="0"/>
              <w:spacing w:before="0" w:after="283"/>
              <w:jc w:val="left"/>
              <w:rPr/>
            </w:pPr>
            <w:r>
              <w:rPr/>
              <w:t>☐</w:t>
            </w:r>
          </w:p>
        </w:tc>
        <w:tc>
          <w:tcPr>
            <w:tcW w:w="136"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r>
      <w:tr>
        <w:trPr>
          <w:trHeight w:val="60" w:hRule="atLeast"/>
        </w:trPr>
        <w:tc>
          <w:tcPr>
            <w:tcW w:w="2144" w:type="dxa"/>
            <w:tcBorders/>
            <w:vAlign w:val="center"/>
          </w:tcPr>
          <w:p>
            <w:pPr>
              <w:pStyle w:val="TableContents"/>
              <w:bidi w:val="0"/>
              <w:spacing w:before="0" w:after="283"/>
              <w:jc w:val="left"/>
              <w:rPr>
                <w:sz w:val="4"/>
                <w:szCs w:val="4"/>
              </w:rPr>
            </w:pPr>
            <w:r>
              <w:rPr>
                <w:sz w:val="4"/>
                <w:szCs w:val="4"/>
              </w:rPr>
            </w:r>
          </w:p>
        </w:tc>
        <w:tc>
          <w:tcPr>
            <w:tcW w:w="4922"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7" w:type="dxa"/>
            <w:gridSpan w:val="2"/>
            <w:tcBorders/>
            <w:vAlign w:val="center"/>
          </w:tcPr>
          <w:p>
            <w:pPr>
              <w:pStyle w:val="TableContents"/>
              <w:bidi w:val="0"/>
              <w:spacing w:before="0" w:after="283"/>
              <w:jc w:val="left"/>
              <w:rPr>
                <w:sz w:val="4"/>
                <w:szCs w:val="4"/>
              </w:rPr>
            </w:pPr>
            <w:r>
              <w:rPr>
                <w:sz w:val="4"/>
                <w:szCs w:val="4"/>
              </w:rPr>
            </w:r>
          </w:p>
        </w:tc>
      </w:tr>
      <w:tr>
        <w:trPr/>
        <w:tc>
          <w:tcPr>
            <w:tcW w:w="2144"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818" w:type="dxa"/>
            <w:tcBorders/>
            <w:vAlign w:val="bottom"/>
          </w:tcPr>
          <w:p>
            <w:pPr>
              <w:pStyle w:val="TableContents"/>
              <w:bidi w:val="0"/>
              <w:spacing w:before="0" w:after="283"/>
              <w:jc w:val="left"/>
              <w:rPr/>
            </w:pPr>
            <w:r>
              <w:rPr/>
              <w:t>☒</w:t>
            </w:r>
          </w:p>
        </w:tc>
        <w:tc>
          <w:tcPr>
            <w:tcW w:w="136"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r>
      <w:tr>
        <w:trPr>
          <w:trHeight w:val="60" w:hRule="atLeast"/>
        </w:trPr>
        <w:tc>
          <w:tcPr>
            <w:tcW w:w="2144" w:type="dxa"/>
            <w:tcBorders/>
            <w:vAlign w:val="center"/>
          </w:tcPr>
          <w:p>
            <w:pPr>
              <w:pStyle w:val="TableContents"/>
              <w:bidi w:val="0"/>
              <w:spacing w:before="0" w:after="283"/>
              <w:jc w:val="left"/>
              <w:rPr>
                <w:sz w:val="4"/>
                <w:szCs w:val="4"/>
              </w:rPr>
            </w:pPr>
            <w:r>
              <w:rPr>
                <w:sz w:val="4"/>
                <w:szCs w:val="4"/>
              </w:rPr>
            </w:r>
          </w:p>
        </w:tc>
        <w:tc>
          <w:tcPr>
            <w:tcW w:w="4922"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7" w:type="dxa"/>
            <w:gridSpan w:val="2"/>
            <w:tcBorders/>
            <w:vAlign w:val="center"/>
          </w:tcPr>
          <w:p>
            <w:pPr>
              <w:pStyle w:val="TableContents"/>
              <w:bidi w:val="0"/>
              <w:spacing w:before="0" w:after="283"/>
              <w:jc w:val="left"/>
              <w:rPr>
                <w:sz w:val="4"/>
                <w:szCs w:val="4"/>
              </w:rPr>
            </w:pPr>
            <w:r>
              <w:rPr>
                <w:sz w:val="4"/>
                <w:szCs w:val="4"/>
              </w:rPr>
            </w:r>
          </w:p>
        </w:tc>
      </w:tr>
      <w:tr>
        <w:trPr/>
        <w:tc>
          <w:tcPr>
            <w:tcW w:w="2144"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818"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7"/>
        </w:rPr>
      </w:pPr>
      <w:r>
        <w:rPr>
          <w:rFonts w:ascii="Times New Roman" w:hAnsi="Times New Roman"/>
          <w:sz w:val="17"/>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120" w:after="0"/>
        <w:jc w:val="left"/>
        <w:rPr>
          <w:rFonts w:ascii="Times New Roman" w:hAnsi="Times New Roman"/>
          <w:b/>
          <w:sz w:val="17"/>
        </w:rPr>
      </w:pPr>
      <w:r>
        <w:rPr>
          <w:rFonts w:ascii="Times New Roman" w:hAnsi="Times New Roman"/>
          <w:b/>
          <w:sz w:val="17"/>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currently has a Registration Statement on Form S-3 (File No. 333-282260 and the “Current S-3”), initially filed with the U.S. Securities and Exchange Commission (the “SEC”) on September 20, 2024 and declared effective on October 2, 2024, with approximately $115 million of unsold securities previously registered on the base prospectus of the Current S-3 covering the offer, issuance and sale of its common stock, preferred stock, debt securities, warrants and/or units, which are being carried forward and included in this registration statement. In accordance with Rule 415(a)(6) under the Securities Act of 1933, as amended, the offering of securities on the Current S-3 will be deemed terminated as of the date of effectiveness of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contains the following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base prospectus which covers the offering, issuance and sale by us of up to a maximum aggregate offering price of $500,000,000 of our common stock, preferred stock, debt securities, warrants and/or units from time to time in one or more offerings;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sales agreement prospectus supplement covering the offering, issuance and sale by us of up to a maximum aggregate offering price of $75,000,000 of our common stock that may be issued and sold under a sales agreement, dated September 20, 2024, with Guggenheim Securities, LLC (“Guggenheim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base prospectus immediately follows this explanatory note. The specific terms of any securities to be offered pursuant to the base prospectus other than the shares under the sales agreement will be specified in a prospectus supplement to the base prospectus. The specific terms of the securities to be issued and sold under the sales agreement are specified in the sales agreement prospectus supplement that immediately follows the base prospectus. The $75,000,000 shares of common stock that may be offered, issued and sold under the sales agreement prospectus supplement is included in the $500,000,000 of securities that may be offered, issued and sold by the registrant under the base prospectus. Upon termination of the sales agreement with Guggenheim Securities, any portion of the $75,000,000 included in the sales agreement prospectus supplement that is not sold pursuant to the sales agreement will be available for sale in other offerings pursuant to the base prospectus, and if no shares of common stock are sold under the sales agreement, the full $500,000,000 of securities may be sold in other offerings pursuant to the base prospectus and a corresponding prospectus supplement.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Subject to completion, dated May 1, 2026 </w:t>
      </w:r>
    </w:p>
    <w:p>
      <w:pPr>
        <w:pStyle w:val="TextBody"/>
        <w:bidi w:val="0"/>
        <w:spacing w:before="0" w:after="0"/>
        <w:jc w:val="left"/>
        <w:rPr/>
      </w:pPr>
      <w:r>
        <w:rPr/>
        <w:t> </w:t>
      </w:r>
    </w:p>
    <w:p>
      <w:pPr>
        <w:pStyle w:val="TextBody"/>
        <w:bidi w:val="0"/>
        <w:spacing w:before="0" w:after="0"/>
        <w:jc w:val="left"/>
        <w:rPr>
          <w:rFonts w:ascii="ARIAL" w:hAnsi="ARIAL"/>
          <w:b/>
          <w:color w:val="FF4338"/>
          <w:sz w:val="20"/>
        </w:rPr>
      </w:pPr>
      <w:r>
        <w:rPr>
          <w:rFonts w:ascii="ARIAL" w:hAnsi="ARIAL"/>
          <w:b/>
          <w:color w:val="FF4338"/>
          <w:sz w:val="20"/>
        </w:rPr>
        <w:t xml:space="preserve">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left"/>
        <w:rPr>
          <w:rFonts w:ascii="Times New Roman" w:hAnsi="Times New Roman"/>
          <w:b/>
          <w:sz w:val="20"/>
          <w:u w:val="single"/>
        </w:rPr>
      </w:pPr>
      <w:r>
        <w:rPr>
          <w:rFonts w:ascii="Times New Roman" w:hAnsi="Times New Roman"/>
          <w:b/>
          <w:sz w:val="20"/>
          <w:u w:val="single"/>
        </w:rPr>
        <w:t xml:space="preserve">PROSPECTUS </w:t>
      </w:r>
    </w:p>
    <w:p>
      <w:pPr>
        <w:pStyle w:val="TextBody"/>
        <w:bidi w:val="0"/>
        <w:spacing w:before="240" w:after="0"/>
        <w:ind w:left="960" w:right="960" w:hanging="0"/>
        <w:jc w:val="center"/>
        <w:rPr>
          <w:rFonts w:ascii="Times New Roman" w:hAnsi="Times New Roman"/>
          <w:b/>
          <w:sz w:val="36"/>
        </w:rPr>
      </w:pPr>
      <w:r>
        <w:rPr>
          <w:rFonts w:ascii="Times New Roman" w:hAnsi="Times New Roman"/>
          <w:b/>
          <w:sz w:val="36"/>
        </w:rPr>
        <w:t xml:space="preserve">$500,000,000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2266315" cy="565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66315" cy="565150"/>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ind w:left="960" w:right="960" w:hanging="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ind w:left="960" w:right="960" w:hanging="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ind w:left="960" w:right="960" w:hanging="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ind w:left="960" w:right="960" w:hanging="0"/>
        <w:jc w:val="center"/>
        <w:rPr>
          <w:rFonts w:ascii="Times New Roman" w:hAnsi="Times New Roman"/>
          <w:b/>
          <w:sz w:val="28"/>
        </w:rPr>
      </w:pPr>
      <w:r>
        <w:rPr>
          <w:rFonts w:ascii="Times New Roman" w:hAnsi="Times New Roman"/>
          <w:b/>
          <w:sz w:val="28"/>
        </w:rPr>
        <w:t xml:space="preserve">Units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From time to time, we may issue, in one or more offerings, up to $500,000,000 in aggregate principal amount of our common stock, preferred stock, debt securities, warrants and/or units, at prices and on terms that we will determine at the time of the offering.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This prospectus provides you with a general description of the securities we may offer. Each time we offer securities, we will provide specific terms of the securities offered in a supplement to this prospectus. We may also authorize one or more free writing prospectuses to be provided to you in connection with these offerings. The prospectus supplement and any related free-writing prospectus may also add, update or change information contained in this prospectus. We may not sell any securities under this prospectus without delivery of the applicable prospectus supplement. If information in any prospectus supplement is inconsistent with the information in this prospectus, then the information in such prospectus supplement will apply and will supersede the information in this prospectus.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You should read this prospectus, the applicable prospectus supplement and any related free-writing prospectus carefully, as well as any documents incorporated by reference, before you invest in any of the securities being offered.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Our shares of common stock are listed on The Nasdaq Capital Market under the symbol “ELDN”. The last reported sale price of our common stock on April 30, 2026 was $3.64 per share.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pPr>
      <w:r>
        <w:rPr>
          <w:rFonts w:ascii="Times New Roman" w:hAnsi="Times New Roman"/>
          <w:b/>
          <w:sz w:val="24"/>
        </w:rPr>
        <w:t>Investing in our securities involves a high degree of risk. Please read the information contained in and incorporated by referenced under the heading “</w:t>
      </w:r>
      <w:hyperlink w:anchor="toc79008_4">
        <w:r>
          <w:rPr>
            <w:rStyle w:val="InternetLink"/>
            <w:rFonts w:ascii="Times New Roman" w:hAnsi="Times New Roman"/>
            <w:b/>
            <w:i/>
            <w:sz w:val="24"/>
          </w:rPr>
          <w:t>Risk</w:t>
        </w:r>
      </w:hyperlink>
      <w:hyperlink w:anchor="toc79008_4">
        <w:r>
          <w:rPr>
            <w:rStyle w:val="InternetLink"/>
            <w:rFonts w:ascii="Times New Roman" w:hAnsi="Times New Roman"/>
            <w:b/>
            <w:i/>
            <w:sz w:val="24"/>
          </w:rPr>
          <w:t>Factors</w:t>
        </w:r>
      </w:hyperlink>
      <w:r>
        <w:rPr>
          <w:rFonts w:ascii="Times New Roman" w:hAnsi="Times New Roman"/>
          <w:sz w:val="24"/>
        </w:rPr>
        <w:t xml:space="preserve">” </w:t>
      </w:r>
      <w:r>
        <w:rPr>
          <w:rFonts w:ascii="Times New Roman" w:hAnsi="Times New Roman"/>
          <w:b/>
          <w:sz w:val="24"/>
        </w:rPr>
        <w:t xml:space="preserve">beginning on page 4 of this prospectus, and any applicable prospectus supplement, and under similar headings in the other documents that are incorporated by reference into this prospectus.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Prospectus dated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oc79008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79008_2">
              <w:r>
                <w:rPr>
                  <w:rStyle w:val="InternetLink"/>
                  <w:rFonts w:ascii="Times New Roman" w:hAnsi="Times New Roman"/>
                  <w:sz w:val="20"/>
                </w:rPr>
                <w:t>SPECIAL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79008_3">
              <w:r>
                <w:rPr>
                  <w:rStyle w:val="InternetLink"/>
                  <w:rFonts w:ascii="Times New Roman" w:hAnsi="Times New Roman"/>
                  <w:sz w:val="20"/>
                </w:rPr>
                <w:t>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79008_4">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79008_5">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79008_6">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79008_7">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79008_8">
              <w:r>
                <w:rPr>
                  <w:rStyle w:val="InternetLink"/>
                  <w:rFonts w:ascii="Times New Roman" w:hAnsi="Times New Roman"/>
                  <w:sz w:val="20"/>
                </w:rPr>
                <w:t>DESCRIPTION OF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79008_9">
              <w:r>
                <w:rPr>
                  <w:rStyle w:val="InternetLink"/>
                  <w:rFonts w:ascii="Times New Roman" w:hAnsi="Times New Roman"/>
                  <w:sz w:val="20"/>
                </w:rPr>
                <w:t>DESCRIPTION OF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79008_10">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79008_11">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79008_12">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79008_13">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79008_14">
              <w:r>
                <w:rPr>
                  <w:rStyle w:val="InternetLink"/>
                  <w:rFonts w:ascii="Times New Roman" w:hAnsi="Times New Roman"/>
                  <w:sz w:val="20"/>
                </w:rPr>
                <w:t>INCORPORATION OF CERTAIN INFORMATION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79008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a part of a registration statement on Form S-3 that we filed with the Securities and Exchange Commission (the “SEC”) utilizing a “shelf” registration process. Under this shelf registration process, we may sell any combination of the securities described in this prospectus in one or more offerings up to a total dollar amount of $500,000,000. This prospectus provides you with a general description of the securities we may offer. </w:t>
      </w:r>
    </w:p>
    <w:p>
      <w:pPr>
        <w:pStyle w:val="TextBody"/>
        <w:bidi w:val="0"/>
        <w:spacing w:before="240" w:after="0"/>
        <w:jc w:val="left"/>
        <w:rPr>
          <w:rFonts w:ascii="Times New Roman" w:hAnsi="Times New Roman"/>
          <w:sz w:val="20"/>
        </w:rPr>
      </w:pPr>
      <w:r>
        <w:rPr>
          <w:rFonts w:ascii="Times New Roman" w:hAnsi="Times New Roman"/>
          <w:sz w:val="20"/>
        </w:rPr>
        <w:t>Each time we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carefully read both this prospectus and any prospectus supplement together with additional information under the headings “</w:t>
      </w:r>
      <w:r>
        <w:rPr>
          <w:rFonts w:ascii="Times New Roman" w:hAnsi="Times New Roman"/>
          <w:i/>
          <w:sz w:val="20"/>
        </w:rPr>
        <w:t>Where You Can Find More Information</w:t>
      </w:r>
      <w:r>
        <w:rPr>
          <w:rFonts w:ascii="Times New Roman" w:hAnsi="Times New Roman"/>
          <w:sz w:val="20"/>
        </w:rPr>
        <w:t>” and “</w:t>
      </w:r>
      <w:r>
        <w:rPr>
          <w:rFonts w:ascii="Times New Roman" w:hAnsi="Times New Roman"/>
          <w:i/>
          <w:sz w:val="20"/>
        </w:rPr>
        <w:t>Incorporation of Certain Information by Reference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other than that contained or incorporated by reference in this prospectus and any applicable prospectus supplement, along with the information contained in any free writing prospectuses we have authorized for use in connection with a specific offering.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we use the terms “Eledon,” “Company,” “we,” “us,” and “our” in this prospectus to refer to Eledon Pharmaceuticals, Inc. and, where appropriate, our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oc79008_2"/>
      <w:bookmarkEnd w:id="4"/>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information incorporated by reference in this prospectus contains “forward-looking statements” as defined by the Private Securities Litigation Reform Act of 1995, which statements involve substantial risks and uncertainties. Any statements other than statements of historical or current fact in this prospectus are forward looking statements. In some instances, you can identify forward-looking statements by the use of words such as “believes,” “anticipates,” “plans,” “expects,” “estimates,” “intends,” “predicts,” “projects,” “targets,” “could,” “may,” “will,” and other similar expressions, although not all forward-looking statements include such identifying words. Forward-looking statements include, but are not limited to, statements about our future expectations, plans and prospects, including the development of product candidates, expected timing for initiation of future clinical trials, expected timing for receipt of data from clinical trials, expected or future results of tegoprubart trials, our capital resources and ability to finance planned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are inherently uncertain, and actual results may differ materially from those indicated by such forward-looking statements as a result of various factors, including: risks related to our short operating history; our history of incurring operating losses and our ability to achieve or maintain profitability; the sufficiency of our capital resources and ability to raise additional capital to finance our operations; including to develop our lead product candidate; our product development plans; expectations for and the timing of commencement, enrollment, completion, data, and release of results of clinical trials for our product candidates; our strategies with respect to our preclinical and clinical development programs, including our expectations regarding the production of clinical quantities of our product candidates; our plans, strategy and timing to obtain and maintain regulatory approvals of our product candidates; our expectations regarding competitive conditions for our product candidates; our reliance on third parties for the manufacture of our product candidates; our dependence on contract research organizations and other contracted third parties to perform non-clinical and clinical testing and certain other research and development activities; our expectations about our future financial performance or condition; risks relating to the safety and efficacy of our drug candidates; risks relating to clinical development timelines, including interactions with regulators and clinical sites, as well as patient enrollment; risks relating to costs of clinical trials; risks of significant dilution to our stockholders as a result of issuances of our common stock, including common stock that may be issuable pursuant to outstanding warrants or other convertible securities; global economic conditions, including adverse conditions in the financial markets; legislation regulating the pharmaceutical and healthcare industries; risks related to cybersecurity and data privacy; and other risks and uncertainties discussed in our most recent Annual Report on Form 10-K, as revised or supplemented by our subsequent Quarterly Reports on Form 10-Q, and other subsequent filings with the SEC, which can be found at www.sec.gov. Any forward-looking statements contained in this prospectus speak only as of the date hereof and not as of any future date, and the Company expressly disclaims any intent to update any forward-looking statements, whether as a result of new information, future events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79008_3"/>
      <w:bookmarkEnd w:id="5"/>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a clinical stage biotechnology company using our immunology expertise in targeting the CD40 Ligand (“CD40L”) pathway to develop therapies to protect transplanted organs and prevent rejection, and to treat amyotrophic lateral sclerosis (“ALS”). Our lead compound in development is tegoprubart, an IgG1, anti-CD40L antibody with high affinity for the CD40L, a well-validated biological target that we believe has broad therapeutic potential. We believe the central role of CD40L signaling in both adaptive and innate immune cell activation and function positions it as an attractive target for non-lymphocyte depleting, immunomodulatory therapeutic intervention. </w:t>
      </w:r>
    </w:p>
    <w:p>
      <w:pPr>
        <w:pStyle w:val="TextBody"/>
        <w:bidi w:val="0"/>
        <w:spacing w:before="240" w:after="0"/>
        <w:jc w:val="left"/>
        <w:rPr>
          <w:rFonts w:ascii="Times New Roman" w:hAnsi="Times New Roman"/>
          <w:sz w:val="20"/>
        </w:rPr>
      </w:pPr>
      <w:r>
        <w:rPr>
          <w:rFonts w:ascii="Times New Roman" w:hAnsi="Times New Roman"/>
          <w:sz w:val="20"/>
        </w:rPr>
        <w:t xml:space="preserve">Tegoprubart is engineered to potentially both improve safety and provide pharmacokinetic, pharmacodynamic, and dosing advantages compared to other anti-CD40 approaches. The CD40L/CD40 pathway is recognized for its prominent role in immune regulation. CD40L is primarily expressed on activated CD4+ T cells, platelets and endothelial cells while the CD40 receptor is constitutively expressed on antigen presenting cells such as macrophages and dendritic cells, as well as B cells. By blocking CD40L and not the CD40 receptor, tegoprubart inhibits both the CD40 and CD11 costimulatory signaling pathways, providing the potential for improved efficacy compared to anti-CD40 receptor approaches. Blocking CD40L also increases polarization of CD4+ lymphocytes to Tregs, a specialized subpopulation of T cells that act to suppress an immune response, thus creating a more tolerogenic environment, which may play a therapeutic role in autoimmune diseases and in the prevention of allograft rejection after solid organ transplantation. </w:t>
      </w:r>
    </w:p>
    <w:p>
      <w:pPr>
        <w:pStyle w:val="TextBody"/>
        <w:bidi w:val="0"/>
        <w:spacing w:before="240" w:after="0"/>
        <w:jc w:val="left"/>
        <w:rPr>
          <w:rFonts w:ascii="Times New Roman" w:hAnsi="Times New Roman"/>
          <w:sz w:val="20"/>
        </w:rPr>
      </w:pPr>
      <w:r>
        <w:rPr>
          <w:rFonts w:ascii="Times New Roman" w:hAnsi="Times New Roman"/>
          <w:sz w:val="20"/>
        </w:rPr>
        <w:t>Tegoprubart is designed to negate the risk of thrombolytic events seen in the first generation of anti-CD40L antibodies by introducing structural modifications that have been shown in preclinical models to eliminate binding to the Fc</w:t>
      </w:r>
      <w:r>
        <w:rPr>
          <w:rFonts w:ascii="SYMBOL" w:hAnsi="SYMBOL"/>
          <w:sz w:val="20"/>
        </w:rPr>
        <w:t>g</w:t>
      </w:r>
      <w:r>
        <w:rPr>
          <w:rFonts w:ascii="Times New Roman" w:hAnsi="Times New Roman"/>
          <w:sz w:val="20"/>
        </w:rPr>
        <w:t xml:space="preserve"> receptors associated with platelet activation without altering the binding of tegoprubart to CD40L. In non-human primate studies, dosing of tegoprubart up to 200 mg/kg per week for 26 weeks, demonstrated no adverse events regarding coagulation, platelet activation or thromboembolism. </w:t>
      </w:r>
    </w:p>
    <w:p>
      <w:pPr>
        <w:pStyle w:val="TextBody"/>
        <w:bidi w:val="0"/>
        <w:spacing w:before="240" w:after="0"/>
        <w:jc w:val="left"/>
        <w:rPr>
          <w:rFonts w:ascii="Times New Roman" w:hAnsi="Times New Roman"/>
          <w:sz w:val="20"/>
        </w:rPr>
      </w:pPr>
      <w:r>
        <w:rPr>
          <w:rFonts w:ascii="Times New Roman" w:hAnsi="Times New Roman"/>
          <w:sz w:val="20"/>
        </w:rPr>
        <w:t xml:space="preserve">Our business strategy is to optimize the clinical and commercial value of tegoprubart and become a global biopharmaceutical company with a focused immunology franchise. Our strategy is to develop tegoprubart for the prevention of rejection of allograft (i.e., transplanting an organ from one human to another) and xenograft (i.e., transplanting an organ from an animal to a human) organs and cells, and for the treatment of ALS. We selected our indications based on preclinical and clinical data that was generated with either tegoprubart or historical anti-CD40L molecules. We remain committed to advancing ALS clinical development; however, we are unable to continue developing tegoprubart for ALS without additional funding.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about our business, please see our most recent Annual Report on Form 10-K, as supplemented and updated by subsequent Quarterly Reports on Form 10-Q and Current Reports on Form 8-K that we have filed or will file with the SEC, and in other documents which are incorporated by reference into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Otic Pharma, Ltd. (“Otic”) was founded in the State of Israel in 2008. In 2015, Otic established United States operations and moved its corporate headquarters to Irvine, California. In 2017, Otic consummated a reverse merger with Tokai Pharmaceuticals, Inc. (“Tokai”), a Delaware corporation that was incorporated on March 26, 2004, pursuant to which, among other things, Tokai purchased from Otic and its stockholders all of the outstanding common and preferred shares of Otic in exchange for the issuance of a certain number of shares of common stock of Tokai (the “Reverse Merger”). Following the Reverse Merger, Tokai changed its name to Novus Therapeutics, Inc. On September 14, 2020, we acquired Anelixis Therapeutics, Inc. (“Anelixis”), a Delaware corporation, after which Anelixis became a wholly owned subsidiary of the Company. On January 4, 2021, we changed our name from Novus Therapeutics, Inc. to Eledon Pharmaceuticals, Inc. Our executive offices are located at 19800 MacArthur Boulevard, Suite 250, Irvine, California 92612. We also have a research and development office in Burlington, Massachusetts. Our telephone number is (949) 238-8090 and our website is www.eledon.com. We do not incorporate the information on or accessible through our website into this prospectus or the accompanying prospectus supplement, and you should not consider any information on, or that can be accessed through, our website as part of this prospectus or the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79008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risks. You should carefully consider the risks, uncertainties and other factors described in our most recent Annual Report on Form 10-K and subsequent Quarterly Reports on Form 10-Q and Current Reports on Form 8-K, and in other documents which are incorporated by reference into this prospectus, as well as the risk factors and other information contained in or incorporated by reference into any accompanying prospectus supplement before investing in any of our securities. Our business, financial condition, results of operations, cash flows or prospects could be materially and adversely affected by any of these risks. The risks and uncertainties described in the documents incorporated by reference herein are not the only risks and uncertainties that you may face. </w:t>
      </w:r>
    </w:p>
    <w:p>
      <w:pPr>
        <w:pStyle w:val="TextBody"/>
        <w:bidi w:val="0"/>
        <w:spacing w:before="240" w:after="0"/>
        <w:jc w:val="left"/>
        <w:rPr>
          <w:rFonts w:ascii="Times New Roman" w:hAnsi="Times New Roman"/>
          <w:sz w:val="20"/>
        </w:rPr>
      </w:pPr>
      <w:r>
        <w:rPr>
          <w:rFonts w:ascii="Times New Roman" w:hAnsi="Times New Roman"/>
          <w:sz w:val="20"/>
        </w:rPr>
        <w:t>For more information about our SEC filings, please see the sections entitled “</w:t>
      </w:r>
      <w:r>
        <w:rPr>
          <w:rFonts w:ascii="Times New Roman" w:hAnsi="Times New Roman"/>
          <w:i/>
          <w:sz w:val="20"/>
        </w:rPr>
        <w:t>Where You Can Find More Information</w:t>
      </w:r>
      <w:r>
        <w:rPr>
          <w:rFonts w:ascii="Times New Roman" w:hAnsi="Times New Roman"/>
          <w:sz w:val="20"/>
        </w:rPr>
        <w:t>” and “</w:t>
      </w:r>
      <w:r>
        <w:rPr>
          <w:rFonts w:ascii="Times New Roman" w:hAnsi="Times New Roman"/>
          <w:i/>
          <w:sz w:val="20"/>
        </w:rPr>
        <w:t>Incorporation of Certain Information by Reference</w:t>
      </w:r>
      <w:r>
        <w:rPr>
          <w:rFonts w:ascii="Times New Roman" w:hAnsi="Times New Roman"/>
          <w:sz w:val="20"/>
        </w:rPr>
        <w:t xml:space="preserve">”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79008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retain broad discretion over the use of the net proceeds from the sale of the securities offered hereby. Unless otherwise specified in a prospectus supplement accompanying this prospectus, the net proceeds from the sale by us of the securities to which this prospectus relates will be used for working capital and general corporate purposes. Our expected use of proceeds from the sale of the securities offered hereby represents our current intentions based on our present plans and business condition. As of the date of this prospectus, we cannot predict with certainty all of the particular uses for the proceeds to be received from the sale of the securities offered hereby or the amounts that we will actually spend on the uses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When we offer and sell the securities to which this prospectus relates, the prospectus supplement related to such offering will set forth our intended use of the proceeds, if any, received from the sale of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79008_6"/>
      <w:bookmarkEnd w:id="8"/>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our capital stock is intended as a summary only and therefore is not a complete description of our capital stock. This description is based upon, and is qualified by reference to, our restated certificate of incorporation, as amended (“certificate of incorporation”), our amended and restated by-laws (“by-laws”) and applicable provisions of Delaware corporate law. You should read our certificate of incorporation and by-laws, which are filed as exhibits to our Annual Report on Form 10-K, and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Our authorized capital stock consists of 300,000,000 shares of common stock and 5,000,000 shares of preferred stock. The following series of preferred stock are currently designated: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Series X1 non-voting convertible preferred, par value $0.001 per share (the “Series X1 Preferred Stock”), 515,000 shares designated and 110,086 shares issued and outstanding, each as of December 31, 2025;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Series X non-voting convertible preferred stock, par value $0.001 per share (the “Series X Preferred Stock”), 10,000 shares designated and 4,422 shares issued and outstanding, each as of December 31,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At out next annual meeting of shareholders, expected to be held in June 2026, our shareholders will vote on a proposal to approve an amendment to our certificate of incorporation, to increase the number of our authorized shares of common stock from 300,000,000 to 450,000,000. This proposal will be approved if the holders of a majority of the total votes cast affirmatively or negatively on the proposal vote “FOR” the proposal. If the proposal is approved, the amendment will become effective upon the filing of a certificate of amendment to the certificate of incorporation with the Secretary of State of the State of Delaware.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b/>
          <w:i/>
          <w:sz w:val="20"/>
        </w:rPr>
        <w:t>Annual Meeting</w:t>
      </w:r>
      <w:r>
        <w:rPr>
          <w:rFonts w:ascii="Times New Roman" w:hAnsi="Times New Roman"/>
          <w:sz w:val="20"/>
        </w:rPr>
        <w:t xml:space="preserve">. Annual meetings of our stockholders are held on the date designated in accordance with our by-laws. Written notice must be mailed to each stockholder entitled to vote not less than ten (10) nor more than sixty (60) days before the date of the meeting. The presence in person or by proxy of the holders of record of a majority of our issued and outstanding shares entitled to vote at such meeting constitutes a quorum for the transaction of business at meetings of the stockholders. Special meetings of the stockholders may be called for any purpose only by the board of directors, and business transacted at any special meetings of stockholders shall be limited to matters relating to the purpose or purposes stated in the notice of such meeting. </w:t>
      </w:r>
    </w:p>
    <w:p>
      <w:pPr>
        <w:pStyle w:val="TextBody"/>
        <w:bidi w:val="0"/>
        <w:spacing w:before="240" w:after="0"/>
        <w:jc w:val="left"/>
        <w:rPr>
          <w:rFonts w:ascii="Times New Roman" w:hAnsi="Times New Roman"/>
          <w:sz w:val="20"/>
        </w:rPr>
      </w:pPr>
      <w:r>
        <w:rPr>
          <w:rFonts w:ascii="Times New Roman" w:hAnsi="Times New Roman"/>
          <w:sz w:val="20"/>
        </w:rPr>
        <w:t xml:space="preserve">Except as may be otherwise provided by applicable law, our certificate of incorporation or our by-laws, all elections shall be decided by a plurality, and all other questions shall be decided by a majority, of the votes cast by stockholders entitled to vote thereon at a duly held meeting of stockholders at which a quorum is present. </w:t>
      </w:r>
    </w:p>
    <w:p>
      <w:pPr>
        <w:pStyle w:val="TextBody"/>
        <w:bidi w:val="0"/>
        <w:spacing w:before="240" w:after="0"/>
        <w:jc w:val="left"/>
        <w:rPr>
          <w:rFonts w:ascii="Times New Roman" w:hAnsi="Times New Roman"/>
          <w:sz w:val="20"/>
        </w:rPr>
      </w:pPr>
      <w:r>
        <w:rPr>
          <w:rFonts w:ascii="Times New Roman" w:hAnsi="Times New Roman"/>
          <w:b/>
          <w:i/>
          <w:sz w:val="20"/>
        </w:rPr>
        <w:t>Voting</w:t>
      </w:r>
      <w:r>
        <w:rPr>
          <w:rFonts w:ascii="Times New Roman" w:hAnsi="Times New Roman"/>
          <w:sz w:val="20"/>
        </w:rPr>
        <w:t xml:space="preserve"> </w:t>
      </w:r>
      <w:r>
        <w:rPr>
          <w:rFonts w:ascii="Times New Roman" w:hAnsi="Times New Roman"/>
          <w:b/>
          <w:i/>
          <w:sz w:val="20"/>
        </w:rPr>
        <w:t>Rights</w:t>
      </w:r>
      <w:r>
        <w:rPr>
          <w:rFonts w:ascii="Times New Roman" w:hAnsi="Times New Roman"/>
          <w:sz w:val="20"/>
        </w:rPr>
        <w:t xml:space="preserve">. Each holder of common stock is entitled to one vote for each share held on all matters to be voted upon by stockholders. </w:t>
      </w:r>
    </w:p>
    <w:p>
      <w:pPr>
        <w:pStyle w:val="TextBody"/>
        <w:bidi w:val="0"/>
        <w:spacing w:before="240" w:after="0"/>
        <w:jc w:val="left"/>
        <w:rPr>
          <w:rFonts w:ascii="Times New Roman" w:hAnsi="Times New Roman"/>
          <w:sz w:val="20"/>
        </w:rPr>
      </w:pPr>
      <w:r>
        <w:rPr>
          <w:rFonts w:ascii="Times New Roman" w:hAnsi="Times New Roman"/>
          <w:b/>
          <w:i/>
          <w:sz w:val="20"/>
        </w:rPr>
        <w:t>Dividends</w:t>
      </w:r>
      <w:r>
        <w:rPr>
          <w:rFonts w:ascii="Times New Roman" w:hAnsi="Times New Roman"/>
          <w:sz w:val="20"/>
        </w:rPr>
        <w:t xml:space="preserve">. The holders of common stock, after any preferences of holders of any preferred stock, are entitled to receive dividends when and if declared by the board of directors out of legally available funds. </w:t>
      </w:r>
    </w:p>
    <w:p>
      <w:pPr>
        <w:pStyle w:val="TextBody"/>
        <w:bidi w:val="0"/>
        <w:spacing w:before="240" w:after="0"/>
        <w:jc w:val="left"/>
        <w:rPr>
          <w:rFonts w:ascii="Times New Roman" w:hAnsi="Times New Roman"/>
          <w:sz w:val="20"/>
        </w:rPr>
      </w:pPr>
      <w:r>
        <w:rPr>
          <w:rFonts w:ascii="Times New Roman" w:hAnsi="Times New Roman"/>
          <w:b/>
          <w:i/>
          <w:sz w:val="20"/>
        </w:rPr>
        <w:t>Liquidation and Dissolution</w:t>
      </w:r>
      <w:r>
        <w:rPr>
          <w:rFonts w:ascii="Times New Roman" w:hAnsi="Times New Roman"/>
          <w:sz w:val="20"/>
        </w:rPr>
        <w:t xml:space="preserve">. If we are liquidated or dissolved, the holders of the common stock will be entitled to share in our assets available for distribution to stockholders in proportion to the amount of common stock they own. The amount available for common stockholders is calculated after payment of liabilities. Holders of any preferred stock may be entitled to receive a preferential share of our assets before the holders of the common stock receive any assets. </w:t>
      </w:r>
    </w:p>
    <w:p>
      <w:pPr>
        <w:pStyle w:val="TextBody"/>
        <w:bidi w:val="0"/>
        <w:spacing w:before="240" w:after="0"/>
        <w:jc w:val="left"/>
        <w:rPr>
          <w:rFonts w:ascii="Times New Roman" w:hAnsi="Times New Roman"/>
          <w:sz w:val="20"/>
        </w:rPr>
      </w:pPr>
      <w:r>
        <w:rPr>
          <w:rFonts w:ascii="Times New Roman" w:hAnsi="Times New Roman"/>
          <w:b/>
          <w:i/>
          <w:sz w:val="20"/>
        </w:rPr>
        <w:t>Other</w:t>
      </w:r>
      <w:r>
        <w:rPr>
          <w:rFonts w:ascii="Times New Roman" w:hAnsi="Times New Roman"/>
          <w:sz w:val="20"/>
        </w:rPr>
        <w:t xml:space="preserve"> </w:t>
      </w:r>
      <w:r>
        <w:rPr>
          <w:rFonts w:ascii="Times New Roman" w:hAnsi="Times New Roman"/>
          <w:b/>
          <w:i/>
          <w:sz w:val="20"/>
        </w:rPr>
        <w:t>Rights</w:t>
      </w:r>
      <w:r>
        <w:rPr>
          <w:rFonts w:ascii="Times New Roman" w:hAnsi="Times New Roman"/>
          <w:sz w:val="20"/>
        </w:rPr>
        <w:t xml:space="preserve">. Holders of the common stock have no right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convert the stock into any other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the stock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additional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their proportionate ownership interest.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common stock does not have cumulative voting rights. Holders of shares of the common stock are not required to make additional capital contributions. </w:t>
      </w:r>
    </w:p>
    <w:p>
      <w:pPr>
        <w:pStyle w:val="TextBody"/>
        <w:bidi w:val="0"/>
        <w:spacing w:before="240" w:after="0"/>
        <w:jc w:val="left"/>
        <w:rPr>
          <w:rFonts w:ascii="Times New Roman" w:hAnsi="Times New Roman"/>
          <w:sz w:val="20"/>
        </w:rPr>
      </w:pPr>
      <w:r>
        <w:rPr>
          <w:rFonts w:ascii="Times New Roman" w:hAnsi="Times New Roman"/>
          <w:b/>
          <w:i/>
          <w:sz w:val="20"/>
        </w:rPr>
        <w:t>Transfer</w:t>
      </w:r>
      <w:r>
        <w:rPr>
          <w:rFonts w:ascii="Times New Roman" w:hAnsi="Times New Roman"/>
          <w:sz w:val="20"/>
        </w:rPr>
        <w:t xml:space="preserve"> </w:t>
      </w:r>
      <w:r>
        <w:rPr>
          <w:rFonts w:ascii="Times New Roman" w:hAnsi="Times New Roman"/>
          <w:b/>
          <w:i/>
          <w:sz w:val="20"/>
        </w:rPr>
        <w:t>Agent</w:t>
      </w:r>
      <w:r>
        <w:rPr>
          <w:rFonts w:ascii="Times New Roman" w:hAnsi="Times New Roman"/>
          <w:sz w:val="20"/>
        </w:rPr>
        <w:t xml:space="preserve"> </w:t>
      </w:r>
      <w:r>
        <w:rPr>
          <w:rFonts w:ascii="Times New Roman" w:hAnsi="Times New Roman"/>
          <w:b/>
          <w:i/>
          <w:sz w:val="20"/>
        </w:rPr>
        <w:t>and</w:t>
      </w:r>
      <w:r>
        <w:rPr>
          <w:rFonts w:ascii="Times New Roman" w:hAnsi="Times New Roman"/>
          <w:sz w:val="20"/>
        </w:rPr>
        <w:t xml:space="preserve"> </w:t>
      </w:r>
      <w:r>
        <w:rPr>
          <w:rFonts w:ascii="Times New Roman" w:hAnsi="Times New Roman"/>
          <w:b/>
          <w:i/>
          <w:sz w:val="20"/>
        </w:rPr>
        <w:t>Registrar</w:t>
      </w:r>
      <w:r>
        <w:rPr>
          <w:rFonts w:ascii="Times New Roman" w:hAnsi="Times New Roman"/>
          <w:sz w:val="20"/>
        </w:rPr>
        <w:t xml:space="preserve">. Continental Stock Transfer &amp; Trust Company is transfer agent and registrar for the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We are authorized to issue “blank check” preferred stock, which may be issued in one or more series upon authorization of our board of directors. Our board of directors is authorized to fix the designation of the series, the number of authorized shares of the series, dividend rights and terms, conversion rights, voting rights, redemption rights and terms, liquidation preferences and any other rights, powers, preferences and limitations applicable to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A series of our preferred stock could, depending on the terms of such series, impede the completion of a merger, tender offer or other takeover attempt. Our board of directors will make any determination to issue preferred shares based upon its judgment as to the best interests of our stockholders. Our board of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Series X and Series X1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Each share of Series X Preferred Stock and Series X1 Preferred Stock (collectively, the “Convertible Preferred Stock”) is convertible into 55.5556 shares of our common stock at the option of the holder at any time; subject to certain limitations, including, that the holder will be prohibited from converting the Convertible Preferred Stock into common stock if, as a result of such conversion, the holder, together with its affiliates, would beneficially own a number of shares of common stock above a conversion blocker, which is initially set at 9.99% or 9.9% of the total common stock then issued and outstanding immediately following the conversion of such shares of Series X Preferred Stock or Series X1 Preferred Stock, respectively. In the event of the Company’s liquidation, dissolution or winding up, holders of the Convertible Preferred Stock will participate pari passu with any distribution of proceeds to holders of common stock. Holders of the Convertible Preferred Stock are entitled to receive dividends on shares of the Convertible Preferred Stock, on an as-if- converted-to-common-stock basis (without regard to any beneficial ownership limitations), and in the same form as dividends actually paid on shares of the common stock. Shares of the Convertible Preferred Stock generally have no voting rights, except as required by law and except that the consent of a majority of the holders of either series of outstanding Convertible Preferred Stock will be required to amend the terms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As long as any shares of the Convertible Preferred Stock are outstanding, we will not, without the affirmative vote of the holders of a majority of the then outstanding shares of either series of the Convertible Preferred Stock, as applicable, (a) alter or change adversely the powers, preferences or rights given to either series of the Convertible Preferred Stock, (b) alter or amend the Certificate of Designation for either series of the Convertible Preferred Stock, (c) amend our certificate of incorporation or other charter documents in any manner that adversely affects any rights of the holders of either series of the Convertible Preferred Stock, (d) increase the number of authorized shares of either series of the Convertible Preferred Stock, or (e) enter into any agreement with respect to any of the foregoing. The Convertible Preferred Stock does not have a preference upon any liquidation, dissolution or winding-up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Provisions of Our Certificate of Incorporation and By-laws and Delaware Law That May Have Anti-Takeover Effects </w:t>
      </w:r>
    </w:p>
    <w:p>
      <w:pPr>
        <w:pStyle w:val="TextBody"/>
        <w:bidi w:val="0"/>
        <w:spacing w:before="120" w:after="0"/>
        <w:jc w:val="left"/>
        <w:rPr>
          <w:rFonts w:ascii="Times New Roman" w:hAnsi="Times New Roman"/>
          <w:b/>
          <w:i/>
          <w:sz w:val="20"/>
        </w:rPr>
      </w:pPr>
      <w:r>
        <w:rPr>
          <w:rFonts w:ascii="Times New Roman" w:hAnsi="Times New Roman"/>
          <w:b/>
          <w:i/>
          <w:sz w:val="20"/>
        </w:rPr>
        <w:t xml:space="preserve">Staggered Board; 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by-laws divide our board of directors into three classes with staggered three-year terms. In addition, a director is only able to be removed for cause and only by the affirmative vote of the holders of at least 75% of the votes that all of our stockholders would be entitled to cast in an annual election of our board of directors. Any vacancy in our board of directors, including a vacancy resulting from an enlargement of our board of directors, may only be filled by vote of a majority of our directors then in office. The classification of our board of directors and the limitations on the removal of directors and filling of vacancies could make it more difficult for a third party to acquire, or discourage a third party from seeking to acquire, control of our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 Action by Written Consent; Special Meetings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any action required or permitted to be taken by our stockholders must be effected at a duly called annual or special meeting of such holders and may not be effected by any consent in writing by such holders. Our certificate of incorporation and by-laws also provide that, except as otherwise required by law, special meetings of our stockholders can only be called by our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Advance Notice Requirements for Stockholder Proposals </w:t>
      </w:r>
    </w:p>
    <w:p>
      <w:pPr>
        <w:pStyle w:val="TextBody"/>
        <w:bidi w:val="0"/>
        <w:spacing w:before="120" w:after="0"/>
        <w:jc w:val="left"/>
        <w:rPr>
          <w:rFonts w:ascii="Times New Roman" w:hAnsi="Times New Roman"/>
          <w:sz w:val="20"/>
        </w:rPr>
      </w:pPr>
      <w:r>
        <w:rPr>
          <w:rFonts w:ascii="Times New Roman" w:hAnsi="Times New Roman"/>
          <w:sz w:val="20"/>
        </w:rPr>
        <w:t xml:space="preserve">Our by-laws establish an advance notice procedure for stockholder proposals to be brought before an annual meeting of stockholders, including proposed nominations of persons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Business Combination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Section 203 of the Delaware General Corporation Law. Subject to certain exceptions, Section 203 prevents a publicly-held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by the affirmative vote of the holders of at least 75% of the votes that all of our stockholders would be entitled to cast in any annual election of directors. In addition, the affirmative vote of the holders of at least 75% of the votes that all of our stockholders would be entitled to cast in any annual election of directors is required to amend or repeal or to adopt any provisions inconsistent with any of the provisions of our certificate of incorporation described above under “—Staggered Board; Removal of Directors” and “—Stockholder Action by Written Consent; Special Meetings.”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79008_7"/>
      <w:bookmarkEnd w:id="9"/>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debt securities that may be senior or subordinated. We refer to the senior debt securities and the subordinated debt securities collectively as debt securities.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None of the indentures will limit the amount of debt securities that we may issue. The applicable indenture will provide that debt securities may be issued up to an aggregate principal amount authorized from time to time by us and may be payable in any currency or currency unit designated by us or in amounts determined by reference to an index.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The senior debt securities will constitute our unsecured and unsubordinated general obligations and will rank pari passu with our other unsecured and unsubordinated obligations. The subordinated debt securities will constitute our unsecured and subordinated general obligations and will be junior in right of payment to our senior indebtedness (including senior debt securities), as described under the heading “—</w:t>
      </w:r>
      <w:r>
        <w:rPr>
          <w:rFonts w:ascii="Times New Roman" w:hAnsi="Times New Roman"/>
          <w:i/>
          <w:sz w:val="20"/>
        </w:rPr>
        <w:t>Certain Terms of the Subordinated Debt Securities—Subordination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our unsecured obligations. Any secured debt or other secured obligations will be effectively senior to the debt securities to the extent of the value of the assets securing such debt or other obligations.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and/or free writing prospectus will include any additional or different terms of the debt securities of any series being offered, including the following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type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senior or subordinated debt securities, and, with respect to debt securities issued under the subordinated indenture the terms on which they are subordinated;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we will sell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or dates of the debt securities and the right, if any, to extend such date or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if any, per year, at which the debt securities will bear interest, or the method of determining such rate or rates;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from which such interest will accrue, the interest payment dates on which such interest will be payable or the manner of determination of such interest payment dates and the related record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if any, to extend the interest payment periods and the duration of that extension;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of paying principal and interest and the place or places where principal and interest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for a sinking fund, purchase fund or other analogous fund,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dates, prices, obligations and restrictions on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currencies or currency units in which the debt securities will be denominated and the currency, currencies or currency units in which principal and interest, if any, on the debt securities may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conversion or exchange features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upon what terms the debt securities may be defeased;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events of default or covenants in addition to or in lieu of those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definitive or global form or in definitive form only upon satisfaction of certain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guaranteed as to payment or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special tax implications of the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material terms of the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When we refer to “principal” in this section with reference to the debt securities, we are also referring to “premium, if any.”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without notice to or the consent of the holders of any series of debt securities, create and issue further debt securities of any such series ranking equally with the debt securities of such series in all respects (or in all respects other than (1) the payment of interest accruing prior to the issue date of such further debt securities or (2)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Debt securities may bear interest at a fixed rate or a floating rate. Debt securities bearing no interest or interest at a rate that at the time of issuance is below the prevailing market rate (original issue discount securities) may be sold at a discount below their stated principal amount. U.S. federal income tax considerations applicable to any such discounted debt securities or to certain debt securities issued at par which are treated as having been issued at a discount for U.S. federal income tax purposes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on the value on such dates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related tax considerations will be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Certain Terms of the Senior Debt Securities </w:t>
      </w:r>
    </w:p>
    <w:p>
      <w:pPr>
        <w:pStyle w:val="TextBody"/>
        <w:bidi w:val="0"/>
        <w:spacing w:before="120" w:after="0"/>
        <w:jc w:val="left"/>
        <w:rPr>
          <w:rFonts w:ascii="Times New Roman" w:hAnsi="Times New Roman"/>
          <w:sz w:val="20"/>
        </w:rPr>
      </w:pPr>
      <w:r>
        <w:rPr>
          <w:rFonts w:ascii="Times New Roman" w:hAnsi="Times New Roman"/>
          <w:i/>
          <w:sz w:val="20"/>
        </w:rPr>
        <w:t>Covenants</w:t>
      </w:r>
      <w:r>
        <w:rPr>
          <w:rFonts w:ascii="Times New Roman" w:hAnsi="Times New Roman"/>
          <w:sz w:val="20"/>
        </w:rPr>
        <w:t xml:space="preserve">. Unless we indicate otherwise in a prospectus supplement, the senior debt securities will not contain any financial or restrictive covenants, including covenants restricting us from incurring, issuing, assuming or guaranteeing any indebtedness secured by a lien on any of our property or capital stock, or restricting us from entering into sale and leaseback transactions. </w:t>
      </w:r>
    </w:p>
    <w:p>
      <w:pPr>
        <w:pStyle w:val="TextBody"/>
        <w:bidi w:val="0"/>
        <w:spacing w:before="240" w:after="0"/>
        <w:jc w:val="left"/>
        <w:rPr>
          <w:rFonts w:ascii="Times New Roman" w:hAnsi="Times New Roman"/>
          <w:sz w:val="20"/>
        </w:rPr>
      </w:pPr>
      <w:r>
        <w:rPr>
          <w:rFonts w:ascii="Times New Roman" w:hAnsi="Times New Roman"/>
          <w:i/>
          <w:sz w:val="20"/>
        </w:rPr>
        <w:t>Consolidation, Merger and Sale of Assets</w:t>
      </w:r>
      <w:r>
        <w:rPr>
          <w:rFonts w:ascii="Times New Roman" w:hAnsi="Times New Roman"/>
          <w:sz w:val="20"/>
        </w:rPr>
        <w:t xml:space="preserve">. Unless we indicate otherwise in a prospectus supplement, we may not consolidate with or merge into any other person, in a transaction in which we are not the surviving corporation, or convey, transfer or lease our properties and assets substantially as an entirety to any person, in either case,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successor entity, if any, is a U.S. corporation, limited liability company, partnership or trust (subject to certain exceptions provided for in the senior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successor entity assumes our obligations on the senior debt securities and under the senior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default or event of default shall have occurred and be continuing;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other conditions are met. </w:t>
            </w:r>
          </w:p>
        </w:tc>
      </w:tr>
    </w:tbl>
    <w:p>
      <w:pPr>
        <w:pStyle w:val="TextBody"/>
        <w:bidi w:val="0"/>
        <w:spacing w:before="240" w:after="0"/>
        <w:jc w:val="left"/>
        <w:rPr>
          <w:rFonts w:ascii="Times New Roman" w:hAnsi="Times New Roman"/>
          <w:sz w:val="20"/>
        </w:rPr>
      </w:pPr>
      <w:r>
        <w:rPr>
          <w:rFonts w:ascii="Times New Roman" w:hAnsi="Times New Roman"/>
          <w:i/>
          <w:sz w:val="20"/>
        </w:rPr>
        <w:t>No Protection in the Event of a Change in Control</w:t>
      </w:r>
      <w:r>
        <w:rPr>
          <w:rFonts w:ascii="Times New Roman" w:hAnsi="Times New Roman"/>
          <w:sz w:val="20"/>
        </w:rPr>
        <w:t xml:space="preserve">. Unless we indicate otherwise in a prospectus supplement with respect to a particular series of senior debt securities, the senior debt securities will not contain any provisions that may afford holders of the senior debt securities protection in the event we have a change in control or in the event of a highly leveraged transaction (whether or not such transaction results in a change in control). </w:t>
      </w:r>
    </w:p>
    <w:p>
      <w:pPr>
        <w:pStyle w:val="TextBody"/>
        <w:bidi w:val="0"/>
        <w:spacing w:before="240" w:after="0"/>
        <w:jc w:val="left"/>
        <w:rPr>
          <w:rFonts w:ascii="Times New Roman" w:hAnsi="Times New Roman"/>
          <w:sz w:val="20"/>
        </w:rPr>
      </w:pPr>
      <w:r>
        <w:rPr>
          <w:rFonts w:ascii="Times New Roman" w:hAnsi="Times New Roman"/>
          <w:i/>
          <w:sz w:val="20"/>
        </w:rPr>
        <w:t>Events of Default</w:t>
      </w:r>
      <w:r>
        <w:rPr>
          <w:rFonts w:ascii="Times New Roman" w:hAnsi="Times New Roman"/>
          <w:sz w:val="20"/>
        </w:rPr>
        <w:t xml:space="preserve">. Unless we indicate otherwise in a prospectus supplement with respect to a particular series of senior debt securities, the following are events of default under the senior indenture for any series of senior debt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interest on any senior debt securities of such series when due and payable, if that default continues for a period of 30 days (or such other period as may be specified for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principal on the senior debt securities of such series when due and payable whether at maturity, upon redemption, by declaration or otherwise (and, if specified for such series, the continuance of such failure for a specified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of or breach of any of our covenants or agreements in the senior indenture applicable to senior debt securities of such series, other than a covenant breach which is specifically dealt with elsewhere in the senior indenture, and that default or breach continues for a period of 90 days after we receive written notice from the trustee or from the holders of 25% or more in aggregate principal amount of the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or insolvency, whether or not voluntary;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for in such series of senior debt securities as may be specified in the applicable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default by us under any other debt, including any other series of debt securities, is not a default under the senior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 event of default other than an event of default specified in the fourth bullet point above occurs with respect to a series of senior debt securities and is continuing under the senior indenture, then, and in each such case, either the trustee or the holders of not less than 25% in aggregate principal amount of such series then outstanding under the senior indenture (each such series voting as a separate class) by written notice to us and to the trustee, if such notice is given by the holders, may, and the trustee at the request of such holders shall, declare the principal amount of and accrued interest on such series of senior debt securities to be immediately due and payable, and upon this declaration, the same shall become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specified in the fourth bullet point above occurs and is continuing, the entire principal amount of and accrued interest on each series of senior debt securities then outstanding shall become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prospectus supplement relating to a series of senior debt securities originally issued at a discount, the amount due upon acceleration shall include only the original issue price of the senior debt securities, the amount of original issue discount accrued to the date of acceleration and accrued interest, if any. </w:t>
      </w:r>
    </w:p>
    <w:p>
      <w:pPr>
        <w:pStyle w:val="TextBody"/>
        <w:bidi w:val="0"/>
        <w:spacing w:before="240" w:after="0"/>
        <w:jc w:val="left"/>
        <w:rPr>
          <w:rFonts w:ascii="Times New Roman" w:hAnsi="Times New Roman"/>
          <w:sz w:val="20"/>
        </w:rPr>
      </w:pPr>
      <w:r>
        <w:rPr>
          <w:rFonts w:ascii="Times New Roman" w:hAnsi="Times New Roman"/>
          <w:sz w:val="20"/>
        </w:rPr>
        <w:t xml:space="preserve">Upon certain conditions, declarations of acceleration may be rescinded and annulled and past defaults may be waived by the holders of a majority in aggregate principal amount of all the senior debt securities of such series affected by the default, each series voting as a separate class. Furthermore, subject to various provisions in the senior indenture, the holders of a majority in aggregate principal amount of a series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aggregate principal amount of a series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series of senior debt securities not joining in the giving of such direction and may take any other action it deems proper that is not inconsistent with any such direction received from holders of such series of senior debt securities. A holder may not pursue any remedy with respect to the senior indenture or any series of senior debt securities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gives the trustee written notice of a continuing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such series of senior debt securities make a written request to the trustee to pursue the remedy in respect of such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requesting holder or holders offer the trustee indemnity satisfactory to the trustee against any costs, liability or expense;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comply with the request within 60 days after receipt of the request and the offer of indemnity;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such 60-day period, the holders of a majority in aggregate principal amount of such series of senior debt securities do not give the trustee a direction that is inconsistent with the request.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however, do not apply to the right of any holder of a senior debt security to receive payment of the principal of and interest on such senior debt security in accordance with the terms of such debt security, or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bring suit for the enforcement of any such payment in accordance with the terms of such debt security, on or after the due date for the senior debt securities, which right shall not be impaired or affected without the consent of the holder. </w:t>
      </w:r>
    </w:p>
    <w:p>
      <w:pPr>
        <w:pStyle w:val="TextBody"/>
        <w:bidi w:val="0"/>
        <w:spacing w:before="240" w:after="0"/>
        <w:jc w:val="left"/>
        <w:rPr>
          <w:rFonts w:ascii="Times New Roman" w:hAnsi="Times New Roman"/>
          <w:sz w:val="20"/>
        </w:rPr>
      </w:pPr>
      <w:r>
        <w:rPr>
          <w:rFonts w:ascii="Times New Roman" w:hAnsi="Times New Roman"/>
          <w:sz w:val="20"/>
        </w:rPr>
        <w:t xml:space="preserve">The senior indenture requires certain of our officers to certify, on or before a fixed date in each year in which any senior debt security is outstanding, as to their knowledge of our compliance with all covenants, agreements and conditions under the senior indenture. </w:t>
      </w:r>
    </w:p>
    <w:p>
      <w:pPr>
        <w:pStyle w:val="TextBody"/>
        <w:bidi w:val="0"/>
        <w:spacing w:before="240" w:after="0"/>
        <w:jc w:val="left"/>
        <w:rPr>
          <w:rFonts w:ascii="Times New Roman" w:hAnsi="Times New Roman"/>
          <w:sz w:val="20"/>
        </w:rPr>
      </w:pPr>
      <w:r>
        <w:rPr>
          <w:rFonts w:ascii="Times New Roman" w:hAnsi="Times New Roman"/>
          <w:i/>
          <w:sz w:val="20"/>
        </w:rPr>
        <w:t>Satisfaction</w:t>
      </w:r>
      <w:r>
        <w:rPr>
          <w:rFonts w:ascii="Times New Roman" w:hAnsi="Times New Roman"/>
          <w:sz w:val="20"/>
        </w:rPr>
        <w:t xml:space="preserve"> </w:t>
      </w:r>
      <w:r>
        <w:rPr>
          <w:rFonts w:ascii="Times New Roman" w:hAnsi="Times New Roman"/>
          <w:i/>
          <w:sz w:val="20"/>
        </w:rPr>
        <w:t>and</w:t>
      </w:r>
      <w:r>
        <w:rPr>
          <w:rFonts w:ascii="Times New Roman" w:hAnsi="Times New Roman"/>
          <w:sz w:val="20"/>
        </w:rPr>
        <w:t xml:space="preserve"> </w:t>
      </w:r>
      <w:r>
        <w:rPr>
          <w:rFonts w:ascii="Times New Roman" w:hAnsi="Times New Roman"/>
          <w:i/>
          <w:sz w:val="20"/>
        </w:rPr>
        <w:t>Discharge</w:t>
      </w:r>
      <w:r>
        <w:rPr>
          <w:rFonts w:ascii="Times New Roman" w:hAnsi="Times New Roman"/>
          <w:sz w:val="20"/>
        </w:rPr>
        <w:t xml:space="preserve">. We can satisfy and discharge our obligations to holders of any series of debt securities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pay or cause to be paid, as and when due and payable, the principal of and any interest on all senior debt securities of such series outstanding under the senior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senior debt securities of such series have become due and payable or will become due and payable within one year (or are to be called for redemption within one year) and we deposit in trust a combination of cash and U.S. government or U.S. government agency obligations that will generate enough cash to make interest, principal and any other payments on the debt securities of that series on their various due 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 Purchasers of the debt securities should consult their own advisers with respect to the tax consequences to them of such deposit and discharge, including the applicability and effect of tax laws other than the U.S. federal income tax law. </w:t>
      </w:r>
    </w:p>
    <w:p>
      <w:pPr>
        <w:pStyle w:val="TextBody"/>
        <w:bidi w:val="0"/>
        <w:spacing w:before="240" w:after="0"/>
        <w:jc w:val="left"/>
        <w:rPr>
          <w:rFonts w:ascii="Times New Roman" w:hAnsi="Times New Roman"/>
          <w:sz w:val="20"/>
        </w:rPr>
      </w:pPr>
      <w:r>
        <w:rPr>
          <w:rFonts w:ascii="Times New Roman" w:hAnsi="Times New Roman"/>
          <w:i/>
          <w:sz w:val="20"/>
        </w:rPr>
        <w:t>Defeasance</w:t>
      </w:r>
      <w:r>
        <w:rPr>
          <w:rFonts w:ascii="Times New Roman" w:hAnsi="Times New Roman"/>
          <w:sz w:val="20"/>
        </w:rPr>
        <w:t xml:space="preserve">. Unless the applicable prospectus supplement provides otherwise, the following discussion of legal defeasance and discharge and covenant defeasance will apply to any series of debt securities issued under the indentures. </w:t>
      </w:r>
    </w:p>
    <w:p>
      <w:pPr>
        <w:pStyle w:val="TextBody"/>
        <w:bidi w:val="0"/>
        <w:spacing w:before="240" w:after="0"/>
        <w:jc w:val="left"/>
        <w:rPr>
          <w:rFonts w:ascii="Times New Roman" w:hAnsi="Times New Roman"/>
          <w:sz w:val="20"/>
        </w:rPr>
      </w:pPr>
      <w:r>
        <w:rPr>
          <w:rFonts w:ascii="Times New Roman" w:hAnsi="Times New Roman"/>
          <w:i/>
          <w:sz w:val="20"/>
        </w:rPr>
        <w:t>Legal</w:t>
      </w:r>
      <w:r>
        <w:rPr>
          <w:rFonts w:ascii="Times New Roman" w:hAnsi="Times New Roman"/>
          <w:sz w:val="20"/>
        </w:rPr>
        <w:t xml:space="preserve"> </w:t>
      </w:r>
      <w:r>
        <w:rPr>
          <w:rFonts w:ascii="Times New Roman" w:hAnsi="Times New Roman"/>
          <w:i/>
          <w:sz w:val="20"/>
        </w:rPr>
        <w:t>Defeasance</w:t>
      </w:r>
      <w:r>
        <w:rPr>
          <w:rFonts w:ascii="Times New Roman" w:hAnsi="Times New Roman"/>
          <w:sz w:val="20"/>
        </w:rPr>
        <w:t xml:space="preserve">. We can legally release ourselves from any payment or other obligations on the debt securities of any series (called “legal defeasance”) if certain conditions are met,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deposit in trust for your benefit and the benefit of all other direct holders of the debt securities of the same series a combination of cash and U.S. government or U.S. government agency obligations that will generate enough cash to make interest, principal and any other payments on the debt securities of that series on their various due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a change in current U.S. federal income tax law or an IRS ruling that lets us make the above deposit without causing you to be taxed on the debt securities any differently than if we did not make the deposit and instead repaid the debt securities ourselves when due. 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deliver to the trustee a legal opinion of our counsel confirming the tax law change or ruling described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accomplish legal defeasance, as described above, you would have to rely solely on the trust deposit for repayment of the debt securities. You could not look to us for repayment in the event of any shortfall. </w:t>
      </w:r>
    </w:p>
    <w:p>
      <w:pPr>
        <w:pStyle w:val="TextBody"/>
        <w:bidi w:val="0"/>
        <w:spacing w:before="240" w:after="0"/>
        <w:jc w:val="left"/>
        <w:rPr>
          <w:rFonts w:ascii="Times New Roman" w:hAnsi="Times New Roman"/>
          <w:sz w:val="20"/>
        </w:rPr>
      </w:pPr>
      <w:r>
        <w:rPr>
          <w:rFonts w:ascii="Times New Roman" w:hAnsi="Times New Roman"/>
          <w:i/>
          <w:sz w:val="20"/>
        </w:rPr>
        <w:t>Covenant Defeasance</w:t>
      </w:r>
      <w:r>
        <w:rPr>
          <w:rFonts w:ascii="Times New Roman" w:hAnsi="Times New Roman"/>
          <w:sz w:val="20"/>
        </w:rPr>
        <w:t xml:space="preserve">. Without any change of current U.S. federal tax law, we can make the same type of deposit described above and be released from some of the covenants in the debt securities (called “covenant defeasance”).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that event, you would lose the protection of those covenants but would gain the protection of having money and securities set aside in trust to repay the debt securities. In order to achieve covenant defeasance, we must do the following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deposit in trust for your benefit and the benefit of all other direct holders of the debt securities of the same series a combination of cash and U.S. government or U.S. government agency obligations that will generate enough cash to make interest, principal and any other payments on the debt securities of that series on their various due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of our counsel confirming that under current U.S. federal income tax law we may make the above deposit without causing you to be taxed on the debt securities any differently than if we did not make the deposit and instead repaid the debt securities ourselves when due.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accomplish covenant defeasance, you could still look to us for repayment of the debt securities if there were a shortfall in the trust deposit. In fact, if one of the events of default occurred (such as our bankruptcy) and the debt securities become immediately due and payable, there may be such a shortfall. Depending on the events causing the default, you may not be able to obtain payment of the shortfall. </w:t>
      </w:r>
    </w:p>
    <w:p>
      <w:pPr>
        <w:pStyle w:val="TextBody"/>
        <w:bidi w:val="0"/>
        <w:spacing w:before="240" w:after="0"/>
        <w:jc w:val="left"/>
        <w:rPr>
          <w:rFonts w:ascii="Times New Roman" w:hAnsi="Times New Roman"/>
          <w:sz w:val="20"/>
        </w:rPr>
      </w:pPr>
      <w:r>
        <w:rPr>
          <w:rFonts w:ascii="Times New Roman" w:hAnsi="Times New Roman"/>
          <w:i/>
          <w:sz w:val="20"/>
        </w:rPr>
        <w:t>Modification and Waiver</w:t>
      </w:r>
      <w:r>
        <w:rPr>
          <w:rFonts w:ascii="Times New Roman" w:hAnsi="Times New Roman"/>
          <w:sz w:val="20"/>
        </w:rPr>
        <w:t xml:space="preserve">. We and the trustee may amend or supplement the senior indenture or the senior debt securities without the consent of any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convey, transfer, assign, mortgage or pledge any assets as security for the senior debt securities of one or more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succession of a corporation, limited liability company, partnership or trust to us, and the assumption by such successor of our covenants, agreements and obligations under the senior indenture or to otherwise comply with the covenant relating to mergers, consolidations and sales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senior indenture under the Trust Indenture Act of 1939, as amended (the “Trust Indenture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in the senior indenture or in any supplemental indenture or to conform the senior indenture or the senior debt securities to the description of senior debt securities of such series set forth in this prospectus or any applicable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or add guarantors with respect to the senior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establish the form or forms or terms of the senior debt securities as permitted by the senior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under the senior indenture by a successor trustee, or to make such changes as shall be necessary to provide for or facilitate the administration of the trusts in the senior indenture by more than one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purposes of issue, authentication and delivery of any series of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to the senior debt securities of any series so long as no senior debt securities of such series are outstanding;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rights of any holder in any material respect.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amendments and modifications of the senior indenture or the senior debt securities issued may be made, and our compliance with any provision of the senior indenture with respect to any series of senior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be waived, with the consent of the holders of a majority of the aggregate principal amount of the outstanding senior debt securities of all series affected by the amendment or modification (voting together as a single class); provided, however, that each affected holder must consent to any modification, amendment or waiver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extends the final maturity of any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reduces the principal amount of any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reduces the rate or extends the time of payment of interest on any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reduces the amount payable upon the redemption of any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the currency of payment of principal of or interest on any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reduces the principal amount of original issue discount securities payable upon acceleration of maturity or the amount provable in bankruptcy;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waives an uncured default in the payment of principal of or interest on the senior debt securities (except in the case of a rescission of acceleration as described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the provisions relating to the waiver of past defaults or changes or impairs the right of holders to receive payment or to institute suit for the enforcement of any payment or conversion of any senior debt securities of such series on or after the due date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modifies any of the provisions of these restrictions on amendments and modifications, except to increase any required percentage or to provide that certain other provisions cannot be modified or waived without the consent of the holder of each senior debt security of such series affected by the modification;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reduces the above-stated percentage of outstanding senior debt securities of such series whose holders must consent to a supplemental indenture or modifies or amends or waives certain provisions of or defaults under the senior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the holders to approve the particular form of any proposed amendment, supplement or waiver, but it shall be sufficient if the holders’ consent approves the substance thereof. After an amendment, supplement or waiver of the senior indenture in accordance with the provisions described in this section becomes effective, the trustee must give to the holders affected thereby certain notice briefly describing the amendment, supplement or waiver. Any failure by the trustee to give such notice, or any defect therein, shall not, however, in any way impair or affect the validity of any such amendment, supplemental indenture or waiver. </w:t>
      </w:r>
    </w:p>
    <w:p>
      <w:pPr>
        <w:pStyle w:val="TextBody"/>
        <w:bidi w:val="0"/>
        <w:spacing w:before="240" w:after="0"/>
        <w:jc w:val="left"/>
        <w:rPr>
          <w:rFonts w:ascii="Times New Roman" w:hAnsi="Times New Roman"/>
          <w:sz w:val="20"/>
        </w:rPr>
      </w:pPr>
      <w:r>
        <w:rPr>
          <w:rFonts w:ascii="Times New Roman" w:hAnsi="Times New Roman"/>
          <w:i/>
          <w:sz w:val="20"/>
        </w:rPr>
        <w:t>No Personal Liability of Incorporators, Stockholders, Officers, Directors</w:t>
      </w:r>
      <w:r>
        <w:rPr>
          <w:rFonts w:ascii="Times New Roman" w:hAnsi="Times New Roman"/>
          <w:sz w:val="20"/>
        </w:rPr>
        <w:t xml:space="preserve">. The senior indenture provides that no recourse shall be had under any obligation, covenant or agreement of ours in the senior indenture or any supplemental indenture, or in any of the senior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senior debt securities, waives and releases all such liability. </w:t>
      </w:r>
    </w:p>
    <w:p>
      <w:pPr>
        <w:pStyle w:val="TextBody"/>
        <w:bidi w:val="0"/>
        <w:spacing w:before="240" w:after="0"/>
        <w:jc w:val="left"/>
        <w:rPr>
          <w:rFonts w:ascii="Times New Roman" w:hAnsi="Times New Roman"/>
          <w:sz w:val="20"/>
        </w:rPr>
      </w:pPr>
      <w:r>
        <w:rPr>
          <w:rFonts w:ascii="Times New Roman" w:hAnsi="Times New Roman"/>
          <w:i/>
          <w:sz w:val="20"/>
        </w:rPr>
        <w:t>Concerning the Trustee</w:t>
      </w:r>
      <w:r>
        <w:rPr>
          <w:rFonts w:ascii="Times New Roman" w:hAnsi="Times New Roman"/>
          <w:sz w:val="20"/>
        </w:rPr>
        <w:t xml:space="preserve">. The senior indenture provides that, except during the continuance of an event of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 </w:t>
      </w:r>
    </w:p>
    <w:p>
      <w:pPr>
        <w:pStyle w:val="TextBody"/>
        <w:bidi w:val="0"/>
        <w:spacing w:before="240" w:after="0"/>
        <w:jc w:val="left"/>
        <w:rPr>
          <w:rFonts w:ascii="Times New Roman" w:hAnsi="Times New Roman"/>
          <w:sz w:val="20"/>
        </w:rPr>
      </w:pPr>
      <w:r>
        <w:rPr>
          <w:rFonts w:ascii="Times New Roman" w:hAnsi="Times New Roman"/>
          <w:sz w:val="20"/>
        </w:rPr>
        <w:t xml:space="preserve">The senior indenture and the provisions of the Trust Indenture Act incorporated by reference therein contain limitations on the rights of the trustee thereunder, should it become a creditor of ours,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it must eliminate such conflict or resign.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have normal banking relationships with the senior trustee in the ordinary course of business. </w:t>
      </w:r>
    </w:p>
    <w:p>
      <w:pPr>
        <w:pStyle w:val="TextBody"/>
        <w:bidi w:val="0"/>
        <w:spacing w:before="240" w:after="0"/>
        <w:jc w:val="left"/>
        <w:rPr>
          <w:rFonts w:ascii="Times New Roman" w:hAnsi="Times New Roman"/>
          <w:sz w:val="20"/>
        </w:rPr>
      </w:pPr>
      <w:r>
        <w:rPr>
          <w:rFonts w:ascii="Times New Roman" w:hAnsi="Times New Roman"/>
          <w:i/>
          <w:sz w:val="20"/>
        </w:rPr>
        <w:t>Unclaimed Funds</w:t>
      </w:r>
      <w:r>
        <w:rPr>
          <w:rFonts w:ascii="Times New Roman" w:hAnsi="Times New Roman"/>
          <w:sz w:val="20"/>
        </w:rPr>
        <w:t xml:space="preserve">. All funds deposited with the trustee or any paying agent for the payment of principal, premium, interest or additional amounts in respect of the senior debt securities that remain unclaimed for two years after the date upon which such principal, premium or interest became due and payable will be repaid to us. Thereafter, any right of any holder of senior debt securities to such funds shall be enforceable only against us, and the trustee and paying agents will have no liability therefor. </w:t>
      </w:r>
    </w:p>
    <w:p>
      <w:pPr>
        <w:pStyle w:val="TextBody"/>
        <w:bidi w:val="0"/>
        <w:spacing w:before="240" w:after="0"/>
        <w:jc w:val="left"/>
        <w:rPr>
          <w:rFonts w:ascii="Times New Roman" w:hAnsi="Times New Roman"/>
          <w:sz w:val="20"/>
        </w:rPr>
      </w:pPr>
      <w:r>
        <w:rPr>
          <w:rFonts w:ascii="Times New Roman" w:hAnsi="Times New Roman"/>
          <w:i/>
          <w:sz w:val="20"/>
        </w:rPr>
        <w:t>Governing</w:t>
      </w:r>
      <w:r>
        <w:rPr>
          <w:rFonts w:ascii="Times New Roman" w:hAnsi="Times New Roman"/>
          <w:sz w:val="20"/>
        </w:rPr>
        <w:t xml:space="preserve"> </w:t>
      </w:r>
      <w:r>
        <w:rPr>
          <w:rFonts w:ascii="Times New Roman" w:hAnsi="Times New Roman"/>
          <w:i/>
          <w:sz w:val="20"/>
        </w:rPr>
        <w:t>Law</w:t>
      </w:r>
      <w:r>
        <w:rPr>
          <w:rFonts w:ascii="Times New Roman" w:hAnsi="Times New Roman"/>
          <w:sz w:val="20"/>
        </w:rPr>
        <w:t xml:space="preserve">. The senior indenture and the senior debt securities will be governed by, and construed in accordance with, the internal laws of the State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Certain Terms of the Subordinated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Additional or different subordination terms may be specified in the prospectus supplement applicable to a particular series. </w:t>
      </w:r>
    </w:p>
    <w:p>
      <w:pPr>
        <w:pStyle w:val="TextBody"/>
        <w:bidi w:val="0"/>
        <w:spacing w:before="240" w:after="0"/>
        <w:jc w:val="left"/>
        <w:rPr>
          <w:rFonts w:ascii="Times New Roman" w:hAnsi="Times New Roman"/>
          <w:sz w:val="20"/>
        </w:rPr>
      </w:pPr>
      <w:r>
        <w:rPr>
          <w:rFonts w:ascii="Times New Roman" w:hAnsi="Times New Roman"/>
          <w:i/>
          <w:sz w:val="20"/>
        </w:rPr>
        <w:t>Subordination</w:t>
      </w:r>
      <w:r>
        <w:rPr>
          <w:rFonts w:ascii="Times New Roman" w:hAnsi="Times New Roman"/>
          <w:sz w:val="20"/>
        </w:rPr>
        <w:t xml:space="preserve">. The indebtedness evidenced by the subordinated debt securities is subordinate to the prior payment in full of all of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interest on the subordinated debt securities (except for certain sinking fund payments). In addition, upon any payment or distribution of our assets upon any dissolution, winding-up, liquidation or reorganization, the payment of the principal of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 </w:t>
      </w:r>
    </w:p>
    <w:p>
      <w:pPr>
        <w:pStyle w:val="TextBody"/>
        <w:bidi w:val="0"/>
        <w:spacing w:before="240" w:after="0"/>
        <w:jc w:val="left"/>
        <w:rPr>
          <w:rFonts w:ascii="Times New Roman" w:hAnsi="Times New Roman"/>
          <w:sz w:val="20"/>
        </w:rPr>
      </w:pPr>
      <w:r>
        <w:rPr>
          <w:rFonts w:ascii="Times New Roman" w:hAnsi="Times New Roman"/>
          <w:sz w:val="20"/>
        </w:rPr>
        <w:t xml:space="preserve">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indebtedness of that person for money borrowed;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indebtedness of that person evidenced by notes, debentures, bonds or other securities sold by that person for money;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lease obligations that are capitalized on the books of that person in accordance with generally accepted accounting principles;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 all renewals, extensions or refundings of indebtedness of the kinds described in the first, second or fourth bullet point above and all renewals or extensions of leases of the kinds described in the third or fourth bullet point above; unless, in the case of any particular indebtedness, renewal, extension or refunding, the instrument creating or evidencing it or the assumption or guarantee relating to it expressly provides that such indebtedness, renewal, extension or refunding is not superior in right of payment to the subordinated debt securities. Our senior debt securities constitute senior indebtedness for purposes of the subordinated debt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79008_8"/>
      <w:bookmarkEnd w:id="10"/>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to purchase common stock, preferred stock or debt securities. We may offer warrants separately or together with one or more additional warrants, common stock, preferred stock or debt securities,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specific designation and aggregate number of, and the offering price at which we will issue,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begin and the date on which that right will expire or, if you may not continuously exercise the warrants throughout that period, the specific date or dates on which you may exercise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are to be sold separately or with other securities as parts of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will be issued in definitive or global form or in any combination of these forms, although, in any case, the form of a warrant included in a unit will correspond to the form of the unit and of any security included in that unit;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material U.S. federal income tax consequences;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the warrant agent for the warrants and of any other depositaries, execution or paying agents, transfer agents, registrars or other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proposed listing, if any, of the warrants or any securities purchasable upon exercise of the warrants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any equity securities purchasable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aggregate principal amount, currency and terms of any debt securities that may be purchased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preferred stock with which the warrants are issued and the number of warrants issued with each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from and after which any warrants issued as part of a unit and the related debt securities, preferred stock, or common stock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preferred stock purchasable upon exercise of a warrant and the price at which those shares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anti-dilution provisions of, and other provisions for changes to or adjustment in the exercise price of,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or call provisions;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or exercise of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79008_9"/>
      <w:bookmarkEnd w:id="11"/>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As specified in the applicable prospectus supplement, we may issue units consisting of one or more shares of common stock, shares of preferred stock, debt securities, warrants or any combination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specify the following terms of any units in respect of which this prospectus is being delivered: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units and of any of the shares of common stock, shares of preferred stock, debt securities, or warrants comprising the units, including whether and under what circumstances the securities comprising the units may be traded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the terms of any unit agreement governing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appropriate, a discussion of material U.S. federal income tax considerations;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the provisions for the payment, settlement, transfer or exchange of the units.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79008_10"/>
      <w:bookmarkEnd w:id="12"/>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from time to time pursuant to underwritten public offerings, negotiated transactions, block trades or a combination of these methods. We may sell the securities to or through underwriters, brokers or dealers, through agents, directly to one or more purchasers, or a combination of these methods. We may distribute securities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sell equity securities covered by this registration statement in an “at the market offering” as defined in Rule 415 under the Securities Act of 1933, as amended (the “Securities Act”). Such offering may be made into an existing trading market for such securities in transactions at other than a fixed price,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through the facilities of The Nasdaq Capital Market or any other securities exchange or quotation or trading service on which such securities may be listed, quoted or traded at the time of sale; and/or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a market maker otherwise than on The Nasdaq Capital Market or such other securities exchanges or quotation or trading services.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at the market offerings, if any, may be conducted by underwriters acting as principal or agent.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or supplements (and any related free writing prospectus that we may authorize to be provided to you) will describe the terms of the offering of the securities, including,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underwriters, dealers or agents,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and the proceeds we will receive from the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options under which underwriters may purchase additional securities from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and other items constituting agents’ or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on which the securities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underwriters named in the prospectus supplement are underwriters of the securities offered by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provide agents and underwriters with indemnification against civil liabilities related to offerings pursuant to this prospectus,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we offer, other than our shares of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may engage in overallotment, stabilizing transactions, short 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underwriters who are qualified market makers on The Nasdaq Capital Market may engage in passive market making transactions in the securities on The Nasdaq Capital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79008_11"/>
      <w:bookmarkEnd w:id="1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in respect of which this prospectus is being delivered will be passed upon for us by O’Melveny &amp; Myers LLP, Newport Beach, California. Additional legal matters may be passed upon for us or any underwriters, dealers or agents, by counsel that we may name in the applicable prospectus supplement. </w:t>
      </w:r>
    </w:p>
    <w:p>
      <w:pPr>
        <w:pStyle w:val="TextBody"/>
        <w:bidi w:val="0"/>
        <w:spacing w:before="480" w:after="0"/>
        <w:jc w:val="center"/>
        <w:rPr>
          <w:rFonts w:ascii="Times New Roman" w:hAnsi="Times New Roman"/>
          <w:b/>
          <w:sz w:val="20"/>
        </w:rPr>
      </w:pPr>
      <w:bookmarkStart w:id="14" w:name="toc79008_12"/>
      <w:bookmarkEnd w:id="1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Eledon Pharmaceuticals, Inc.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Crowe LLP, an independent registered public accounting firm, has audited our consolidated financial statements as of December 31, 2024, and for the year then ended, incorporated in this Prospectus by reference to Amendment No. 1 to the Annual Report on Form 10-K/A for the year ended December 31, 2024, have been so incorporated in reliance on the report of Crowe LLP, independent registered accounting firm, given on their authority of said firm as experts in auditing and accounting. </w:t>
      </w:r>
    </w:p>
    <w:p>
      <w:pPr>
        <w:pStyle w:val="TextBody"/>
        <w:bidi w:val="0"/>
        <w:spacing w:before="480" w:after="0"/>
        <w:jc w:val="center"/>
        <w:rPr>
          <w:rFonts w:ascii="Times New Roman" w:hAnsi="Times New Roman"/>
          <w:b/>
          <w:sz w:val="20"/>
        </w:rPr>
      </w:pPr>
      <w:bookmarkStart w:id="15" w:name="toc79008_13"/>
      <w:bookmarkEnd w:id="1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and we have filed with the SEC a registration statement on Form S-3 under the Securities Act with respect to the securities offered by this prospectus. This prospectus, which forms part of the registration statement, does not contain all of the information included in the registration statement, including its exhibits and schedules. For further information about us and the securities described in this prospectus, you should refer to the registration statement, its exhibits and schedules and our reports, proxies, information statements and other information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Our filings are available to the public on the Internet, through a database maintained by the SEC at www.sec.gov. We also maintain a website at www.eledon.com. We have included our website address for the information of prospective investors and do not intend it to be an active link to our website. Information contained on our website does not constitute a part of this prospectus or any applicable prospectus supplement (or any document incorporated by reference herein or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79008_14"/>
      <w:bookmarkEnd w:id="16"/>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into this prospectus the information we file with the SEC, which means that we can disclose important information to you by referring you to those documents. The information incorporated by reference is an important part of this prospectus, and information that we file later with the SEC that is incorporated herein will automatically update and supersede this information. We incorporate by reference the documents listed below, except for any document or portion thereof deemed to be “furnished” and not filed in accordance with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March 19,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pPr>
            <w:r>
              <w:rPr>
                <w:rFonts w:ascii="Times New Roman" w:hAnsi="Times New Roman"/>
                <w:sz w:val="20"/>
              </w:rPr>
              <w:t xml:space="preserve">the portions of our definitive proxy statement on Schedule 14A that we filed with the SEC on </w:t>
            </w:r>
            <w:hyperlink r:id="rId4">
              <w:r>
                <w:rPr>
                  <w:rStyle w:val="InternetLink"/>
                  <w:rFonts w:ascii="Times New Roman" w:hAnsi="Times New Roman"/>
                  <w:sz w:val="20"/>
                </w:rPr>
                <w:t>April 30, 2026</w:t>
              </w:r>
            </w:hyperlink>
            <w:r>
              <w:rPr>
                <w:rFonts w:ascii="Times New Roman" w:hAnsi="Times New Roman"/>
                <w:sz w:val="20"/>
              </w:rPr>
              <w:t xml:space="preserve"> that are incorporated by reference into our Annual Report on Form 10-K for the fiscal year ended December 31, 2025, and deemed “filed” with the SEC under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2"/>
        <w:gridCol w:w="8879"/>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79" w:type="dxa"/>
            <w:tcBorders/>
          </w:tcPr>
          <w:p>
            <w:pPr>
              <w:pStyle w:val="TableContents"/>
              <w:bidi w:val="0"/>
              <w:spacing w:before="0" w:after="0"/>
              <w:jc w:val="left"/>
              <w:rPr/>
            </w:pPr>
            <w:r>
              <w:rPr>
                <w:rFonts w:ascii="Times New Roman" w:hAnsi="Times New Roman"/>
                <w:sz w:val="20"/>
              </w:rPr>
              <w:t xml:space="preserve">our Current Report on Form 8-K filed with the SEC on </w:t>
            </w:r>
            <w:hyperlink r:id="rId5">
              <w:r>
                <w:rPr>
                  <w:rStyle w:val="InternetLink"/>
                  <w:rFonts w:ascii="Times New Roman" w:hAnsi="Times New Roman"/>
                  <w:sz w:val="20"/>
                </w:rPr>
                <w:t>January  2,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pPr>
            <w:r>
              <w:rPr>
                <w:rFonts w:ascii="Times New Roman" w:hAnsi="Times New Roman"/>
                <w:sz w:val="20"/>
              </w:rPr>
              <w:t xml:space="preserve">the description of our common stock contained in </w:t>
            </w:r>
            <w:hyperlink r:id="rId6">
              <w:r>
                <w:rPr>
                  <w:rStyle w:val="InternetLink"/>
                  <w:rFonts w:ascii="Times New Roman" w:hAnsi="Times New Roman"/>
                  <w:sz w:val="20"/>
                </w:rPr>
                <w:t>Exhibit 4.8</w:t>
              </w:r>
            </w:hyperlink>
            <w:r>
              <w:rPr>
                <w:rFonts w:ascii="Times New Roman" w:hAnsi="Times New Roman"/>
                <w:sz w:val="20"/>
              </w:rPr>
              <w:t xml:space="preserve"> of our Annual Report on </w:t>
            </w:r>
            <w:hyperlink r:id="rId7">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March 19, 2026, as well as any subsequent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any future filings made with the SEC under Sections 13(a), 13(c), 14 or 15(d) of the Exchange Act subsequent to the date of the registration statement of which this prospectus forms a part and prior to its effectiveness and following its effectiveness until the end of any offerings under this prospectus, except for any document or portion thereof deemed to be “furnished” and not filed in accordance with SEC rules, shall be deemed to be incorporated by reference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incorporated by reference or provided in this prospectus or any prospectus supplement. We have not authorized anyone else to provide you with different information. You should not assume that the information in this prospectus or any prospectus supplement is accurate as of any date other than the date on the front page of those documents.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a prospectus is delivered, a copy of any or all of the information that is incorporated by reference in the prospectus, including exhibits to these documents. You may request a copy of these filings, at no cost, by contacting us, either orally or in writing, at the following: </w:t>
      </w:r>
    </w:p>
    <w:p>
      <w:pPr>
        <w:pStyle w:val="TextBody"/>
        <w:bidi w:val="0"/>
        <w:spacing w:before="240" w:after="0"/>
        <w:jc w:val="center"/>
        <w:rPr>
          <w:rFonts w:ascii="Times New Roman" w:hAnsi="Times New Roman"/>
          <w:sz w:val="20"/>
        </w:rPr>
      </w:pPr>
      <w:r>
        <w:rPr>
          <w:rFonts w:ascii="Times New Roman" w:hAnsi="Times New Roman"/>
          <w:sz w:val="20"/>
        </w:rPr>
        <w:t xml:space="preserve">Eledon Pharmaceuticals, Inc. </w:t>
      </w:r>
    </w:p>
    <w:p>
      <w:pPr>
        <w:pStyle w:val="TextBody"/>
        <w:bidi w:val="0"/>
        <w:spacing w:before="0" w:after="0"/>
        <w:jc w:val="center"/>
        <w:rPr>
          <w:rFonts w:ascii="Times New Roman" w:hAnsi="Times New Roman"/>
          <w:sz w:val="20"/>
        </w:rPr>
      </w:pPr>
      <w:r>
        <w:rPr>
          <w:rFonts w:ascii="Times New Roman" w:hAnsi="Times New Roman"/>
          <w:sz w:val="20"/>
        </w:rPr>
        <w:t xml:space="preserve">19800 MacArthur Boulevard, Suite 250 </w:t>
      </w:r>
    </w:p>
    <w:p>
      <w:pPr>
        <w:pStyle w:val="TextBody"/>
        <w:bidi w:val="0"/>
        <w:spacing w:before="0" w:after="0"/>
        <w:jc w:val="center"/>
        <w:rPr>
          <w:rFonts w:ascii="Times New Roman" w:hAnsi="Times New Roman"/>
          <w:sz w:val="20"/>
        </w:rPr>
      </w:pPr>
      <w:r>
        <w:rPr>
          <w:rFonts w:ascii="Times New Roman" w:hAnsi="Times New Roman"/>
          <w:sz w:val="20"/>
        </w:rPr>
        <w:t xml:space="preserve">Irvine, California </w:t>
      </w:r>
    </w:p>
    <w:p>
      <w:pPr>
        <w:pStyle w:val="TextBody"/>
        <w:bidi w:val="0"/>
        <w:spacing w:before="0" w:after="0"/>
        <w:jc w:val="center"/>
        <w:rPr>
          <w:rFonts w:ascii="Times New Roman" w:hAnsi="Times New Roman"/>
          <w:sz w:val="20"/>
        </w:rPr>
      </w:pPr>
      <w:r>
        <w:rPr>
          <w:rFonts w:ascii="Times New Roman" w:hAnsi="Times New Roman"/>
          <w:sz w:val="20"/>
        </w:rPr>
        <w:t xml:space="preserve">(949) 238-8090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776730"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8"/>
                    <a:stretch>
                      <a:fillRect/>
                    </a:stretch>
                  </pic:blipFill>
                  <pic:spPr bwMode="auto">
                    <a:xfrm>
                      <a:off x="0" y="0"/>
                      <a:ext cx="1776730" cy="44767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00" w:after="0"/>
        <w:jc w:val="center"/>
        <w:rPr/>
      </w:pPr>
      <w:r>
        <w:rPr/>
        <w:t>    </w:t>
      </w:r>
      <w:r>
        <w:rPr>
          <w:rFonts w:ascii="Times New Roman" w:hAnsi="Times New Roman"/>
          <w:b/>
          <w:sz w:val="20"/>
        </w:rPr>
        <w:t xml:space="preserve">,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FF4338"/>
          <w:sz w:val="20"/>
        </w:rPr>
      </w:pPr>
      <w:r>
        <w:rPr>
          <w:rFonts w:ascii="ARIAL" w:hAnsi="ARIAL"/>
          <w:b/>
          <w:color w:val="FF4338"/>
          <w:sz w:val="20"/>
        </w:rPr>
        <w:t xml:space="preserve">The information in this prospectus supplement is not complete and may be changed. We may not sell these securities until the registration statement filed with the Securities and Exchange Commission is effective. This prospectus supplement is not an offer to sell these securities and is not soliciting an offer to buy these securities in any state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May 1, 2026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ind w:left="960" w:right="960" w:hanging="0"/>
        <w:jc w:val="left"/>
        <w:rPr>
          <w:rFonts w:ascii="Times New Roman" w:hAnsi="Times New Roman"/>
          <w:b/>
          <w:sz w:val="20"/>
        </w:rPr>
      </w:pPr>
      <w:r>
        <w:rPr>
          <w:rFonts w:ascii="Times New Roman" w:hAnsi="Times New Roman"/>
          <w:b/>
          <w:sz w:val="20"/>
        </w:rPr>
        <w:t xml:space="preserve">(To prospectus dated    , 2026)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Up to $75,000,000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1777365" cy="44894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9"/>
                    <a:stretch>
                      <a:fillRect/>
                    </a:stretch>
                  </pic:blipFill>
                  <pic:spPr bwMode="auto">
                    <a:xfrm>
                      <a:off x="0" y="0"/>
                      <a:ext cx="1777365" cy="448945"/>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have entered into an Open Market Sale Agreement (the “Sales Agreement”), with Guggenheim Securities, LLC (“Guggenheim Securities”), dated September 20, 2024, relating to the sale of shares of our common stock, par value $0.001 per share, offered by this prospectus supplement and the accompanying prospectus. In accordance with the terms of the Sales Agreement, under this prospectus supplement and the accompanying prospectus, we may offer and sell shares of our common stock having an aggregate offering price of up to $75.0 million from time to time through Guggenheim Securities acting as our sales agent. Our common stock is listed on The Nasdaq Capital Market under the symbol “ELDN”. On April 30, 2026, the last reported sale price of our common stock was $3.64 per share.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Sales of our common stock, if any, under this prospectus supplement and the accompanying prospectus will be made by any method that is deemed to be an “at the market offering” as defined in Rule 415(a)(4) promulgated under the Securities Act of 1933, as amended (the “Securities Act”), including by means of ordinary brokers’ transactions on The Nasdaq Capital Market at market prices or otherwise at prices related to prevailing market prices or at negotiated prices, by privately negotiated transactions (including block sales) or by any other methods permitted by applicable law. Guggenheim Securities is not required to sell any specific amount of securities, but will act as our sales agent using commercially reasonable efforts consistent with its normal trading and sales practices. There is no arrangement for funds to be received in an escrow, trust or similar arrangement.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Guggenheim Securities will be entitled to compensation at a commission rate equal to 3.0% of the gross proceeds of any shares of common stock sold under the Sales Agreement. In connection with the sale of the common stock on our behalf, Guggenheim Securities will be deemed to be an “underwriter” within the meaning of the Securities Act and the compensation of Guggenheim Securities will be deemed to be underwriting commissions or discounts. We have also agreed to indemnify Guggenheim Securities against certain civil liabilities, including liabilities under the Securities Act or the Securities Exchange Act of 1934, as amended (the “Exchange Act”). See “</w:t>
      </w:r>
      <w:r>
        <w:rPr>
          <w:rFonts w:ascii="Times New Roman" w:hAnsi="Times New Roman"/>
          <w:i/>
          <w:sz w:val="20"/>
        </w:rPr>
        <w:t>Plan of Distribution</w:t>
      </w:r>
      <w:r>
        <w:rPr>
          <w:rFonts w:ascii="Times New Roman" w:hAnsi="Times New Roman"/>
          <w:sz w:val="20"/>
        </w:rPr>
        <w:t xml:space="preserve">” beginning on page S-11 of this prospectus supplement for additional information regarding compensation to be paid to Guggenheim Securities.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pPr>
      <w:r>
        <w:rPr>
          <w:rFonts w:ascii="Times New Roman" w:hAnsi="Times New Roman"/>
          <w:b/>
          <w:sz w:val="24"/>
        </w:rPr>
        <w:t>Investing in our common stock involves a high degree of risk. Please read the “</w:t>
      </w:r>
      <w:hyperlink w:anchor="suptoc79008_5">
        <w:r>
          <w:rPr>
            <w:rStyle w:val="InternetLink"/>
            <w:rFonts w:ascii="Times New Roman" w:hAnsi="Times New Roman"/>
            <w:b/>
            <w:i/>
            <w:sz w:val="24"/>
            <w:u w:val="single"/>
          </w:rPr>
          <w:t xml:space="preserve">Risk </w:t>
        </w:r>
      </w:hyperlink>
      <w:hyperlink w:anchor="suptoc79008_5">
        <w:r>
          <w:rPr>
            <w:rStyle w:val="InternetLink"/>
            <w:rFonts w:ascii="Times New Roman" w:hAnsi="Times New Roman"/>
            <w:sz w:val="24"/>
            <w:u w:val="single"/>
          </w:rPr>
          <w:t> </w:t>
        </w:r>
      </w:hyperlink>
      <w:hyperlink w:anchor="suptoc79008_5">
        <w:r>
          <w:rPr>
            <w:rStyle w:val="InternetLink"/>
            <w:rFonts w:ascii="Times New Roman" w:hAnsi="Times New Roman"/>
            <w:b/>
            <w:i/>
            <w:sz w:val="24"/>
            <w:u w:val="single"/>
          </w:rPr>
          <w:t>Factors</w:t>
        </w:r>
      </w:hyperlink>
      <w:r>
        <w:rPr>
          <w:rFonts w:ascii="Times New Roman" w:hAnsi="Times New Roman"/>
          <w:sz w:val="24"/>
        </w:rPr>
        <w:t xml:space="preserve">” </w:t>
      </w:r>
      <w:r>
        <w:rPr>
          <w:rFonts w:ascii="Times New Roman" w:hAnsi="Times New Roman"/>
          <w:b/>
          <w:sz w:val="24"/>
        </w:rPr>
        <w:t xml:space="preserve">beginning on page S-6 of this prospectus supplement and the risk factors included in the documents incorporated by reference into this prospectus supplement.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accuracy or adequacy of this prospectus supplement.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sz w:val="36"/>
        </w:rPr>
      </w:pPr>
      <w:r>
        <w:rPr>
          <w:rFonts w:ascii="Times New Roman" w:hAnsi="Times New Roman"/>
          <w:b/>
          <w:sz w:val="36"/>
        </w:rPr>
        <w:t xml:space="preserve">Guggenheim Securities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The date of this prospectus supplement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toc79008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9008_2">
              <w:r>
                <w:rPr>
                  <w:rStyle w:val="InternetLink"/>
                  <w:rFonts w:ascii="Times New Roman" w:hAnsi="Times New Roman"/>
                  <w:sz w:val="20"/>
                </w:rPr>
                <w:t>SPECIAL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9008_3">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9008_4">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9008_5">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9008_6">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9008_7">
              <w:r>
                <w:rPr>
                  <w:rStyle w:val="InternetLink"/>
                  <w:rFonts w:ascii="Times New Roman" w:hAnsi="Times New Roman"/>
                  <w:sz w:val="20"/>
                </w:rPr>
                <w:t>DILUTION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9008_8">
              <w:r>
                <w:rPr>
                  <w:rStyle w:val="InternetLink"/>
                  <w:rFonts w:ascii="Times New Roman" w:hAnsi="Times New Roman"/>
                  <w:sz w:val="20"/>
                </w:rPr>
                <w:t>PLAN OF DISTRIBUTION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9008_9">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9008_10">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9008_11">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9008_12">
              <w:r>
                <w:rPr>
                  <w:rStyle w:val="InternetLink"/>
                  <w:rFonts w:ascii="Times New Roman" w:hAnsi="Times New Roman"/>
                  <w:sz w:val="20"/>
                </w:rPr>
                <w:t>INCORPORATION OF CERTAIN INFORMATION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suptoc79008_1"/>
      <w:bookmarkEnd w:id="17"/>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This document is in two parts. The first part, the accompanying prospectus, including the documents incorporated by reference, provides more general information. The second part is the prospectus supplement, which describes the specific terms of this offering. Generally, when we refer to this prospectus supplement, we are referring to both parts of this document combined. Before you invest, you should carefully read this prospectus supplement, the accompanying prospectus, all information incorporated by reference herein and therein, as well as the additional information described under “</w:t>
      </w:r>
      <w:r>
        <w:rPr>
          <w:rFonts w:ascii="Times New Roman" w:hAnsi="Times New Roman"/>
          <w:i/>
          <w:sz w:val="20"/>
        </w:rPr>
        <w:t>Where You Can Find More Information</w:t>
      </w:r>
      <w:r>
        <w:rPr>
          <w:rFonts w:ascii="Times New Roman" w:hAnsi="Times New Roman"/>
          <w:sz w:val="20"/>
        </w:rPr>
        <w:t xml:space="preserve">” on page S-13 of the accompanying prospectus. These documents contain information that you should consider when making your investment decision. This prospectus supplement may add, update or change information contained in the accompanying prospectus. To the extent that any statement that we make in this prospectus supplement is inconsistent with statements made in the accompanying prospectus or any documents incorporated by reference therein, the statements made in this prospectus supplement will be deemed to modify or supersede those made in the accompanying prospectus and such documents incorporated by reference therein.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Guggenheim Securities has authorized anyone to provide you with information that is different from that contained in this prospectus supplement or in any free writing prospectus we may authorize to be delivered or made available to you. We take no responsibility for, and can provide no assurance as to the reliability of, any other information that others may give you. We are offering to sell, and seeking offers to buy, shares of our common stock only in jurisdictions where offers and sales are permitted. The distribution of this prospectus supplement and the offering of the common stock in certain jurisdictions may be restricted by law. Persons outside the United States who come into possession of this prospectus supplement must inform themselves about, and observe any restrictions relating to, the offering of the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supplement, the terms “Eledon,” “Company,” “we,” “us,” “our” and similar terms refer to Eledon Pharmaceuticals, Inc. (formerly Novus Therapeutics, Inc.), a Delaware corporation, and its subsidiaries, unless the context otherwise requires. We use “ELDN” and other marks as trademarks within the United States and other countries. This prospectus supplement, the accompanying prospectus and the documents incorporated by reference contain references to our trademarks as well as third-party trademarks. Solely for convenience, trademarks and trade names,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of third-party trade names or trademarks to imply a relationship with, or endorsement or sponsorship of us by, any other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suptoc79008_2"/>
      <w:bookmarkEnd w:id="18"/>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information incorporated by reference in this prospectus supplement contains “forward-looking statements” as defined by the Private Securities Litigation Reform Act of 1995, which statements involve substantial risks and uncertainties. Any statements other than statements of historical or current fact in this prospectus supplement are forward looking statements. In some instances, you can identify forward-looking statements by the use of words such as “believes,” “anticipates,” “plans,” “expects,” “estimates,” “intends,” “predicts,” “projects,” “targets,” “could,” “may,” “will,” and other similar expressions, although not all forward-looking statements include such identifying words. Forward-looking statements include, but are not limited to, statements about our future expectations, plans and prospects, including the development of product candidates, expected timing for initiation of future clinical trials, expected timing for receipt of data from clinical trials, expected or future results of tegoprubart trials, our capital resources and ability to finance planned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are inherently uncertain, and actual results may differ materially from those indicated by such forward-looking statements as a result of various factors, including: risks related to our short operating history; our history of incurring operating losses and our ability to achieve or maintain profitability; the sufficiency of our capital resources and ability to raise additional capital to finance our operations; including to develop our lead product candidate; our product development plans; expectations for and the timing of commencement, enrollment, completion, data, and release of results of clinical trials for our product candidates; our strategies with respect to our preclinical and clinical development programs, including our expectations regarding the production of clinical quantities of our product candidates; our plans, strategy and timing to obtain and maintain regulatory approvals of our product candidates; our expectations regarding competitive conditions for our product candidates; our reliance on third parties for the manufacture of our product candidates; our dependence on contract research organizations and other contracted third parties to perform non-clinical and clinical testing and certain other research and development activities; our expectations about our future financial performance or condition; risks relating to the safety and efficacy of our drug candidates; risks relating to clinical development timelines, including interactions with regulators and clinical sites, as well as patient enrollment; risks relating to costs of clinical trials; risks of significant dilution to our stockholders as a result of issuances of our common stock, including common stock that may be issuable pursuant to outstanding warrants or other convertible securities; global economic conditions, including adverse conditions in the financial markets; legislation regulating the pharmaceutical and healthcare industries; risks related to cybersecurity and data privacy; and other risks and uncertainties discussed in our most recent Annual Report on Form 10-K, as revised or supplemented by our subsequent Quarterly Reports on Form 10-Q, and other subsequent filings with the SEC, which can be found at www.sec.gov. Any forward-looking statements contained in this prospectus supplement speak only as of the date hereof and not as of any future date, and the Company expressly disclaims any intent to update any forward-looking statements, whether as a result of new information, future events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9" w:name="suptoc79008_3"/>
      <w:bookmarkEnd w:id="19"/>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summary highlights selected information about us, this offering and information appearing elsewhere in this prospectus supplement, in the accompanying prospectus and in the documents we incorporated by reference. This summary is not complete and does not contain all the information that you should consider before investing in our common stock pursuant to this prospectus supplement and the accompanying prospectus. Before making an investment decision, to fully understand this offering and its consequences to you, you should carefully read this entire prospectus supplement and the accompanying prospectus, including “Risk </w:t>
      </w:r>
      <w:r>
        <w:rPr>
          <w:rFonts w:ascii="Times New Roman" w:hAnsi="Times New Roman"/>
          <w:i/>
          <w:sz w:val="20"/>
          <w:bdr w:val="single" w:sz="8" w:space="1" w:color="000000"/>
        </w:rPr>
        <w:t>Factors”</w:t>
      </w:r>
      <w:r>
        <w:rPr>
          <w:rFonts w:ascii="Times New Roman" w:hAnsi="Times New Roman"/>
          <w:sz w:val="20"/>
          <w:bdr w:val="single" w:sz="8" w:space="1" w:color="000000"/>
        </w:rPr>
        <w:t xml:space="preserve"> beginning on page S-6 of this prospectus supplement, the consolidated financial statements and related notes and the other information that we incorporated by reference herein, including our most recent Annual Report on Form 10-K and each subsequent Quarterly Report on Form 10-Q.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 stage biotechnology company using our immunology expertise in targeting the CD40 Ligand (“CD40L”) pathway to develop therapies to protect transplanted organs and prevent rejection, and to treat amyotrophic lateral sclerosis (“ALS”). Our lead compound in development is tegoprubart, an IgG1, anti-CD40L antibody with high affinity for the CD40L, a well-validated biological target that we believe has broad therapeutic potential. We believe the central role of CD40L signaling in both adaptive and innate immune cell activation and function positions it as an attractive target for non-lymphocyte depleting, immunomodulatory therapeutic intervention.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Tegoprubart is engineered to potentially both improve safety and provide pharmacokinetic, pharmacodynamic, and dosing advantages compared to other anti-CD40 approaches. The CD40L/CD40 pathway is recognized for its prominent role in immune regulation. CD40L is primarily expressed on activated CD4+ T cells, platelets and endothelial cells while the CD40 receptor is constitutively expressed on antigen presenting cells such as macrophages and dendritic cells, as well as B cells. By blocking CD40L and not the CD40 receptor, tegoprubart inhibits both the CD40 and CD11 costimulatory signaling pathways, providing the potential for improved efficacy compared to anti-CD40 receptor approaches. Blocking CD40L also increases polarization of CD4+ lymphocytes to Tregs, a specialized subpopulation of T cells that act to suppress an immune response, thus creating a more tolerogenic environment, which may play a therapeutic role in autoimmune diseases and in the prevention of allograft rejection after solid organ transplantation.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Tegoprubart is designed to negate the risk of thrombolytic events seen in the first generation of anti-CD40L antibodies by introducing structural modifications that have been shown in preclinical models to eliminate binding to the Fñ? receptors associated with platelet activation without altering the binding of tegoprubart to CD40L. In non-human primate studies, dosing of tegoprubart up to 200 mg/kg per week for 26 weeks, demonstrated no adverse events regarding coagulation, platelet activation or thromboembolism.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business strategy is to optimize the clinical and commercial value of tegoprubart and become a global biopharmaceutical company with a focused immunology franchise. Our strategy is to develop tegoprubart for the prevention of rejection of allograft (i.e., transplanting an organ from one human to another) and xenograft (i.e., transplanting an organ from an animal to a human) organs and cells, and for the treatment of ALS. We selected our indications based on preclinical and clinical data that was generated with either tegoprubart or historical anti-CD40L molecules. We remain committed to advancing ALS clinical development; however, we are unable to continue developing tegoprubart for ALS without additional funding.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more information about our business, please see our most recent Annual Report on Form 10-K, as supplemented and updated by subsequent Quarterly Reports on Form 10-Q and Current Reports on Form 8-K that we have filed or will file with the SEC, and in other documents which are incorporated by reference into this prospectus supplement and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and History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Otic Pharma, Ltd. (“Otic”) was founded in the State of Israel in 2008. In 2015, Otic established United States operations and moved its corporate headquarters to Irvine, California. In 2017, Otic consummated a reverse merger with Tokai Pharmaceuticals, Inc. (“Tokai”), a Delaware corporation that was incorporated on March 26, 2004, pursuant to which, among other things, Tokai purchased from Otic and its stockholders all of the outstanding common and preferred shares of Otic in exchange for the issuance of a certain number of shares of common stock of Tokai (the “Reverse Merger”). Following the Reverse Merger, Tokai changed its name to Novus Therapeutics, Inc. On September 14, 2020, we acquired Anelixis Therapeutics, Inc. (“Anelixis”), a Delaware corporation, after which Anelixis became a wholly owned subsidiary of the Company. On January 4, 2021, we changed our name from Novus Therapeutics, Inc. to Eledon Pharmaceuticals, Inc. Our executive offices are located at 19800 MacArthur Boulevard, Suite 250, Irvine, California 92612. We also have a research and development office in Burlington, Massachusetts. Our telephone number is (949) 238-8090 and our website is www.eledon.com. We do not incorporate the information on or accessible through our website into this prospectus supplement or the accompanying prospectus, and you should not consider any information on, or that can be accessed through, our website as part of this prospectus supplement or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20" w:name="suptoc79008_4"/>
      <w:bookmarkEnd w:id="20"/>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offered by us </w:t>
            </w:r>
          </w:p>
        </w:tc>
        <w:tc>
          <w:tcPr>
            <w:tcW w:w="6329" w:type="dxa"/>
            <w:tcBorders/>
          </w:tcPr>
          <w:p>
            <w:pPr>
              <w:pStyle w:val="TableContents"/>
              <w:bidi w:val="0"/>
              <w:spacing w:before="0" w:after="283"/>
              <w:jc w:val="left"/>
              <w:rPr/>
            </w:pPr>
            <w:r>
              <w:rPr/>
              <w:t xml:space="preserve">Shares of common stock having an aggregate offering price of up to $75.0 million.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to be outstanding after this offering </w:t>
            </w:r>
          </w:p>
        </w:tc>
        <w:tc>
          <w:tcPr>
            <w:tcW w:w="6327" w:type="dxa"/>
            <w:tcBorders/>
          </w:tcPr>
          <w:p>
            <w:pPr>
              <w:pStyle w:val="TableContents"/>
              <w:bidi w:val="0"/>
              <w:spacing w:before="0" w:after="283"/>
              <w:jc w:val="left"/>
              <w:rPr/>
            </w:pPr>
            <w:r>
              <w:rPr/>
              <w:t xml:space="preserve">Up to 96,034,428 shares of common stock, assuming sales of shares in this offering at an offering price of $3.64 per share, which was the closing price of our common stock on The Nasdaq Capital Market on April 30, 2026. The actual number of shares issued will vary depending on the sales price under this offering and, in any event, may not exceed the number of authorized and available shares under our certificate of incorporation.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Plan of Distribution </w:t>
            </w:r>
          </w:p>
        </w:tc>
        <w:tc>
          <w:tcPr>
            <w:tcW w:w="6329" w:type="dxa"/>
            <w:tcBorders/>
          </w:tcPr>
          <w:p>
            <w:pPr>
              <w:pStyle w:val="TableContents"/>
              <w:bidi w:val="0"/>
              <w:spacing w:before="0" w:after="283"/>
              <w:jc w:val="left"/>
              <w:rPr/>
            </w:pPr>
            <w:r>
              <w:rPr/>
              <w:t>“</w:t>
            </w:r>
            <w:r>
              <w:rPr/>
              <w:t>At the market” offering that may be made from time to time on The Nasdaq Capital Market or other market for our common stock through our sales agent, Guggenheim Securities. See “</w:t>
            </w:r>
            <w:r>
              <w:rPr>
                <w:i/>
              </w:rPr>
              <w:t>Plan of Distribution</w:t>
            </w:r>
            <w:r>
              <w:rPr/>
              <w:t xml:space="preserve">” on page S-11.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6329" w:type="dxa"/>
            <w:tcBorders/>
          </w:tcPr>
          <w:p>
            <w:pPr>
              <w:pStyle w:val="TableContents"/>
              <w:bidi w:val="0"/>
              <w:spacing w:before="0" w:after="283"/>
              <w:jc w:val="left"/>
              <w:rPr/>
            </w:pPr>
            <w:r>
              <w:rPr/>
              <w:t>We currently plan to use the net proceeds from this offering to fund pre-commercial activities for our products, as well as for working capital and general corporate purposes. Please see “</w:t>
            </w:r>
            <w:r>
              <w:rPr>
                <w:i/>
              </w:rPr>
              <w:t>Use of Proceeds</w:t>
            </w:r>
            <w:r>
              <w:rPr/>
              <w:t xml:space="preserve">” on page S-8.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Risk Factors </w:t>
            </w:r>
          </w:p>
        </w:tc>
        <w:tc>
          <w:tcPr>
            <w:tcW w:w="6329" w:type="dxa"/>
            <w:tcBorders/>
          </w:tcPr>
          <w:p>
            <w:pPr>
              <w:pStyle w:val="TableContents"/>
              <w:bidi w:val="0"/>
              <w:spacing w:before="0" w:after="283"/>
              <w:jc w:val="left"/>
              <w:rPr/>
            </w:pPr>
            <w:r>
              <w:rPr/>
              <w:t>See “</w:t>
            </w:r>
            <w:r>
              <w:rPr>
                <w:i/>
              </w:rPr>
              <w:t>Risk Factors</w:t>
            </w:r>
            <w:r>
              <w:rPr/>
              <w:t xml:space="preserve">” beginning on page S-6 of this prospectus supplement for a discussion of factors that you should read and consider before investing in our securities.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Nasdaq Capital Market symbol </w:t>
            </w:r>
          </w:p>
        </w:tc>
        <w:tc>
          <w:tcPr>
            <w:tcW w:w="6327" w:type="dxa"/>
            <w:tcBorders/>
          </w:tcPr>
          <w:p>
            <w:pPr>
              <w:pStyle w:val="TableContents"/>
              <w:bidi w:val="0"/>
              <w:spacing w:before="0" w:after="283"/>
              <w:jc w:val="left"/>
              <w:rPr/>
            </w:pPr>
            <w:r>
              <w:rPr/>
              <w:t xml:space="preserve">ELDN </w:t>
            </w:r>
          </w:p>
        </w:tc>
      </w:tr>
    </w:tbl>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to be outstanding after this offering is based on 75,430,033 shares of our common stock outstanding as of December 31, 2025 and excludes as of that date: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6,361,561 shares of common stock issuable upon conversion of 114,508 shares of Series X Convertible Preferred Stock, par value $0.001 per share (the “Series X Preferred Stock”) and the Series X1 Convertible Preferred Stock, par value $0.001 per share (the “Series X1 Preferred Stock,” and together with the Series X Preferred Stock, the “Convertible Preferred Stock”) issued and outstanding as of December 31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15,227,499 shares of common stock issuable upon exercise of outstanding stock options as of December 31, 2025, at a weighted average exercise price of $3.17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336,225 shares of common stock underlying restricted stock unit awards outstanding as of December 31,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15,151,518 shares of common stock issuable upon exercise of Common Warrants (as defined below) outstanding as of December 31, 2025, at an exercise price of $3.00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36,629,572 shares of common stock issuable upon exercise of pre-funded warrants outstanding as of December 31, 2025, at an exercise price of $0.001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3,961,166 shares of common stock reserved for issuance under our 2020 Stock Incentive Plan (the “2020 Plan”);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24,077 shares of common stock reserved for future issuance under our 2014 Employee Stock Purchase Plan (the “ESPP”).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suptoc79008_5"/>
      <w:bookmarkEnd w:id="21"/>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Investors should carefully consider the risks described on page 4 of the accompanying prospectus, as well as those risks described below and those included in the filings incorporated by reference before deciding whether to invest in our securities. The occurrence of any of these risks could harm our business, financial condition, results of operations and/or growth prospects or cause our actual results to differ materially from those contained in forward-looking statements we have made in this prospectus supplement, including the documents incorporated by reference, and those we may make from time to time. You should consider all of the risk factors described in our public filings when evaluating our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will have broad discretion over the use of the net proceeds from this offering and may apply such proceeds to uses that do not improve our operating results or the value of your securities. </w:t>
      </w:r>
    </w:p>
    <w:p>
      <w:pPr>
        <w:pStyle w:val="TextBody"/>
        <w:bidi w:val="0"/>
        <w:spacing w:before="120" w:after="0"/>
        <w:jc w:val="left"/>
        <w:rPr>
          <w:rFonts w:ascii="Times New Roman" w:hAnsi="Times New Roman"/>
          <w:sz w:val="20"/>
        </w:rPr>
      </w:pPr>
      <w:r>
        <w:rPr>
          <w:rFonts w:ascii="Times New Roman" w:hAnsi="Times New Roman"/>
          <w:sz w:val="20"/>
        </w:rPr>
        <w:t xml:space="preserve">We will have broad discretion to use the net proceeds to us from this offering, and investors will be relying solely on the judgment of our board of directors and management regarding the application of these proceeds. Although we expect to use the net proceeds from this offering to fund pre-commercial activities for our products and for general corporate purposes and working capital, we have not allocated these net proceeds for specific purposes. See “Use of Proceeds” for additional information. Investors will not have the opportunity, as part of their investment decision, to assess whether the proceeds are being used appropriately. Our use of the proceeds may not improve our operating results or increase the value of the securities being offered hereby. </w:t>
      </w:r>
    </w:p>
    <w:p>
      <w:pPr>
        <w:pStyle w:val="TextBody"/>
        <w:bidi w:val="0"/>
        <w:spacing w:before="240" w:after="0"/>
        <w:jc w:val="left"/>
        <w:rPr>
          <w:rFonts w:ascii="Times New Roman" w:hAnsi="Times New Roman"/>
          <w:b/>
          <w:i/>
          <w:sz w:val="20"/>
        </w:rPr>
      </w:pPr>
      <w:r>
        <w:rPr>
          <w:rFonts w:ascii="Times New Roman" w:hAnsi="Times New Roman"/>
          <w:b/>
          <w:i/>
          <w:sz w:val="20"/>
        </w:rPr>
        <w:t xml:space="preserve">It is not possible to predict the aggregate proceeds resulting from sales made under the Sales Agreement.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limitations in the Sales Agreement and compliance with applicable law, we have the discretion to deliver an issuance notice to Guggenheim Securities at any time throughout the term of the Sales Agreement. The number of shares that are sold through Guggenheim Securities after delivering an issuance notice will fluctuate based on a number of factors, including the market price of our common stock during the sales period, any limits we may set with Guggenheim Securities in any applicable issuance notice and the demand for our common stock. Because the price per share of each share sold pursuant to the Sales Agreement will fluctuate over time, it is not currently possible to predict the aggregate proceeds to be raised in connection with sales under the Sales Agreement.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you purchase shares of our common stock sold in this offering, you may experience immediate and substantial dilution in the net tangible book value of your shares. In addition, we may issue additional equity or convertible debt securities in the future, which may result in additional dilution to investors. </w:t>
      </w:r>
    </w:p>
    <w:p>
      <w:pPr>
        <w:pStyle w:val="TextBody"/>
        <w:bidi w:val="0"/>
        <w:spacing w:before="120" w:after="0"/>
        <w:jc w:val="left"/>
        <w:rPr>
          <w:rFonts w:ascii="Times New Roman" w:hAnsi="Times New Roman"/>
          <w:sz w:val="20"/>
        </w:rPr>
      </w:pPr>
      <w:r>
        <w:rPr>
          <w:rFonts w:ascii="Times New Roman" w:hAnsi="Times New Roman"/>
          <w:sz w:val="20"/>
        </w:rPr>
        <w:t xml:space="preserve">The price per share of our common stock being offered may be higher than the net tangible book value per share of our outstanding common stock prior to this offering. Assuming that an aggregate of 20,604,395 shares of our common stock are sold at a price of $3.64 per share, the last reported sale price of our common stock on The Nasdaq Capital Market on April 30, 2026, for aggregate gross proceeds of approximately $75.0 million and after deducting commissions and estimated offering expenses payable by us, new investors in this offering would incur immediate dilution of $2.38 per share. For a more detailed discussion of the foregoing, see the section entitled “Dilution” below. To the extent outstanding warrants and stock options are exercised, there will be further dilution to new investors. In addition, to the extent we need to raise additional capital in the future and we issue additional shares of common stock or securities convertible or exchangeable for our common stock, our then existing stockholders may experience dilution and the new securities may have rights senior to those of our common stock offered in this offering. </w:t>
      </w:r>
    </w:p>
    <w:p>
      <w:pPr>
        <w:pStyle w:val="TextBody"/>
        <w:bidi w:val="0"/>
        <w:spacing w:before="0" w:after="0"/>
        <w:jc w:val="left"/>
        <w:rPr/>
      </w:pPr>
      <w:r>
        <w:rPr/>
        <w:t>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stock price is and may continue to be volatile and you may not be able to resell our securities at or above the price you paid.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our common stock could be subject to significant fluctuations. Market prices for securities of early-stage pharmaceutical, biopharmaceutical, and other life sciences companies have historically been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particularly volatile. Some of the factors that may cause the market price of our common stock to fluctuate include: uncertainties regarding our financial condition and our ability to raise sufficient capital to fund our ongoing operations; our ability to obtain regulatory approvals for our product candidates or other product candidates, and delays or failures to obtain such approvals; failure of any of our product candidates, if approved, to achieve commercial success; issues in manufacturing our approved products, if any, or product candidates; the results of our current and any future clinical trials of our product candidates; uncertainties about the ability of tegoprubart to prevent rejection in connection with kidney or islet cell transplantations; the entry into, or termination of, key agreements, including key commercial partner agreements; the initiation of, material developments in, or conclusion of litigation to enforce or defend any of our intellectual property rights or defend against the intellectual property rights of others; announcements by commercial partners or competitors of new commercial products, clinical progress, or the lack thereof, significant contracts, commercial relationships, or capital commitments; the introduction of technological innovations or new therapies that compete with our potential products; the loss of key employees; changes in estimates or recommendations by securities analysts, if any, who cover our common stock; general and industry-specific economic conditions that may affect our research and development expenditures; changes in the structure of healthcare payment systems; period-to-period fluctuations in our financial results; and future issuances of shares of common stock. Moreover, the stock markets in general have experienced substantial volatility that has often been unrelated to the operating performance of individual companies. These broad market fluctuations may also adversely affect the trading price of our common stock. Each of these factors, among others, could harm your investment in our common stock and could result in your being unable to resell the common stock that you purchase at a price equal to or above the price you paid</w:t>
      </w:r>
      <w:r>
        <w:rPr>
          <w:rFonts w:ascii="Times New Roman" w:hAnsi="Times New Roman"/>
          <w:b/>
          <w:i/>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suptoc79008_6"/>
      <w:bookmarkEnd w:id="22"/>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retain broad discretion over the use of the net proceeds from the sale of the securities offered hereby. Unless otherwise specified in a prospectus supplement, the net proceeds from the sale by us of the securities to which this prospectus supplement relates will be used to fund pre-commercial activities for our products, as well as for working capital and general corporate purposes. Our expected use of proceeds from the sale of the securities offered hereby represents our current intentions based on our present plans and business condition. As of the date of this prospectus supplement, we cannot predict with certainty all of the particular uses for the proceeds to be received from the sale of the securities offered hereby or the amounts that we will actually spend on the uses set forth above.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suptoc79008_7"/>
      <w:bookmarkEnd w:id="23"/>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Purchasers of common stock offered by this prospectus supplement and the accompanying prospectus will suffer immediate and substantial dilution to the extent of the difference between the assumed public offering price per share and the as adjusted net tangible book value per share of our common stock immediately after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Our historical net tangible book value as of December 31, 2025 was approximately $48.7 million, or approximately $0.65 per share of common stock. Net tangible book value per share represents the amount of total tangible assets, excluding goodwill and intangible assets, less total liabilities and Series X1 Preferred Stock and Series X Preferred Stock, divided by the number of shares of our common stock outstanding as of December 31, 2025. Net tangible book value per share as of December 31, 2025 includes approximately $11.4 million of liabilities associated with certain common stock warrants (the “Common Warrants”) issued by us in May 2023 pursuant to a Securities Purchase Agreement dated as of April 28, 2023 by and among us and certain institutional and accredited investors. We record the Common Warrants as liabilities on our consolidated balance sheet at their fair value and remeasure the fair value for each on a quarterly basis.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sale of shares of our common stock in this offering, based on the assumed offering price of $3.64 per share of common stock, which was the closing price of our common stock on The Nasdaq Capital Market on April 30, 2026, and after deducting the underwriting discounts and commissions and other estimated offering expenses payable by us, on an adjusted basis, our net tangible book value as of December 31, 2025 would have been $120.9 million or $1.26 per share of common stock. This represents an immediate increase in as adjusted net tangible book value to existing stockholders of $0.61 per share of common stock and immediate dilution in as adjusted net tangible book value to investors purchasing shares of our common stock in this offering of $2.38 per share of common stock. Dilution per share to investors purchasing shares of our common stock in this offering is determined by subtracting the as adjusted net tangible book value per share after the offering from the assumed offering price of $3.64 per share of common stock, which was the closing price of our common stock on The Nasdaq Capital Market on April 30, 2026.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this dilution per share of common stock: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698"/>
        <w:gridCol w:w="384"/>
        <w:gridCol w:w="143"/>
        <w:gridCol w:w="440"/>
        <w:gridCol w:w="60"/>
        <w:gridCol w:w="384"/>
        <w:gridCol w:w="143"/>
        <w:gridCol w:w="440"/>
        <w:gridCol w:w="63"/>
      </w:tblGrid>
      <w:tr>
        <w:trPr/>
        <w:tc>
          <w:tcPr>
            <w:tcW w:w="5698"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Assumed offering price per share of common stock</w:t>
            </w:r>
          </w:p>
        </w:tc>
        <w:tc>
          <w:tcPr>
            <w:tcW w:w="3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440" w:type="dxa"/>
            <w:tcBorders/>
            <w:shd w:fill="CCEEFF" w:val="clear"/>
            <w:vAlign w:val="bottom"/>
          </w:tcPr>
          <w:p>
            <w:pPr>
              <w:pStyle w:val="TableContents"/>
              <w:bidi w:val="0"/>
              <w:spacing w:before="0" w:after="283"/>
              <w:jc w:val="right"/>
              <w:rPr/>
            </w:pPr>
            <w:r>
              <w:rPr/>
              <w:t>3.64</w:t>
            </w:r>
          </w:p>
        </w:tc>
        <w:tc>
          <w:tcPr>
            <w:tcW w:w="63" w:type="dxa"/>
            <w:tcBorders/>
            <w:shd w:fill="CCEEFF" w:val="clear"/>
            <w:vAlign w:val="bottom"/>
          </w:tcPr>
          <w:p>
            <w:pPr>
              <w:pStyle w:val="TableContents"/>
              <w:bidi w:val="0"/>
              <w:spacing w:before="0" w:after="283"/>
              <w:jc w:val="left"/>
              <w:rPr/>
            </w:pPr>
            <w:r>
              <w:rPr/>
              <w:t> </w:t>
            </w:r>
          </w:p>
        </w:tc>
      </w:tr>
      <w:tr>
        <w:trPr/>
        <w:tc>
          <w:tcPr>
            <w:tcW w:w="5698" w:type="dxa"/>
            <w:tcBorders/>
          </w:tcPr>
          <w:p>
            <w:pPr>
              <w:pStyle w:val="TableContents"/>
              <w:bidi w:val="0"/>
              <w:spacing w:before="0" w:after="0"/>
              <w:jc w:val="left"/>
              <w:rPr>
                <w:rFonts w:ascii="Times New Roman" w:hAnsi="Times New Roman"/>
                <w:sz w:val="20"/>
              </w:rPr>
            </w:pPr>
            <w:r>
              <w:rPr>
                <w:rFonts w:ascii="Times New Roman" w:hAnsi="Times New Roman"/>
                <w:sz w:val="20"/>
              </w:rPr>
              <w:t>Historical net tangible book value per share as of December 31, 2025</w:t>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440" w:type="dxa"/>
            <w:tcBorders/>
            <w:vAlign w:val="bottom"/>
          </w:tcPr>
          <w:p>
            <w:pPr>
              <w:pStyle w:val="TableContents"/>
              <w:bidi w:val="0"/>
              <w:spacing w:before="0" w:after="283"/>
              <w:jc w:val="right"/>
              <w:rPr/>
            </w:pPr>
            <w:r>
              <w:rPr/>
              <w:t>0.65</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of common stock attributable to purchasers of shares of common stock in this offering</w:t>
            </w:r>
          </w:p>
        </w:tc>
        <w:tc>
          <w:tcPr>
            <w:tcW w:w="3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440" w:type="dxa"/>
            <w:tcBorders/>
            <w:shd w:fill="CCEEFF" w:val="clear"/>
            <w:vAlign w:val="bottom"/>
          </w:tcPr>
          <w:p>
            <w:pPr>
              <w:pStyle w:val="TableContents"/>
              <w:bidi w:val="0"/>
              <w:spacing w:before="0" w:after="283"/>
              <w:jc w:val="right"/>
              <w:rPr/>
            </w:pPr>
            <w:r>
              <w:rPr/>
              <w:t>0.61</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698"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4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698"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after this offering</w:t>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440" w:type="dxa"/>
            <w:tcBorders/>
            <w:vAlign w:val="bottom"/>
          </w:tcPr>
          <w:p>
            <w:pPr>
              <w:pStyle w:val="TableContents"/>
              <w:bidi w:val="0"/>
              <w:spacing w:before="0" w:after="283"/>
              <w:jc w:val="right"/>
              <w:rPr/>
            </w:pPr>
            <w:r>
              <w:rPr/>
              <w:t>1.26</w:t>
            </w:r>
          </w:p>
        </w:tc>
        <w:tc>
          <w:tcPr>
            <w:tcW w:w="63" w:type="dxa"/>
            <w:tcBorders/>
            <w:vAlign w:val="bottom"/>
          </w:tcPr>
          <w:p>
            <w:pPr>
              <w:pStyle w:val="TableContents"/>
              <w:bidi w:val="0"/>
              <w:spacing w:before="0" w:after="283"/>
              <w:jc w:val="left"/>
              <w:rPr/>
            </w:pPr>
            <w:r>
              <w:rPr/>
              <w:t> </w:t>
            </w:r>
          </w:p>
        </w:tc>
      </w:tr>
      <w:tr>
        <w:trPr/>
        <w:tc>
          <w:tcPr>
            <w:tcW w:w="5698"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44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investors purchasing in this offering</w:t>
            </w:r>
          </w:p>
        </w:tc>
        <w:tc>
          <w:tcPr>
            <w:tcW w:w="3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440" w:type="dxa"/>
            <w:tcBorders/>
            <w:shd w:fill="CCEEFF" w:val="clear"/>
            <w:vAlign w:val="bottom"/>
          </w:tcPr>
          <w:p>
            <w:pPr>
              <w:pStyle w:val="TableContents"/>
              <w:bidi w:val="0"/>
              <w:spacing w:before="0" w:after="283"/>
              <w:jc w:val="right"/>
              <w:rPr/>
            </w:pPr>
            <w:r>
              <w:rPr/>
              <w:t>2.38</w:t>
            </w:r>
          </w:p>
        </w:tc>
        <w:tc>
          <w:tcPr>
            <w:tcW w:w="63" w:type="dxa"/>
            <w:tcBorders/>
            <w:shd w:fill="CCEEFF" w:val="clear"/>
            <w:vAlign w:val="bottom"/>
          </w:tcPr>
          <w:p>
            <w:pPr>
              <w:pStyle w:val="TableContents"/>
              <w:bidi w:val="0"/>
              <w:spacing w:before="0" w:after="283"/>
              <w:jc w:val="left"/>
              <w:rPr/>
            </w:pPr>
            <w:r>
              <w:rPr/>
              <w:t> </w:t>
            </w:r>
          </w:p>
        </w:tc>
      </w:tr>
      <w:tr>
        <w:trPr/>
        <w:tc>
          <w:tcPr>
            <w:tcW w:w="5698"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44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table above assumes for illustrative purposes that an aggregate of 20,604,395 shares of our common stock are sold pursuant to this prospectus supplement at a price of $3.64 per share, the last reported sale price of our common stock on The Nasdaq Capital Market on April 30, 2026, for aggregate gross proceeds of $75.0 million. The shares are being sold from time to time at various prices pursuant to the sales agreement with Guggenheim Securities. A $1.00 increase in the assumed offering price of $3.64 per share would increase dilution per share to purchasers by approximately $0.94, after deducting commissions and estimated offering expenses payable by us. A $1.00 decrease in the assumed offering price of $3.64 per share would decrease dilution per share to purchasers by approximately $0.90, after deducting commissions and estimated offering expenses payable by us. The information is for illustrative purposes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above discussion and table are based on 75,430,033 shares of our common stock outstanding as of December 31, 2025 and excludes as of that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6,361,561 shares of common stock issuable upon conversion of all outstanding shares of Convertible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15,227,499 shares of common stock issuable upon exercise of outstanding stock options as of December 31, 2025, at a weighted average exercise price of $3.17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336,225 shares of common stock underlying restricted stock unit awards outstanding as of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15,151,518 shares of common stock issuable upon exercise of Common Warrants outstanding as of December 31, 2025, at an exercise price of $3.00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36,629,572 shares of common stock issuable upon exercise of pre-funded warrants outstanding as of December 31, 2025, at an exercise price of $0.001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3,961,166 shares of common stock reserved for issuance under the 2020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24,077 shares of common stock reserved for future issuance under the ESPP.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the extent that any options are exercised, warrants are exercised, restricted stock units vest, new options or restricted stock units are issued under the 2020 Plan, additional shares of common stock are sold under the ESPP or we otherwise issue additional shares of common stock or convertible stock in the future, there will be further dilution to investors participating in this offering.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suptoc79008_8"/>
      <w:bookmarkEnd w:id="24"/>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a Sales Agreement with Guggenheim Securities under which we may issue and sell shares of common stock having an aggregate offering price of up to $75.0 million from time to time through or to Guggenheim Securities as our sales agent or principal. Sales of shares of common stock, if any, under this prospectus will be by any method that is deemed to be an “at the market offering,” as defined in Rule 415 under the Securities Act, including by means of ordinary brokers’ transactions on The Nasdaq Capital Market at market prices or otherwise at prices related to prevailing market prices or at negotiated prices, by privately negotiated transactions (including block sales) or by any other methods permitted by applicable law. If authorized by us in writing, Guggenheim Securities may purchase shares of our common stock as principal.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will offer shares of our common stock subject to the terms and conditions of the Sales Agreement on a daily basis or as otherwise agreed upon by us and Guggenheim Securities. We will designate the maximum amount of common stock to be sold through Guggenheim Securities on a daily basis or otherwise determine such maximum amount together with Guggenheim Securities. Subject to the terms and conditions of the Sales Agreement, Guggenheim Securities will use its commercially reasonable efforts consistent with its normal trading and sales practices to sell on our behalf all of the shares of common stock requested to be sold by us. We may instruct Guggenheim Securities not to sell shares of common stock if the sales cannot be effected at or above the price designated by us in any such instruction. Guggenheim Securities or we may suspend the offering of shares of our common stock being made through Guggenheim Securities under the Sales Agreement upon proper notice to the other party. Guggenheim Securities and we each have the right, by giving written notice as specified in the Sales Agreement, to terminate the Sales Agreement in each party’s sole discretion at any time. The offering of shares of our common stock pursuant to the Sales Agreement will otherwise terminate upon the termination of the Sales Agreement as provided therein.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compensation payable to Guggenheim Securities as sales agent will be an amount equal to 3.0% of the gross proceeds of any shares sold through it pursuant to the Sales Agreement. We also agreed to reimburse Guggenheim Securities up to $75,000 of Guggenheim Securities’ actual outside legal expenses incurred in connection with entering into the Sales Agreement and certain ongoing expenses. We estimate that the total expenses of the offering payable by us, excluding commissions payable to Guggenheim Securities under the Sales Agreement, will be approximately $525,000. </w:t>
      </w:r>
    </w:p>
    <w:p>
      <w:pPr>
        <w:pStyle w:val="TextBody"/>
        <w:bidi w:val="0"/>
        <w:spacing w:before="240" w:after="0"/>
        <w:jc w:val="left"/>
        <w:rPr>
          <w:rFonts w:ascii="Times New Roman" w:hAnsi="Times New Roman"/>
          <w:sz w:val="20"/>
        </w:rPr>
      </w:pPr>
      <w:r>
        <w:rPr>
          <w:rFonts w:ascii="Times New Roman" w:hAnsi="Times New Roman"/>
          <w:sz w:val="20"/>
        </w:rPr>
        <w:t xml:space="preserve">The remaining sales proceeds, after deducting any expenses payable by us and any transaction fees imposed by any governmental, regulatory, or self-regulatory organization in connection with the sales, will equal our net proceeds for the sale of such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will provide written confirmation to us following the close of trading on The Nasdaq Capital Market on each day in which shares of common stock are sold through it as sales agent under the Sales Agreement. Each confirmation will include the number of shares of common stock sold through it as sales agent on that day, the volume weighted average price of the shares of common stock sold, the percentage of the daily trading volume and the net proceeds to us. </w:t>
      </w:r>
    </w:p>
    <w:p>
      <w:pPr>
        <w:pStyle w:val="TextBody"/>
        <w:bidi w:val="0"/>
        <w:spacing w:before="240" w:after="0"/>
        <w:jc w:val="left"/>
        <w:rPr>
          <w:rFonts w:ascii="Times New Roman" w:hAnsi="Times New Roman"/>
          <w:sz w:val="20"/>
        </w:rPr>
      </w:pPr>
      <w:r>
        <w:rPr>
          <w:rFonts w:ascii="Times New Roman" w:hAnsi="Times New Roman"/>
          <w:sz w:val="20"/>
        </w:rPr>
        <w:t xml:space="preserve">Settlement for sales of shares of common stock will occur, unless the parties agree otherwise, on the first business day that is also a trading day following the date on which any sales were made in return for payment of the net proceeds to us. There is no arrangement for funds to be received in an escrow, trust or similar arrangement. We will report at least quarterly the number of shares of common stock sold through Guggenheim Securities under the Sales Agreement, the net proceeds to us and the compensation paid by us to Guggenheim Securities in connection with the sales of shares of common stock during the relevant period.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sales of shares of common stock on our behalf, Guggenheim Securities will be deemed to be an “underwriter” within the meaning of the Securities Act, and the compensation paid to Guggenheim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Securities will be deemed to be underwriting commissions or discounts. We have agreed in the Sales Agreement to provide indemnification and contribution to Guggenheim Securities against certain liabilities, including liabilities under the Securities Act. As sales agent, Guggenheim Securities will not engage in any transactions that stabilize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and traded on The Nasdaq Capital Market under the symbol “ELDN.” Continental Stock Transfer &amp; Trust Company serves as the transfer agent and registrar for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and/or its affiliates have provided, and may in the future provide, various investment banking and other financial services for us for which services they have received, and may in the future receive, customary fees.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suptoc79008_9"/>
      <w:bookmarkEnd w:id="25"/>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hereby will be passed upon for us by O’Melveny &amp; Myers LLP, Newport Beach, California. Guggenheim Securities is being represented in connection with this offering by Mintz, Levin, Cohn, Ferris, Glovsky and Popeo, P.C., Boston, Massachusetts. </w:t>
      </w:r>
    </w:p>
    <w:p>
      <w:pPr>
        <w:pStyle w:val="TextBody"/>
        <w:bidi w:val="0"/>
        <w:spacing w:before="480" w:after="0"/>
        <w:jc w:val="center"/>
        <w:rPr>
          <w:rFonts w:ascii="Times New Roman" w:hAnsi="Times New Roman"/>
          <w:b/>
          <w:sz w:val="20"/>
        </w:rPr>
      </w:pPr>
      <w:bookmarkStart w:id="26" w:name="suptoc79008_10"/>
      <w:bookmarkEnd w:id="26"/>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Eledon Pharmaceuticals, Inc.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Crowe LLP, an independent registered public accounting firm, has audited our consolidated financial statements as of December 31, 2024, and for the year then ended, incorporated in this prospectus by reference to Amendment No. 1 to the Annual Report on Form 10-K/A for the year ended December 31, 2024, have been so incorporated in reliance on the report of Crowe LLP, independent registered accounting firm, given on their authority of said firm as experts in auditing and accounting. </w:t>
      </w:r>
    </w:p>
    <w:p>
      <w:pPr>
        <w:pStyle w:val="TextBody"/>
        <w:bidi w:val="0"/>
        <w:spacing w:before="480" w:after="0"/>
        <w:jc w:val="center"/>
        <w:rPr>
          <w:rFonts w:ascii="Times New Roman" w:hAnsi="Times New Roman"/>
          <w:b/>
          <w:sz w:val="20"/>
        </w:rPr>
      </w:pPr>
      <w:bookmarkStart w:id="27" w:name="suptoc79008_11"/>
      <w:bookmarkEnd w:id="27"/>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special reports, proxy statements and other information with the SEC, and we have filed with the SEC a registration statement on Form S-3 under the Securities Act with respect to the securities offered by this prospectus. This prospectus, which forms part of the registration statement, does not contain all of the information included in the registration statement, including its exhibits and schedules. For further information about us and the securities described in this prospectus, you should refer to the registration statement, its exhibits and schedules and our reports, proxies, information statements and other information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Our filings are available to the public on the Internet, through a database maintained by the SEC at www.sec.gov. We also maintain a website at www.eledon.com. We have included our website address for the information of prospective investors and do not intend it to be an active link to our website. Information contained on our website does not constitute a part of this prospectus or any applicable prospectus supplement (or any document incorporated by reference herein or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suptoc79008_12"/>
      <w:bookmarkEnd w:id="28"/>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into this prospectus the information we file with it,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except for any document or portion thereof deemed to be “furnished” and not filed in accordance with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Annual Report on </w:t>
            </w:r>
            <w:hyperlink r:id="rId10">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March 19,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portions of our definitive proxy statement on Schedule 14A that we filed with the SEC on </w:t>
            </w:r>
            <w:hyperlink r:id="rId11">
              <w:r>
                <w:rPr>
                  <w:rStyle w:val="InternetLink"/>
                  <w:rFonts w:ascii="Times New Roman" w:hAnsi="Times New Roman"/>
                  <w:sz w:val="20"/>
                </w:rPr>
                <w:t>April 30, 2026</w:t>
              </w:r>
            </w:hyperlink>
            <w:r>
              <w:rPr>
                <w:rFonts w:ascii="Times New Roman" w:hAnsi="Times New Roman"/>
                <w:sz w:val="20"/>
              </w:rPr>
              <w:t xml:space="preserve"> that are incorporated by reference into our Annual Report on Form 10-K for the fiscal year ended December 31, 2025, and deemed “filed” with the SEC under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 on Form 8-K filed with the SEC on </w:t>
            </w:r>
            <w:hyperlink r:id="rId12">
              <w:r>
                <w:rPr>
                  <w:rStyle w:val="InternetLink"/>
                  <w:rFonts w:ascii="Times New Roman" w:hAnsi="Times New Roman"/>
                  <w:sz w:val="20"/>
                </w:rPr>
                <w:t>January 2,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contained in </w:t>
            </w:r>
            <w:hyperlink r:id="rId13">
              <w:r>
                <w:rPr>
                  <w:rStyle w:val="InternetLink"/>
                  <w:rFonts w:ascii="Times New Roman" w:hAnsi="Times New Roman"/>
                  <w:sz w:val="20"/>
                </w:rPr>
                <w:t>Exhibit 4.8</w:t>
              </w:r>
            </w:hyperlink>
            <w:r>
              <w:rPr>
                <w:rFonts w:ascii="Times New Roman" w:hAnsi="Times New Roman"/>
                <w:sz w:val="20"/>
              </w:rPr>
              <w:t xml:space="preserve"> of our Annual Report on </w:t>
            </w:r>
            <w:hyperlink r:id="rId14">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March 19, 2026, as well as any subsequent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any future filings made with the SEC under Sections 13(a), 13(c), 14 or 15(d) of the Exchange Act subsequent to the date of the registration statement of which this prospectus forms a part and prior to its effectiveness and following its effectiveness until the end of the offering of the securities offered hereby, except for any document or portion thereof deemed to be “furnished” and not filed in accordance with SEC rules, shall be deemed to be incorporated by reference into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incorporated by reference or provided in this prospectus or any prospectus supplement. We have not authorized anyone else to provide you with different information. You should not assume that the information in this prospectus or any prospectus supplement is accurate as of any date other than the date on the front page of those documents.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a prospectus is delivered, a copy of any or all of the information that is incorporated by reference in the prospectus, including exhibits to these documents. You may request a copy of these filings, at no cost, by contacting us, either orally or in writing, at Eledon Pharmaceuticals, Inc., 19800 MacArthur Boulevard, Suite 250, Irvine, California, (949) 238-8090.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28"/>
        </w:rPr>
      </w:pPr>
      <w:r>
        <w:rPr>
          <w:rFonts w:ascii="Times New Roman" w:hAnsi="Times New Roman"/>
          <w:b/>
          <w:sz w:val="28"/>
        </w:rPr>
        <w:t xml:space="preserve">Up to $75,000,000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266315" cy="5651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5"/>
                    <a:stretch>
                      <a:fillRect/>
                    </a:stretch>
                  </pic:blipFill>
                  <pic:spPr bwMode="auto">
                    <a:xfrm>
                      <a:off x="0" y="0"/>
                      <a:ext cx="2266315" cy="56515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00" w:after="0"/>
        <w:jc w:val="center"/>
        <w:rPr>
          <w:rFonts w:ascii="Times New Roman" w:hAnsi="Times New Roman"/>
          <w:b/>
          <w:sz w:val="36"/>
        </w:rPr>
      </w:pPr>
      <w:r>
        <w:rPr>
          <w:rFonts w:ascii="Times New Roman" w:hAnsi="Times New Roman"/>
          <w:b/>
          <w:sz w:val="36"/>
        </w:rPr>
        <w:t xml:space="preserve">Guggenheim Securities </w:t>
      </w:r>
    </w:p>
    <w:p>
      <w:pPr>
        <w:pStyle w:val="TextBody"/>
        <w:bidi w:val="0"/>
        <w:spacing w:before="480" w:after="0"/>
        <w:jc w:val="center"/>
        <w:rPr/>
      </w:pPr>
      <w:r>
        <w:rPr/>
        <w:t>    </w:t>
      </w:r>
      <w:r>
        <w:rPr>
          <w:rFonts w:ascii="Times New Roman" w:hAnsi="Times New Roman"/>
          <w:b/>
          <w:sz w:val="20"/>
        </w:rPr>
        <w:t xml:space="preserve">,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expenses payable by us in connection with the issuance and distribution of the securities being registered hereunder on Form S-3 (other than underwriting discounts and commissions, if any) are set forth below. Each item listed is estimated, except for the SEC registration fee.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70"/>
        <w:gridCol w:w="402"/>
        <w:gridCol w:w="142"/>
        <w:gridCol w:w="1162"/>
        <w:gridCol w:w="63"/>
      </w:tblGrid>
      <w:tr>
        <w:trPr/>
        <w:tc>
          <w:tcPr>
            <w:tcW w:w="5170"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0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162" w:type="dxa"/>
            <w:tcBorders/>
            <w:shd w:fill="CCEEFF" w:val="clear"/>
            <w:vAlign w:val="bottom"/>
          </w:tcPr>
          <w:p>
            <w:pPr>
              <w:pStyle w:val="TableContents"/>
              <w:bidi w:val="0"/>
              <w:spacing w:before="0" w:after="283"/>
              <w:jc w:val="right"/>
              <w:rPr/>
            </w:pPr>
            <w:r>
              <w:rPr/>
              <w:t>53,165.95</w:t>
            </w:r>
          </w:p>
        </w:tc>
        <w:tc>
          <w:tcPr>
            <w:tcW w:w="63" w:type="dxa"/>
            <w:tcBorders/>
            <w:shd w:fill="CCEEFF" w:val="clear"/>
            <w:vAlign w:val="bottom"/>
          </w:tcPr>
          <w:p>
            <w:pPr>
              <w:pStyle w:val="TableContents"/>
              <w:bidi w:val="0"/>
              <w:spacing w:before="0" w:after="283"/>
              <w:jc w:val="left"/>
              <w:rPr/>
            </w:pPr>
            <w:r>
              <w:rPr/>
              <w:t> </w:t>
            </w:r>
          </w:p>
        </w:tc>
      </w:tr>
      <w:tr>
        <w:trPr/>
        <w:tc>
          <w:tcPr>
            <w:tcW w:w="5170" w:type="dxa"/>
            <w:tcBorders/>
          </w:tcPr>
          <w:p>
            <w:pPr>
              <w:pStyle w:val="TableContents"/>
              <w:bidi w:val="0"/>
              <w:spacing w:before="0" w:after="0"/>
              <w:jc w:val="left"/>
              <w:rPr>
                <w:rFonts w:ascii="Times New Roman" w:hAnsi="Times New Roman"/>
                <w:sz w:val="20"/>
              </w:rPr>
            </w:pPr>
            <w:r>
              <w:rPr>
                <w:rFonts w:ascii="Times New Roman" w:hAnsi="Times New Roman"/>
                <w:sz w:val="20"/>
              </w:rPr>
              <w:t>Transfer agent and registrar fees and expenses</w:t>
            </w:r>
          </w:p>
        </w:tc>
        <w:tc>
          <w:tcPr>
            <w:tcW w:w="40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5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0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5170"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0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5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Printing fees and expenses</w:t>
            </w:r>
          </w:p>
        </w:tc>
        <w:tc>
          <w:tcPr>
            <w:tcW w:w="40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5170"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40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5170" w:type="dxa"/>
            <w:tcBorders/>
            <w:shd w:fill="CCEEFF" w:val="clear"/>
          </w:tcPr>
          <w:p>
            <w:pPr>
              <w:pStyle w:val="TableContents"/>
              <w:bidi w:val="0"/>
              <w:spacing w:before="0" w:after="283"/>
              <w:jc w:val="left"/>
              <w:rPr>
                <w:sz w:val="4"/>
                <w:szCs w:val="4"/>
              </w:rPr>
            </w:pPr>
            <w:r>
              <w:rPr>
                <w:sz w:val="4"/>
                <w:szCs w:val="4"/>
              </w:rPr>
            </w:r>
          </w:p>
        </w:tc>
        <w:tc>
          <w:tcPr>
            <w:tcW w:w="40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expenses not presently known. Each prospectus supplement will reflect estimated expenses based on the amount of the related offering.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15.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The Company’s certificate of incorporation provides for the elimination of personal monetary liability of directors and officers of the Company to the fullest extent permissible under Delaware law. Delaware law does not permit the elimination or limitation of director monetary liability for: (i) breaches of the director’s duty of loyalty to the corporation or its stockholders; (ii) acts or omissions not in good faith or involving intentional misconduct or knowing violations of law; (iii) for a director, the willful or negligent payment of unlawful dividends or unlawful stock repurchases or redemptions; (iv) transactions in which the director received an improper personal benefit; or (v) for an officer, in any action by or in the right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Delaware General Corporation Law (the “DGCL”) permits a Delaware corporation to indemnify, on certain terms and conditions, any person who was or is a party or is threatened to be made a party to any threatened pending or completed action, suit or proceeding, whether civil, criminal, administrative or investigative,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The certificate of incorporation and by-laws of the Company require the Company to indemnify the Company’s directors and officers to the fullest extent permitted under Delaware law. </w:t>
      </w:r>
    </w:p>
    <w:p>
      <w:pPr>
        <w:pStyle w:val="TextBody"/>
        <w:bidi w:val="0"/>
        <w:spacing w:before="240" w:after="0"/>
        <w:jc w:val="left"/>
        <w:rPr>
          <w:rFonts w:ascii="Times New Roman" w:hAnsi="Times New Roman"/>
          <w:sz w:val="20"/>
        </w:rPr>
      </w:pPr>
      <w:r>
        <w:rPr>
          <w:rFonts w:ascii="Times New Roman" w:hAnsi="Times New Roman"/>
          <w:sz w:val="20"/>
        </w:rPr>
        <w:t xml:space="preserve">Section 102(b)(7) of the DGCL provides that a corporation may in its certificate of incorporation eliminate or limit the personal liability of a director or officer to the corporation or its stockholders for monetary damages for breach of fiduciary duty as a director or officer except for liability: (i) for any breach of the director’s or officer’s duty of loyalty to the corporation or its stockholders; (ii) for acts or omissions by a director or officer not in good faith or which involve intentional misconduct or a knowing violation of law; (iii) for a director under Section 174 of the DGCL (pertaining to certain prohibited acts including unlawful payment of dividends or unlawful purchase or redemption of the corporation’s capital stock); (iv) for any transaction from which the director or officer derived an improper personal benefit; or (v) for an officer in any action by or in the right of the corporation. The Company’s certificate of incorporation eliminates such personal liability of its directors and officers under such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Company’s certificate of incorporation also requires the Company to provide exculpation to the following senior corporate officers: (i) the Company’s president, chief executive officer, chief operating officer, chief financial officer, chief legal officer, controller, treasurer or chief accounting officer, (ii) “named executive officers” identified in the Company’s SEC filings, and (iii) other individuals who, by written agreement with the Company, have consented to be identified as an officer for purposes of Delaware’s long-arm jurisdiction statute, in each case who were serving in such position at the time of an act or omission as to which liability is asserted.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Company pursuant to the foregoing provisions, the Company has been advised that in the opinion of the SEC such indemnification is against public policy as expressed in the Securities Act and is, therefore, unenforceable.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99"/>
        <w:gridCol w:w="667"/>
        <w:gridCol w:w="8639"/>
      </w:tblGrid>
      <w:tr>
        <w:trPr/>
        <w:tc>
          <w:tcPr>
            <w:tcW w:w="899" w:type="dxa"/>
            <w:tcBorders/>
            <w:vAlign w:val="center"/>
          </w:tcPr>
          <w:p>
            <w:pPr>
              <w:pStyle w:val="TableContents"/>
              <w:bidi w:val="0"/>
              <w:spacing w:before="0" w:after="283"/>
              <w:jc w:val="left"/>
              <w:rPr>
                <w:sz w:val="4"/>
                <w:szCs w:val="4"/>
              </w:rPr>
            </w:pPr>
            <w:r>
              <w:rPr>
                <w:sz w:val="4"/>
                <w:szCs w:val="4"/>
              </w:rPr>
            </w:r>
          </w:p>
        </w:tc>
        <w:tc>
          <w:tcPr>
            <w:tcW w:w="667" w:type="dxa"/>
            <w:tcBorders/>
            <w:vAlign w:val="bottom"/>
          </w:tcPr>
          <w:p>
            <w:pPr>
              <w:pStyle w:val="TableContents"/>
              <w:bidi w:val="0"/>
              <w:spacing w:before="0" w:after="283"/>
              <w:jc w:val="left"/>
              <w:rPr>
                <w:sz w:val="4"/>
                <w:szCs w:val="4"/>
              </w:rPr>
            </w:pPr>
            <w:r>
              <w:rPr>
                <w:sz w:val="4"/>
                <w:szCs w:val="4"/>
              </w:rPr>
            </w:r>
          </w:p>
        </w:tc>
        <w:tc>
          <w:tcPr>
            <w:tcW w:w="8639" w:type="dxa"/>
            <w:tcBorders/>
            <w:vAlign w:val="center"/>
          </w:tcPr>
          <w:p>
            <w:pPr>
              <w:pStyle w:val="TableContents"/>
              <w:bidi w:val="0"/>
              <w:spacing w:before="0" w:after="283"/>
              <w:jc w:val="left"/>
              <w:rPr>
                <w:sz w:val="4"/>
                <w:szCs w:val="4"/>
              </w:rPr>
            </w:pPr>
            <w:r>
              <w:rPr>
                <w:sz w:val="4"/>
                <w:szCs w:val="4"/>
              </w:rPr>
            </w:r>
          </w:p>
        </w:tc>
      </w:tr>
      <w:tr>
        <w:trPr/>
        <w:tc>
          <w:tcPr>
            <w:tcW w:w="899" w:type="dxa"/>
            <w:tcBorders/>
            <w:vAlign w:val="bottom"/>
          </w:tcPr>
          <w:p>
            <w:pPr>
              <w:pStyle w:val="TableContents"/>
              <w:bidi w:val="0"/>
              <w:spacing w:before="0" w:after="283"/>
              <w:jc w:val="center"/>
              <w:rPr>
                <w:b/>
              </w:rPr>
            </w:pPr>
            <w:r>
              <w:rPr>
                <w:b/>
              </w:rPr>
              <w:t>Exhibit</w:t>
              <w:br/>
              <w:t>Number</w:t>
            </w:r>
          </w:p>
        </w:tc>
        <w:tc>
          <w:tcPr>
            <w:tcW w:w="667" w:type="dxa"/>
            <w:tcBorders/>
            <w:vAlign w:val="bottom"/>
          </w:tcPr>
          <w:p>
            <w:pPr>
              <w:pStyle w:val="TableContents"/>
              <w:bidi w:val="0"/>
              <w:spacing w:before="0" w:after="283"/>
              <w:jc w:val="left"/>
              <w:rPr/>
            </w:pPr>
            <w:r>
              <w:rPr/>
              <w:t>  </w:t>
            </w:r>
          </w:p>
        </w:tc>
        <w:tc>
          <w:tcPr>
            <w:tcW w:w="8639" w:type="dxa"/>
            <w:tcBorders/>
            <w:vAlign w:val="bottom"/>
          </w:tcPr>
          <w:p>
            <w:pPr>
              <w:pStyle w:val="TableContents"/>
              <w:bidi w:val="0"/>
              <w:spacing w:before="0" w:after="283"/>
              <w:jc w:val="center"/>
              <w:rPr>
                <w:b/>
              </w:rPr>
            </w:pPr>
            <w:r>
              <w:rPr>
                <w:b/>
              </w:rPr>
              <w:t>Exhibit Description</w:t>
            </w:r>
          </w:p>
        </w:tc>
      </w:tr>
      <w:tr>
        <w:trPr>
          <w:trHeight w:val="120" w:hRule="atLeast"/>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tcPr>
          <w:p>
            <w:pPr>
              <w:pStyle w:val="TableContents"/>
              <w:bidi w:val="0"/>
              <w:spacing w:before="0" w:after="283"/>
              <w:jc w:val="left"/>
              <w:rPr/>
            </w:pPr>
            <w:r>
              <w:rPr/>
              <w:t>1.1*</w:t>
            </w:r>
          </w:p>
        </w:tc>
        <w:tc>
          <w:tcPr>
            <w:tcW w:w="667" w:type="dxa"/>
            <w:tcBorders/>
            <w:vAlign w:val="bottom"/>
          </w:tcPr>
          <w:p>
            <w:pPr>
              <w:pStyle w:val="TableContents"/>
              <w:bidi w:val="0"/>
              <w:spacing w:before="0" w:after="283"/>
              <w:jc w:val="left"/>
              <w:rPr/>
            </w:pPr>
            <w:r>
              <w:rPr/>
              <w:t>  </w:t>
            </w:r>
          </w:p>
        </w:tc>
        <w:tc>
          <w:tcPr>
            <w:tcW w:w="8639" w:type="dxa"/>
            <w:tcBorders/>
          </w:tcPr>
          <w:p>
            <w:pPr>
              <w:pStyle w:val="TableContents"/>
              <w:bidi w:val="0"/>
              <w:spacing w:before="0" w:after="283"/>
              <w:jc w:val="left"/>
              <w:rPr/>
            </w:pPr>
            <w:r>
              <w:rPr/>
              <w:t>Form of Underwriting Agreement.</w:t>
            </w:r>
          </w:p>
        </w:tc>
      </w:tr>
      <w:tr>
        <w:trPr>
          <w:trHeight w:val="120" w:hRule="atLeast"/>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tcPr>
          <w:p>
            <w:pPr>
              <w:pStyle w:val="TableContents"/>
              <w:bidi w:val="0"/>
              <w:spacing w:before="0" w:after="283"/>
              <w:jc w:val="left"/>
              <w:rPr/>
            </w:pPr>
            <w:r>
              <w:rPr/>
              <w:t>1.2</w:t>
            </w:r>
          </w:p>
        </w:tc>
        <w:tc>
          <w:tcPr>
            <w:tcW w:w="667" w:type="dxa"/>
            <w:tcBorders/>
            <w:vAlign w:val="bottom"/>
          </w:tcPr>
          <w:p>
            <w:pPr>
              <w:pStyle w:val="TableContents"/>
              <w:bidi w:val="0"/>
              <w:spacing w:before="0" w:after="283"/>
              <w:jc w:val="left"/>
              <w:rPr/>
            </w:pPr>
            <w:r>
              <w:rPr/>
              <w:t>  </w:t>
            </w:r>
          </w:p>
        </w:tc>
        <w:tc>
          <w:tcPr>
            <w:tcW w:w="8639" w:type="dxa"/>
            <w:tcBorders/>
          </w:tcPr>
          <w:p>
            <w:pPr>
              <w:pStyle w:val="TableContents"/>
              <w:bidi w:val="0"/>
              <w:spacing w:before="0" w:after="283"/>
              <w:jc w:val="left"/>
              <w:rPr/>
            </w:pPr>
            <w:hyperlink r:id="rId16">
              <w:r>
                <w:rPr>
                  <w:rStyle w:val="InternetLink"/>
                </w:rPr>
                <w:t xml:space="preserve">Open Market Sale Agreement, dated September 20, 2024, by and between the registrant and Guggenheim Securities, LLC (incorporated by reference to Exhibit 1.2 to the registrant’s registration statement on Form S-3 (Registration No. 333-282260) filed on September 20, 2024). </w:t>
              </w:r>
            </w:hyperlink>
          </w:p>
        </w:tc>
      </w:tr>
      <w:tr>
        <w:trPr>
          <w:trHeight w:val="120" w:hRule="atLeast"/>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tcPr>
          <w:p>
            <w:pPr>
              <w:pStyle w:val="TableContents"/>
              <w:bidi w:val="0"/>
              <w:spacing w:before="0" w:after="283"/>
              <w:jc w:val="left"/>
              <w:rPr/>
            </w:pPr>
            <w:r>
              <w:rPr/>
              <w:t>4.1</w:t>
            </w:r>
          </w:p>
        </w:tc>
        <w:tc>
          <w:tcPr>
            <w:tcW w:w="667" w:type="dxa"/>
            <w:tcBorders/>
            <w:vAlign w:val="bottom"/>
          </w:tcPr>
          <w:p>
            <w:pPr>
              <w:pStyle w:val="TableContents"/>
              <w:bidi w:val="0"/>
              <w:spacing w:before="0" w:after="283"/>
              <w:jc w:val="left"/>
              <w:rPr/>
            </w:pPr>
            <w:r>
              <w:rPr/>
              <w:t>  </w:t>
            </w:r>
          </w:p>
        </w:tc>
        <w:tc>
          <w:tcPr>
            <w:tcW w:w="8639" w:type="dxa"/>
            <w:tcBorders/>
          </w:tcPr>
          <w:p>
            <w:pPr>
              <w:pStyle w:val="TableContents"/>
              <w:bidi w:val="0"/>
              <w:spacing w:before="0" w:after="283"/>
              <w:jc w:val="left"/>
              <w:rPr/>
            </w:pPr>
            <w:hyperlink r:id="rId17">
              <w:r>
                <w:rPr>
                  <w:rStyle w:val="InternetLink"/>
                </w:rPr>
                <w:t xml:space="preserve">Restated Certificate of Incorporation of Novus Therapeutics, Inc., a Delaware corporation, dated September 22, 2014 (incorporated by reference to Exhibit 3.1 to the registrant’s current report on Form 8-K (File No. 001-36620) filed on September 26, 2014). </w:t>
              </w:r>
            </w:hyperlink>
          </w:p>
        </w:tc>
      </w:tr>
      <w:tr>
        <w:trPr>
          <w:trHeight w:val="120" w:hRule="atLeast"/>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tcPr>
          <w:p>
            <w:pPr>
              <w:pStyle w:val="TableContents"/>
              <w:bidi w:val="0"/>
              <w:spacing w:before="0" w:after="283"/>
              <w:jc w:val="left"/>
              <w:rPr/>
            </w:pPr>
            <w:r>
              <w:rPr/>
              <w:t>4.2</w:t>
            </w:r>
          </w:p>
        </w:tc>
        <w:tc>
          <w:tcPr>
            <w:tcW w:w="667" w:type="dxa"/>
            <w:tcBorders/>
            <w:vAlign w:val="bottom"/>
          </w:tcPr>
          <w:p>
            <w:pPr>
              <w:pStyle w:val="TableContents"/>
              <w:bidi w:val="0"/>
              <w:spacing w:before="0" w:after="283"/>
              <w:jc w:val="left"/>
              <w:rPr/>
            </w:pPr>
            <w:r>
              <w:rPr/>
              <w:t>  </w:t>
            </w:r>
          </w:p>
        </w:tc>
        <w:tc>
          <w:tcPr>
            <w:tcW w:w="8639" w:type="dxa"/>
            <w:tcBorders/>
          </w:tcPr>
          <w:p>
            <w:pPr>
              <w:pStyle w:val="TableContents"/>
              <w:bidi w:val="0"/>
              <w:spacing w:before="0" w:after="283"/>
              <w:jc w:val="left"/>
              <w:rPr/>
            </w:pPr>
            <w:hyperlink r:id="rId18">
              <w:r>
                <w:rPr>
                  <w:rStyle w:val="InternetLink"/>
                </w:rPr>
                <w:t xml:space="preserve">Certificate of Amendment to Certificate of Incorporation of Novus Therapeutics, Inc. (effecting, among other things a reverse stock-split), filed with the Secretary of the State of Delaware on May 9, 2017 (incorporated by reference to Exhibit 3.1 to the registrant’s current report on Form 8-K (File No. 001-36620) filed on May 15, 2017). </w:t>
              </w:r>
            </w:hyperlink>
          </w:p>
        </w:tc>
      </w:tr>
      <w:tr>
        <w:trPr>
          <w:trHeight w:val="120" w:hRule="atLeast"/>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tcPr>
          <w:p>
            <w:pPr>
              <w:pStyle w:val="TableContents"/>
              <w:bidi w:val="0"/>
              <w:spacing w:before="0" w:after="283"/>
              <w:jc w:val="left"/>
              <w:rPr/>
            </w:pPr>
            <w:r>
              <w:rPr/>
              <w:t>4.3</w:t>
            </w:r>
          </w:p>
        </w:tc>
        <w:tc>
          <w:tcPr>
            <w:tcW w:w="667" w:type="dxa"/>
            <w:tcBorders/>
            <w:vAlign w:val="bottom"/>
          </w:tcPr>
          <w:p>
            <w:pPr>
              <w:pStyle w:val="TableContents"/>
              <w:bidi w:val="0"/>
              <w:spacing w:before="0" w:after="283"/>
              <w:jc w:val="left"/>
              <w:rPr/>
            </w:pPr>
            <w:r>
              <w:rPr/>
              <w:t>  </w:t>
            </w:r>
          </w:p>
        </w:tc>
        <w:tc>
          <w:tcPr>
            <w:tcW w:w="8639" w:type="dxa"/>
            <w:tcBorders/>
          </w:tcPr>
          <w:p>
            <w:pPr>
              <w:pStyle w:val="TableContents"/>
              <w:bidi w:val="0"/>
              <w:spacing w:before="0" w:after="283"/>
              <w:jc w:val="left"/>
              <w:rPr/>
            </w:pPr>
            <w:hyperlink r:id="rId19">
              <w:r>
                <w:rPr>
                  <w:rStyle w:val="InternetLink"/>
                </w:rPr>
                <w:t xml:space="preserve">Certificate of Amendment to Certificate of Incorporation of Novus Therapeutics, Inc. (effecting, among other things a change in the corporation’s name to “Novus Therapeutics, Inc.”), filed with the Secretary of the State of Delaware on May 9, 2017 (incorporated by reference to Exhibit 3.2 to the registrant’s current report on Form 8-K (File No. 001-36620) filed on May 15, 2017). </w:t>
              </w:r>
            </w:hyperlink>
          </w:p>
        </w:tc>
      </w:tr>
      <w:tr>
        <w:trPr>
          <w:trHeight w:val="120" w:hRule="atLeast"/>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tcPr>
          <w:p>
            <w:pPr>
              <w:pStyle w:val="TableContents"/>
              <w:bidi w:val="0"/>
              <w:spacing w:before="0" w:after="283"/>
              <w:jc w:val="left"/>
              <w:rPr/>
            </w:pPr>
            <w:r>
              <w:rPr/>
              <w:t>4.4</w:t>
            </w:r>
          </w:p>
        </w:tc>
        <w:tc>
          <w:tcPr>
            <w:tcW w:w="667" w:type="dxa"/>
            <w:tcBorders/>
            <w:vAlign w:val="bottom"/>
          </w:tcPr>
          <w:p>
            <w:pPr>
              <w:pStyle w:val="TableContents"/>
              <w:bidi w:val="0"/>
              <w:spacing w:before="0" w:after="283"/>
              <w:jc w:val="left"/>
              <w:rPr/>
            </w:pPr>
            <w:r>
              <w:rPr/>
              <w:t>  </w:t>
            </w:r>
          </w:p>
        </w:tc>
        <w:tc>
          <w:tcPr>
            <w:tcW w:w="8639" w:type="dxa"/>
            <w:tcBorders/>
          </w:tcPr>
          <w:p>
            <w:pPr>
              <w:pStyle w:val="TableContents"/>
              <w:bidi w:val="0"/>
              <w:spacing w:before="0" w:after="283"/>
              <w:jc w:val="left"/>
              <w:rPr/>
            </w:pPr>
            <w:hyperlink r:id="rId20">
              <w:r>
                <w:rPr>
                  <w:rStyle w:val="InternetLink"/>
                </w:rPr>
                <w:t xml:space="preserve">Certificate of Amendment to the Restated Certificate of Incorporation of Novus Therapeutics, Inc. (effecting, among other things a reverse stock-split), effective as of October 5, 2020 (incorporated by reference to Exhibit 3.1 to the registrant’s current report on Form 8-K (File No. 001-36620) filed on October 6, 2020). </w:t>
              </w:r>
            </w:hyperlink>
          </w:p>
        </w:tc>
      </w:tr>
      <w:tr>
        <w:trPr>
          <w:trHeight w:val="120" w:hRule="atLeast"/>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tcPr>
          <w:p>
            <w:pPr>
              <w:pStyle w:val="TableContents"/>
              <w:bidi w:val="0"/>
              <w:spacing w:before="0" w:after="283"/>
              <w:jc w:val="left"/>
              <w:rPr/>
            </w:pPr>
            <w:r>
              <w:rPr/>
              <w:t>4.5</w:t>
            </w:r>
          </w:p>
        </w:tc>
        <w:tc>
          <w:tcPr>
            <w:tcW w:w="667" w:type="dxa"/>
            <w:tcBorders/>
            <w:vAlign w:val="bottom"/>
          </w:tcPr>
          <w:p>
            <w:pPr>
              <w:pStyle w:val="TableContents"/>
              <w:bidi w:val="0"/>
              <w:spacing w:before="0" w:after="283"/>
              <w:jc w:val="left"/>
              <w:rPr/>
            </w:pPr>
            <w:r>
              <w:rPr/>
              <w:t>  </w:t>
            </w:r>
          </w:p>
        </w:tc>
        <w:tc>
          <w:tcPr>
            <w:tcW w:w="8639" w:type="dxa"/>
            <w:tcBorders/>
          </w:tcPr>
          <w:p>
            <w:pPr>
              <w:pStyle w:val="TableContents"/>
              <w:bidi w:val="0"/>
              <w:spacing w:before="0" w:after="283"/>
              <w:jc w:val="left"/>
              <w:rPr/>
            </w:pPr>
            <w:hyperlink r:id="rId21">
              <w:r>
                <w:rPr>
                  <w:rStyle w:val="InternetLink"/>
                </w:rPr>
                <w:t xml:space="preserve">Certificate of Amendment to the Restated Certificate of Incorporation of Novus Therapeutics, Inc. (effecting, among other things a change in the corporation’s name to “Eledon Pharmaceuticals, Inc.”), effective as of January 5, 2021 (incorporated by reference to Exhibit 3.1 to the registrant’s current report on Form 8-K (File No. 001-36620) filed on January 5, 2021). </w:t>
              </w:r>
            </w:hyperlink>
          </w:p>
        </w:tc>
      </w:tr>
      <w:tr>
        <w:trPr>
          <w:trHeight w:val="120" w:hRule="atLeast"/>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tcPr>
          <w:p>
            <w:pPr>
              <w:pStyle w:val="TableContents"/>
              <w:bidi w:val="0"/>
              <w:spacing w:before="0" w:after="283"/>
              <w:jc w:val="left"/>
              <w:rPr/>
            </w:pPr>
            <w:r>
              <w:rPr/>
              <w:t>4.6</w:t>
            </w:r>
          </w:p>
        </w:tc>
        <w:tc>
          <w:tcPr>
            <w:tcW w:w="667" w:type="dxa"/>
            <w:tcBorders/>
            <w:vAlign w:val="bottom"/>
          </w:tcPr>
          <w:p>
            <w:pPr>
              <w:pStyle w:val="TableContents"/>
              <w:bidi w:val="0"/>
              <w:spacing w:before="0" w:after="283"/>
              <w:jc w:val="left"/>
              <w:rPr/>
            </w:pPr>
            <w:r>
              <w:rPr/>
              <w:t>  </w:t>
            </w:r>
          </w:p>
        </w:tc>
        <w:tc>
          <w:tcPr>
            <w:tcW w:w="8639" w:type="dxa"/>
            <w:tcBorders/>
          </w:tcPr>
          <w:p>
            <w:pPr>
              <w:pStyle w:val="TableContents"/>
              <w:bidi w:val="0"/>
              <w:spacing w:before="0" w:after="283"/>
              <w:jc w:val="left"/>
              <w:rPr/>
            </w:pPr>
            <w:hyperlink r:id="rId22">
              <w:r>
                <w:rPr>
                  <w:rStyle w:val="InternetLink"/>
                </w:rPr>
                <w:t xml:space="preserve">Certificate of Amendment to the Restated Certificate of Incorporation, as amended, of Eledon Pharmaceuticals, Inc. (effecting an increase in authorized shares of common stock), effective June 10, 2025 (incorporated by reference to Exhibit 3.1 on the registrant’s current report on Form 8-K (File No. 001-36620) filed on June 12, 2025). </w:t>
              </w:r>
            </w:hyperlink>
          </w:p>
        </w:tc>
      </w:tr>
      <w:tr>
        <w:trPr>
          <w:trHeight w:val="120" w:hRule="atLeast"/>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tcPr>
          <w:p>
            <w:pPr>
              <w:pStyle w:val="TableContents"/>
              <w:bidi w:val="0"/>
              <w:spacing w:before="0" w:after="283"/>
              <w:jc w:val="left"/>
              <w:rPr/>
            </w:pPr>
            <w:r>
              <w:rPr/>
              <w:t>4.7</w:t>
            </w:r>
          </w:p>
        </w:tc>
        <w:tc>
          <w:tcPr>
            <w:tcW w:w="667" w:type="dxa"/>
            <w:tcBorders/>
            <w:vAlign w:val="bottom"/>
          </w:tcPr>
          <w:p>
            <w:pPr>
              <w:pStyle w:val="TableContents"/>
              <w:bidi w:val="0"/>
              <w:spacing w:before="0" w:after="283"/>
              <w:jc w:val="left"/>
              <w:rPr/>
            </w:pPr>
            <w:r>
              <w:rPr/>
              <w:t>  </w:t>
            </w:r>
          </w:p>
        </w:tc>
        <w:tc>
          <w:tcPr>
            <w:tcW w:w="8639" w:type="dxa"/>
            <w:tcBorders/>
          </w:tcPr>
          <w:p>
            <w:pPr>
              <w:pStyle w:val="TableContents"/>
              <w:bidi w:val="0"/>
              <w:spacing w:before="0" w:after="283"/>
              <w:jc w:val="left"/>
              <w:rPr/>
            </w:pPr>
            <w:hyperlink r:id="rId23">
              <w:r>
                <w:rPr>
                  <w:rStyle w:val="InternetLink"/>
                </w:rPr>
                <w:t xml:space="preserve">Certificate of Amendment to the Restated Certificate of Incorporation, as amended, of Eledon Pharmaceuticals, Inc. (providing for exculpation of certain officers), effective June 10, 2025 (incorporated by reference to Exhibit 3.2 on the registrant’s current report on Form 8-K (File No. 001-36620) filed on June 12, 2025). </w:t>
              </w:r>
            </w:hyperlink>
          </w:p>
        </w:tc>
      </w:tr>
      <w:tr>
        <w:trPr>
          <w:trHeight w:val="120" w:hRule="atLeast"/>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tcPr>
          <w:p>
            <w:pPr>
              <w:pStyle w:val="TableContents"/>
              <w:bidi w:val="0"/>
              <w:spacing w:before="0" w:after="283"/>
              <w:jc w:val="left"/>
              <w:rPr/>
            </w:pPr>
            <w:r>
              <w:rPr/>
              <w:t>4.8</w:t>
            </w:r>
          </w:p>
        </w:tc>
        <w:tc>
          <w:tcPr>
            <w:tcW w:w="667" w:type="dxa"/>
            <w:tcBorders/>
            <w:vAlign w:val="bottom"/>
          </w:tcPr>
          <w:p>
            <w:pPr>
              <w:pStyle w:val="TableContents"/>
              <w:bidi w:val="0"/>
              <w:spacing w:before="0" w:after="283"/>
              <w:jc w:val="left"/>
              <w:rPr/>
            </w:pPr>
            <w:r>
              <w:rPr/>
              <w:t>  </w:t>
            </w:r>
          </w:p>
        </w:tc>
        <w:tc>
          <w:tcPr>
            <w:tcW w:w="8639" w:type="dxa"/>
            <w:tcBorders/>
          </w:tcPr>
          <w:p>
            <w:pPr>
              <w:pStyle w:val="TableContents"/>
              <w:bidi w:val="0"/>
              <w:spacing w:before="0" w:after="283"/>
              <w:jc w:val="left"/>
              <w:rPr/>
            </w:pPr>
            <w:hyperlink r:id="rId24">
              <w:r>
                <w:rPr>
                  <w:rStyle w:val="InternetLink"/>
                </w:rPr>
                <w:t>Amended and Restated Bylaws of Eledon Pharmaceuticals, Inc. (incorporated by reference to Exhibit  3.2 to the registrant’s current report on Form 8-K (File No. 001-36620) filed on January 5, 2021).</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92"/>
        <w:gridCol w:w="573"/>
        <w:gridCol w:w="8740"/>
      </w:tblGrid>
      <w:tr>
        <w:trPr/>
        <w:tc>
          <w:tcPr>
            <w:tcW w:w="892" w:type="dxa"/>
            <w:tcBorders/>
            <w:vAlign w:val="center"/>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8740" w:type="dxa"/>
            <w:tcBorders/>
            <w:vAlign w:val="center"/>
          </w:tcPr>
          <w:p>
            <w:pPr>
              <w:pStyle w:val="TableContents"/>
              <w:bidi w:val="0"/>
              <w:spacing w:before="0" w:after="283"/>
              <w:jc w:val="left"/>
              <w:rPr>
                <w:sz w:val="4"/>
                <w:szCs w:val="4"/>
              </w:rPr>
            </w:pPr>
            <w:r>
              <w:rPr>
                <w:sz w:val="4"/>
                <w:szCs w:val="4"/>
              </w:rPr>
            </w:r>
          </w:p>
        </w:tc>
      </w:tr>
      <w:tr>
        <w:trPr/>
        <w:tc>
          <w:tcPr>
            <w:tcW w:w="892" w:type="dxa"/>
            <w:tcBorders/>
            <w:vAlign w:val="bottom"/>
          </w:tcPr>
          <w:p>
            <w:pPr>
              <w:pStyle w:val="TableContents"/>
              <w:bidi w:val="0"/>
              <w:spacing w:before="0" w:after="283"/>
              <w:jc w:val="center"/>
              <w:rPr>
                <w:b/>
              </w:rPr>
            </w:pPr>
            <w:r>
              <w:rPr>
                <w:b/>
              </w:rPr>
              <w:t>Exhibit</w:t>
              <w:br/>
              <w:t>Number</w:t>
            </w:r>
          </w:p>
        </w:tc>
        <w:tc>
          <w:tcPr>
            <w:tcW w:w="573" w:type="dxa"/>
            <w:tcBorders/>
            <w:vAlign w:val="bottom"/>
          </w:tcPr>
          <w:p>
            <w:pPr>
              <w:pStyle w:val="TableContents"/>
              <w:bidi w:val="0"/>
              <w:spacing w:before="0" w:after="283"/>
              <w:jc w:val="left"/>
              <w:rPr/>
            </w:pPr>
            <w:r>
              <w:rPr/>
              <w:t>  </w:t>
            </w:r>
          </w:p>
        </w:tc>
        <w:tc>
          <w:tcPr>
            <w:tcW w:w="8740" w:type="dxa"/>
            <w:tcBorders/>
            <w:vAlign w:val="bottom"/>
          </w:tcPr>
          <w:p>
            <w:pPr>
              <w:pStyle w:val="TableContents"/>
              <w:bidi w:val="0"/>
              <w:spacing w:before="0" w:after="283"/>
              <w:jc w:val="center"/>
              <w:rPr>
                <w:b/>
              </w:rPr>
            </w:pPr>
            <w:r>
              <w:rPr>
                <w:b/>
              </w:rPr>
              <w:t>Exhibit Description</w:t>
            </w:r>
          </w:p>
        </w:tc>
      </w:tr>
      <w:tr>
        <w:trPr>
          <w:trHeight w:val="120" w:hRule="atLeast"/>
        </w:trPr>
        <w:tc>
          <w:tcPr>
            <w:tcW w:w="892" w:type="dxa"/>
            <w:tcBorders/>
            <w:vAlign w:val="center"/>
          </w:tcPr>
          <w:p>
            <w:pPr>
              <w:pStyle w:val="TableContents"/>
              <w:bidi w:val="0"/>
              <w:spacing w:before="0" w:after="283"/>
              <w:jc w:val="left"/>
              <w:rPr>
                <w:sz w:val="4"/>
                <w:szCs w:val="4"/>
              </w:rPr>
            </w:pPr>
            <w:r>
              <w:rPr>
                <w:sz w:val="4"/>
                <w:szCs w:val="4"/>
              </w:rPr>
            </w:r>
          </w:p>
        </w:tc>
        <w:tc>
          <w:tcPr>
            <w:tcW w:w="9313" w:type="dxa"/>
            <w:gridSpan w:val="2"/>
            <w:tcBorders/>
            <w:vAlign w:val="center"/>
          </w:tcPr>
          <w:p>
            <w:pPr>
              <w:pStyle w:val="TableContents"/>
              <w:bidi w:val="0"/>
              <w:spacing w:before="0" w:after="283"/>
              <w:jc w:val="left"/>
              <w:rPr>
                <w:sz w:val="4"/>
                <w:szCs w:val="4"/>
              </w:rPr>
            </w:pPr>
            <w:r>
              <w:rPr>
                <w:sz w:val="4"/>
                <w:szCs w:val="4"/>
              </w:rPr>
            </w:r>
          </w:p>
        </w:tc>
      </w:tr>
      <w:tr>
        <w:trPr/>
        <w:tc>
          <w:tcPr>
            <w:tcW w:w="892" w:type="dxa"/>
            <w:tcBorders/>
          </w:tcPr>
          <w:p>
            <w:pPr>
              <w:pStyle w:val="TableContents"/>
              <w:bidi w:val="0"/>
              <w:spacing w:before="0" w:after="283"/>
              <w:jc w:val="left"/>
              <w:rPr/>
            </w:pPr>
            <w:r>
              <w:rPr/>
              <w:t>4.9</w:t>
            </w:r>
          </w:p>
        </w:tc>
        <w:tc>
          <w:tcPr>
            <w:tcW w:w="573" w:type="dxa"/>
            <w:tcBorders/>
            <w:vAlign w:val="bottom"/>
          </w:tcPr>
          <w:p>
            <w:pPr>
              <w:pStyle w:val="TableContents"/>
              <w:bidi w:val="0"/>
              <w:spacing w:before="0" w:after="283"/>
              <w:jc w:val="left"/>
              <w:rPr/>
            </w:pPr>
            <w:r>
              <w:rPr/>
              <w:t>  </w:t>
            </w:r>
          </w:p>
        </w:tc>
        <w:tc>
          <w:tcPr>
            <w:tcW w:w="8740" w:type="dxa"/>
            <w:tcBorders/>
          </w:tcPr>
          <w:p>
            <w:pPr>
              <w:pStyle w:val="TableContents"/>
              <w:bidi w:val="0"/>
              <w:spacing w:before="0" w:after="283"/>
              <w:jc w:val="left"/>
              <w:rPr/>
            </w:pPr>
            <w:hyperlink r:id="rId25">
              <w:r>
                <w:rPr>
                  <w:rStyle w:val="InternetLink"/>
                </w:rPr>
                <w:t xml:space="preserve">Certificate of Designations of Series X Convertible Preferred Stock (incorporated by reference to Exhibit 3.1 to the registrant’s current report on Form 8-K (File No. 001-36620) filed on February 19, 2020). </w:t>
              </w:r>
            </w:hyperlink>
          </w:p>
        </w:tc>
      </w:tr>
      <w:tr>
        <w:trPr>
          <w:trHeight w:val="120" w:hRule="atLeast"/>
        </w:trPr>
        <w:tc>
          <w:tcPr>
            <w:tcW w:w="892" w:type="dxa"/>
            <w:tcBorders/>
            <w:vAlign w:val="center"/>
          </w:tcPr>
          <w:p>
            <w:pPr>
              <w:pStyle w:val="TableContents"/>
              <w:bidi w:val="0"/>
              <w:spacing w:before="0" w:after="283"/>
              <w:jc w:val="left"/>
              <w:rPr>
                <w:sz w:val="4"/>
                <w:szCs w:val="4"/>
              </w:rPr>
            </w:pPr>
            <w:r>
              <w:rPr>
                <w:sz w:val="4"/>
                <w:szCs w:val="4"/>
              </w:rPr>
            </w:r>
          </w:p>
        </w:tc>
        <w:tc>
          <w:tcPr>
            <w:tcW w:w="9313" w:type="dxa"/>
            <w:gridSpan w:val="2"/>
            <w:tcBorders/>
            <w:vAlign w:val="center"/>
          </w:tcPr>
          <w:p>
            <w:pPr>
              <w:pStyle w:val="TableContents"/>
              <w:bidi w:val="0"/>
              <w:spacing w:before="0" w:after="283"/>
              <w:jc w:val="left"/>
              <w:rPr>
                <w:sz w:val="4"/>
                <w:szCs w:val="4"/>
              </w:rPr>
            </w:pPr>
            <w:r>
              <w:rPr>
                <w:sz w:val="4"/>
                <w:szCs w:val="4"/>
              </w:rPr>
            </w:r>
          </w:p>
        </w:tc>
      </w:tr>
      <w:tr>
        <w:trPr/>
        <w:tc>
          <w:tcPr>
            <w:tcW w:w="892" w:type="dxa"/>
            <w:tcBorders/>
          </w:tcPr>
          <w:p>
            <w:pPr>
              <w:pStyle w:val="TableContents"/>
              <w:bidi w:val="0"/>
              <w:spacing w:before="0" w:after="283"/>
              <w:jc w:val="left"/>
              <w:rPr/>
            </w:pPr>
            <w:r>
              <w:rPr/>
              <w:t>4.10</w:t>
            </w:r>
          </w:p>
        </w:tc>
        <w:tc>
          <w:tcPr>
            <w:tcW w:w="573" w:type="dxa"/>
            <w:tcBorders/>
            <w:vAlign w:val="bottom"/>
          </w:tcPr>
          <w:p>
            <w:pPr>
              <w:pStyle w:val="TableContents"/>
              <w:bidi w:val="0"/>
              <w:spacing w:before="0" w:after="283"/>
              <w:jc w:val="left"/>
              <w:rPr/>
            </w:pPr>
            <w:r>
              <w:rPr/>
              <w:t>  </w:t>
            </w:r>
          </w:p>
        </w:tc>
        <w:tc>
          <w:tcPr>
            <w:tcW w:w="8740" w:type="dxa"/>
            <w:tcBorders/>
          </w:tcPr>
          <w:p>
            <w:pPr>
              <w:pStyle w:val="TableContents"/>
              <w:bidi w:val="0"/>
              <w:spacing w:before="0" w:after="283"/>
              <w:jc w:val="left"/>
              <w:rPr/>
            </w:pPr>
            <w:hyperlink r:id="rId26">
              <w:r>
                <w:rPr>
                  <w:rStyle w:val="InternetLink"/>
                </w:rPr>
                <w:t xml:space="preserve">Certificate of Designations of Series X1 Convertible Preferred Stock (incorporated by reference to Exhibit 3.1 to the registrant’s current report on Form 8-K (File No. 001-36620) filed on September 15, 2020). </w:t>
              </w:r>
            </w:hyperlink>
          </w:p>
        </w:tc>
      </w:tr>
      <w:tr>
        <w:trPr>
          <w:trHeight w:val="120" w:hRule="atLeast"/>
        </w:trPr>
        <w:tc>
          <w:tcPr>
            <w:tcW w:w="892" w:type="dxa"/>
            <w:tcBorders/>
            <w:vAlign w:val="center"/>
          </w:tcPr>
          <w:p>
            <w:pPr>
              <w:pStyle w:val="TableContents"/>
              <w:bidi w:val="0"/>
              <w:spacing w:before="0" w:after="283"/>
              <w:jc w:val="left"/>
              <w:rPr>
                <w:sz w:val="4"/>
                <w:szCs w:val="4"/>
              </w:rPr>
            </w:pPr>
            <w:r>
              <w:rPr>
                <w:sz w:val="4"/>
                <w:szCs w:val="4"/>
              </w:rPr>
            </w:r>
          </w:p>
        </w:tc>
        <w:tc>
          <w:tcPr>
            <w:tcW w:w="9313" w:type="dxa"/>
            <w:gridSpan w:val="2"/>
            <w:tcBorders/>
            <w:vAlign w:val="center"/>
          </w:tcPr>
          <w:p>
            <w:pPr>
              <w:pStyle w:val="TableContents"/>
              <w:bidi w:val="0"/>
              <w:spacing w:before="0" w:after="283"/>
              <w:jc w:val="left"/>
              <w:rPr>
                <w:sz w:val="4"/>
                <w:szCs w:val="4"/>
              </w:rPr>
            </w:pPr>
            <w:r>
              <w:rPr>
                <w:sz w:val="4"/>
                <w:szCs w:val="4"/>
              </w:rPr>
            </w:r>
          </w:p>
        </w:tc>
      </w:tr>
      <w:tr>
        <w:trPr/>
        <w:tc>
          <w:tcPr>
            <w:tcW w:w="892" w:type="dxa"/>
            <w:tcBorders/>
          </w:tcPr>
          <w:p>
            <w:pPr>
              <w:pStyle w:val="TableContents"/>
              <w:bidi w:val="0"/>
              <w:spacing w:before="0" w:after="283"/>
              <w:jc w:val="left"/>
              <w:rPr/>
            </w:pPr>
            <w:r>
              <w:rPr/>
              <w:t>4.11</w:t>
            </w:r>
          </w:p>
        </w:tc>
        <w:tc>
          <w:tcPr>
            <w:tcW w:w="573" w:type="dxa"/>
            <w:tcBorders/>
            <w:vAlign w:val="bottom"/>
          </w:tcPr>
          <w:p>
            <w:pPr>
              <w:pStyle w:val="TableContents"/>
              <w:bidi w:val="0"/>
              <w:spacing w:before="0" w:after="283"/>
              <w:jc w:val="left"/>
              <w:rPr/>
            </w:pPr>
            <w:r>
              <w:rPr/>
              <w:t>  </w:t>
            </w:r>
          </w:p>
        </w:tc>
        <w:tc>
          <w:tcPr>
            <w:tcW w:w="8740" w:type="dxa"/>
            <w:tcBorders/>
          </w:tcPr>
          <w:p>
            <w:pPr>
              <w:pStyle w:val="TableContents"/>
              <w:bidi w:val="0"/>
              <w:spacing w:before="0" w:after="283"/>
              <w:jc w:val="left"/>
              <w:rPr/>
            </w:pPr>
            <w:hyperlink r:id="rId27">
              <w:r>
                <w:rPr>
                  <w:rStyle w:val="InternetLink"/>
                </w:rPr>
                <w:t xml:space="preserve">Form of Common Stock Certificate (incorporated by reference to Exhibit 4.1 to the registrant’s amendment to Form 8-A (File No. 001-36620) filed on June 23, 2017). </w:t>
              </w:r>
            </w:hyperlink>
          </w:p>
        </w:tc>
      </w:tr>
      <w:tr>
        <w:trPr>
          <w:trHeight w:val="120" w:hRule="atLeast"/>
        </w:trPr>
        <w:tc>
          <w:tcPr>
            <w:tcW w:w="892" w:type="dxa"/>
            <w:tcBorders/>
            <w:vAlign w:val="center"/>
          </w:tcPr>
          <w:p>
            <w:pPr>
              <w:pStyle w:val="TableContents"/>
              <w:bidi w:val="0"/>
              <w:spacing w:before="0" w:after="283"/>
              <w:jc w:val="left"/>
              <w:rPr>
                <w:sz w:val="4"/>
                <w:szCs w:val="4"/>
              </w:rPr>
            </w:pPr>
            <w:r>
              <w:rPr>
                <w:sz w:val="4"/>
                <w:szCs w:val="4"/>
              </w:rPr>
            </w:r>
          </w:p>
        </w:tc>
        <w:tc>
          <w:tcPr>
            <w:tcW w:w="9313" w:type="dxa"/>
            <w:gridSpan w:val="2"/>
            <w:tcBorders/>
            <w:vAlign w:val="center"/>
          </w:tcPr>
          <w:p>
            <w:pPr>
              <w:pStyle w:val="TableContents"/>
              <w:bidi w:val="0"/>
              <w:spacing w:before="0" w:after="283"/>
              <w:jc w:val="left"/>
              <w:rPr>
                <w:sz w:val="4"/>
                <w:szCs w:val="4"/>
              </w:rPr>
            </w:pPr>
            <w:r>
              <w:rPr>
                <w:sz w:val="4"/>
                <w:szCs w:val="4"/>
              </w:rPr>
            </w:r>
          </w:p>
        </w:tc>
      </w:tr>
      <w:tr>
        <w:trPr/>
        <w:tc>
          <w:tcPr>
            <w:tcW w:w="892" w:type="dxa"/>
            <w:tcBorders/>
          </w:tcPr>
          <w:p>
            <w:pPr>
              <w:pStyle w:val="TableContents"/>
              <w:bidi w:val="0"/>
              <w:spacing w:before="0" w:after="283"/>
              <w:jc w:val="left"/>
              <w:rPr/>
            </w:pPr>
            <w:r>
              <w:rPr/>
              <w:t>4.12</w:t>
            </w:r>
          </w:p>
        </w:tc>
        <w:tc>
          <w:tcPr>
            <w:tcW w:w="573" w:type="dxa"/>
            <w:tcBorders/>
            <w:vAlign w:val="bottom"/>
          </w:tcPr>
          <w:p>
            <w:pPr>
              <w:pStyle w:val="TableContents"/>
              <w:bidi w:val="0"/>
              <w:spacing w:before="0" w:after="283"/>
              <w:jc w:val="left"/>
              <w:rPr/>
            </w:pPr>
            <w:r>
              <w:rPr/>
              <w:t>  </w:t>
            </w:r>
          </w:p>
        </w:tc>
        <w:tc>
          <w:tcPr>
            <w:tcW w:w="8740" w:type="dxa"/>
            <w:tcBorders/>
          </w:tcPr>
          <w:p>
            <w:pPr>
              <w:pStyle w:val="TableContents"/>
              <w:bidi w:val="0"/>
              <w:spacing w:before="0" w:after="283"/>
              <w:jc w:val="left"/>
              <w:rPr/>
            </w:pPr>
            <w:hyperlink w:anchor="d79008dex412.htm">
              <w:r>
                <w:rPr>
                  <w:rStyle w:val="InternetLink"/>
                </w:rPr>
                <w:t xml:space="preserve">Form of Indenture for Senior Debt Securities. </w:t>
              </w:r>
            </w:hyperlink>
          </w:p>
        </w:tc>
      </w:tr>
      <w:tr>
        <w:trPr>
          <w:trHeight w:val="120" w:hRule="atLeast"/>
        </w:trPr>
        <w:tc>
          <w:tcPr>
            <w:tcW w:w="892" w:type="dxa"/>
            <w:tcBorders/>
            <w:vAlign w:val="center"/>
          </w:tcPr>
          <w:p>
            <w:pPr>
              <w:pStyle w:val="TableContents"/>
              <w:bidi w:val="0"/>
              <w:spacing w:before="0" w:after="283"/>
              <w:jc w:val="left"/>
              <w:rPr>
                <w:sz w:val="4"/>
                <w:szCs w:val="4"/>
              </w:rPr>
            </w:pPr>
            <w:r>
              <w:rPr>
                <w:sz w:val="4"/>
                <w:szCs w:val="4"/>
              </w:rPr>
            </w:r>
          </w:p>
        </w:tc>
        <w:tc>
          <w:tcPr>
            <w:tcW w:w="9313" w:type="dxa"/>
            <w:gridSpan w:val="2"/>
            <w:tcBorders/>
            <w:vAlign w:val="center"/>
          </w:tcPr>
          <w:p>
            <w:pPr>
              <w:pStyle w:val="TableContents"/>
              <w:bidi w:val="0"/>
              <w:spacing w:before="0" w:after="283"/>
              <w:jc w:val="left"/>
              <w:rPr>
                <w:sz w:val="4"/>
                <w:szCs w:val="4"/>
              </w:rPr>
            </w:pPr>
            <w:r>
              <w:rPr>
                <w:sz w:val="4"/>
                <w:szCs w:val="4"/>
              </w:rPr>
            </w:r>
          </w:p>
        </w:tc>
      </w:tr>
      <w:tr>
        <w:trPr/>
        <w:tc>
          <w:tcPr>
            <w:tcW w:w="892" w:type="dxa"/>
            <w:tcBorders/>
          </w:tcPr>
          <w:p>
            <w:pPr>
              <w:pStyle w:val="TableContents"/>
              <w:bidi w:val="0"/>
              <w:spacing w:before="0" w:after="283"/>
              <w:jc w:val="left"/>
              <w:rPr/>
            </w:pPr>
            <w:r>
              <w:rPr/>
              <w:t>4.13</w:t>
            </w:r>
          </w:p>
        </w:tc>
        <w:tc>
          <w:tcPr>
            <w:tcW w:w="573" w:type="dxa"/>
            <w:tcBorders/>
            <w:vAlign w:val="bottom"/>
          </w:tcPr>
          <w:p>
            <w:pPr>
              <w:pStyle w:val="TableContents"/>
              <w:bidi w:val="0"/>
              <w:spacing w:before="0" w:after="283"/>
              <w:jc w:val="left"/>
              <w:rPr/>
            </w:pPr>
            <w:r>
              <w:rPr/>
              <w:t>  </w:t>
            </w:r>
          </w:p>
        </w:tc>
        <w:tc>
          <w:tcPr>
            <w:tcW w:w="8740" w:type="dxa"/>
            <w:tcBorders/>
          </w:tcPr>
          <w:p>
            <w:pPr>
              <w:pStyle w:val="TableContents"/>
              <w:bidi w:val="0"/>
              <w:spacing w:before="0" w:after="283"/>
              <w:jc w:val="left"/>
              <w:rPr/>
            </w:pPr>
            <w:hyperlink w:anchor="d79008dex413.htm">
              <w:r>
                <w:rPr>
                  <w:rStyle w:val="InternetLink"/>
                </w:rPr>
                <w:t xml:space="preserve">Form of Indenture for Subordinated Debt Securities. </w:t>
              </w:r>
            </w:hyperlink>
          </w:p>
        </w:tc>
      </w:tr>
      <w:tr>
        <w:trPr>
          <w:trHeight w:val="120" w:hRule="atLeast"/>
        </w:trPr>
        <w:tc>
          <w:tcPr>
            <w:tcW w:w="892" w:type="dxa"/>
            <w:tcBorders/>
            <w:vAlign w:val="center"/>
          </w:tcPr>
          <w:p>
            <w:pPr>
              <w:pStyle w:val="TableContents"/>
              <w:bidi w:val="0"/>
              <w:spacing w:before="0" w:after="283"/>
              <w:jc w:val="left"/>
              <w:rPr>
                <w:sz w:val="4"/>
                <w:szCs w:val="4"/>
              </w:rPr>
            </w:pPr>
            <w:r>
              <w:rPr>
                <w:sz w:val="4"/>
                <w:szCs w:val="4"/>
              </w:rPr>
            </w:r>
          </w:p>
        </w:tc>
        <w:tc>
          <w:tcPr>
            <w:tcW w:w="9313" w:type="dxa"/>
            <w:gridSpan w:val="2"/>
            <w:tcBorders/>
            <w:vAlign w:val="center"/>
          </w:tcPr>
          <w:p>
            <w:pPr>
              <w:pStyle w:val="TableContents"/>
              <w:bidi w:val="0"/>
              <w:spacing w:before="0" w:after="283"/>
              <w:jc w:val="left"/>
              <w:rPr>
                <w:sz w:val="4"/>
                <w:szCs w:val="4"/>
              </w:rPr>
            </w:pPr>
            <w:r>
              <w:rPr>
                <w:sz w:val="4"/>
                <w:szCs w:val="4"/>
              </w:rPr>
            </w:r>
          </w:p>
        </w:tc>
      </w:tr>
      <w:tr>
        <w:trPr/>
        <w:tc>
          <w:tcPr>
            <w:tcW w:w="892" w:type="dxa"/>
            <w:tcBorders/>
          </w:tcPr>
          <w:p>
            <w:pPr>
              <w:pStyle w:val="TableContents"/>
              <w:bidi w:val="0"/>
              <w:spacing w:before="0" w:after="283"/>
              <w:jc w:val="left"/>
              <w:rPr/>
            </w:pPr>
            <w:r>
              <w:rPr/>
              <w:t>4.14*</w:t>
            </w:r>
          </w:p>
        </w:tc>
        <w:tc>
          <w:tcPr>
            <w:tcW w:w="573" w:type="dxa"/>
            <w:tcBorders/>
            <w:vAlign w:val="bottom"/>
          </w:tcPr>
          <w:p>
            <w:pPr>
              <w:pStyle w:val="TableContents"/>
              <w:bidi w:val="0"/>
              <w:spacing w:before="0" w:after="283"/>
              <w:jc w:val="left"/>
              <w:rPr/>
            </w:pPr>
            <w:r>
              <w:rPr/>
              <w:t>  </w:t>
            </w:r>
          </w:p>
        </w:tc>
        <w:tc>
          <w:tcPr>
            <w:tcW w:w="8740" w:type="dxa"/>
            <w:tcBorders/>
          </w:tcPr>
          <w:p>
            <w:pPr>
              <w:pStyle w:val="TableContents"/>
              <w:bidi w:val="0"/>
              <w:spacing w:before="0" w:after="283"/>
              <w:jc w:val="left"/>
              <w:rPr/>
            </w:pPr>
            <w:r>
              <w:rPr/>
              <w:t>Form of Global Note for Senior Debt Securities.</w:t>
            </w:r>
          </w:p>
        </w:tc>
      </w:tr>
      <w:tr>
        <w:trPr>
          <w:trHeight w:val="120" w:hRule="atLeast"/>
        </w:trPr>
        <w:tc>
          <w:tcPr>
            <w:tcW w:w="892" w:type="dxa"/>
            <w:tcBorders/>
            <w:vAlign w:val="center"/>
          </w:tcPr>
          <w:p>
            <w:pPr>
              <w:pStyle w:val="TableContents"/>
              <w:bidi w:val="0"/>
              <w:spacing w:before="0" w:after="283"/>
              <w:jc w:val="left"/>
              <w:rPr>
                <w:sz w:val="4"/>
                <w:szCs w:val="4"/>
              </w:rPr>
            </w:pPr>
            <w:r>
              <w:rPr>
                <w:sz w:val="4"/>
                <w:szCs w:val="4"/>
              </w:rPr>
            </w:r>
          </w:p>
        </w:tc>
        <w:tc>
          <w:tcPr>
            <w:tcW w:w="9313" w:type="dxa"/>
            <w:gridSpan w:val="2"/>
            <w:tcBorders/>
            <w:vAlign w:val="center"/>
          </w:tcPr>
          <w:p>
            <w:pPr>
              <w:pStyle w:val="TableContents"/>
              <w:bidi w:val="0"/>
              <w:spacing w:before="0" w:after="283"/>
              <w:jc w:val="left"/>
              <w:rPr>
                <w:sz w:val="4"/>
                <w:szCs w:val="4"/>
              </w:rPr>
            </w:pPr>
            <w:r>
              <w:rPr>
                <w:sz w:val="4"/>
                <w:szCs w:val="4"/>
              </w:rPr>
            </w:r>
          </w:p>
        </w:tc>
      </w:tr>
      <w:tr>
        <w:trPr/>
        <w:tc>
          <w:tcPr>
            <w:tcW w:w="892" w:type="dxa"/>
            <w:tcBorders/>
          </w:tcPr>
          <w:p>
            <w:pPr>
              <w:pStyle w:val="TableContents"/>
              <w:bidi w:val="0"/>
              <w:spacing w:before="0" w:after="283"/>
              <w:jc w:val="left"/>
              <w:rPr/>
            </w:pPr>
            <w:r>
              <w:rPr/>
              <w:t>4.15*</w:t>
            </w:r>
          </w:p>
        </w:tc>
        <w:tc>
          <w:tcPr>
            <w:tcW w:w="573" w:type="dxa"/>
            <w:tcBorders/>
            <w:vAlign w:val="bottom"/>
          </w:tcPr>
          <w:p>
            <w:pPr>
              <w:pStyle w:val="TableContents"/>
              <w:bidi w:val="0"/>
              <w:spacing w:before="0" w:after="283"/>
              <w:jc w:val="left"/>
              <w:rPr/>
            </w:pPr>
            <w:r>
              <w:rPr/>
              <w:t>  </w:t>
            </w:r>
          </w:p>
        </w:tc>
        <w:tc>
          <w:tcPr>
            <w:tcW w:w="8740" w:type="dxa"/>
            <w:tcBorders/>
          </w:tcPr>
          <w:p>
            <w:pPr>
              <w:pStyle w:val="TableContents"/>
              <w:bidi w:val="0"/>
              <w:spacing w:before="0" w:after="283"/>
              <w:jc w:val="left"/>
              <w:rPr/>
            </w:pPr>
            <w:r>
              <w:rPr/>
              <w:t>Form of Global Note for Subordinated Debt Securities.</w:t>
            </w:r>
          </w:p>
        </w:tc>
      </w:tr>
      <w:tr>
        <w:trPr>
          <w:trHeight w:val="120" w:hRule="atLeast"/>
        </w:trPr>
        <w:tc>
          <w:tcPr>
            <w:tcW w:w="892" w:type="dxa"/>
            <w:tcBorders/>
            <w:vAlign w:val="center"/>
          </w:tcPr>
          <w:p>
            <w:pPr>
              <w:pStyle w:val="TableContents"/>
              <w:bidi w:val="0"/>
              <w:spacing w:before="0" w:after="283"/>
              <w:jc w:val="left"/>
              <w:rPr>
                <w:sz w:val="4"/>
                <w:szCs w:val="4"/>
              </w:rPr>
            </w:pPr>
            <w:r>
              <w:rPr>
                <w:sz w:val="4"/>
                <w:szCs w:val="4"/>
              </w:rPr>
            </w:r>
          </w:p>
        </w:tc>
        <w:tc>
          <w:tcPr>
            <w:tcW w:w="9313" w:type="dxa"/>
            <w:gridSpan w:val="2"/>
            <w:tcBorders/>
            <w:vAlign w:val="center"/>
          </w:tcPr>
          <w:p>
            <w:pPr>
              <w:pStyle w:val="TableContents"/>
              <w:bidi w:val="0"/>
              <w:spacing w:before="0" w:after="283"/>
              <w:jc w:val="left"/>
              <w:rPr>
                <w:sz w:val="4"/>
                <w:szCs w:val="4"/>
              </w:rPr>
            </w:pPr>
            <w:r>
              <w:rPr>
                <w:sz w:val="4"/>
                <w:szCs w:val="4"/>
              </w:rPr>
            </w:r>
          </w:p>
        </w:tc>
      </w:tr>
      <w:tr>
        <w:trPr/>
        <w:tc>
          <w:tcPr>
            <w:tcW w:w="892" w:type="dxa"/>
            <w:tcBorders/>
          </w:tcPr>
          <w:p>
            <w:pPr>
              <w:pStyle w:val="TableContents"/>
              <w:bidi w:val="0"/>
              <w:spacing w:before="0" w:after="283"/>
              <w:jc w:val="left"/>
              <w:rPr/>
            </w:pPr>
            <w:r>
              <w:rPr/>
              <w:t>4.16*</w:t>
            </w:r>
          </w:p>
        </w:tc>
        <w:tc>
          <w:tcPr>
            <w:tcW w:w="573" w:type="dxa"/>
            <w:tcBorders/>
            <w:vAlign w:val="bottom"/>
          </w:tcPr>
          <w:p>
            <w:pPr>
              <w:pStyle w:val="TableContents"/>
              <w:bidi w:val="0"/>
              <w:spacing w:before="0" w:after="283"/>
              <w:jc w:val="left"/>
              <w:rPr/>
            </w:pPr>
            <w:r>
              <w:rPr/>
              <w:t>  </w:t>
            </w:r>
          </w:p>
        </w:tc>
        <w:tc>
          <w:tcPr>
            <w:tcW w:w="8740" w:type="dxa"/>
            <w:tcBorders/>
          </w:tcPr>
          <w:p>
            <w:pPr>
              <w:pStyle w:val="TableContents"/>
              <w:bidi w:val="0"/>
              <w:spacing w:before="0" w:after="283"/>
              <w:jc w:val="left"/>
              <w:rPr/>
            </w:pPr>
            <w:r>
              <w:rPr/>
              <w:t>Form of Warrant Agreement (including form of Warrant Certificate).</w:t>
            </w:r>
          </w:p>
        </w:tc>
      </w:tr>
      <w:tr>
        <w:trPr>
          <w:trHeight w:val="120" w:hRule="atLeast"/>
        </w:trPr>
        <w:tc>
          <w:tcPr>
            <w:tcW w:w="892" w:type="dxa"/>
            <w:tcBorders/>
            <w:vAlign w:val="center"/>
          </w:tcPr>
          <w:p>
            <w:pPr>
              <w:pStyle w:val="TableContents"/>
              <w:bidi w:val="0"/>
              <w:spacing w:before="0" w:after="283"/>
              <w:jc w:val="left"/>
              <w:rPr>
                <w:sz w:val="4"/>
                <w:szCs w:val="4"/>
              </w:rPr>
            </w:pPr>
            <w:r>
              <w:rPr>
                <w:sz w:val="4"/>
                <w:szCs w:val="4"/>
              </w:rPr>
            </w:r>
          </w:p>
        </w:tc>
        <w:tc>
          <w:tcPr>
            <w:tcW w:w="9313" w:type="dxa"/>
            <w:gridSpan w:val="2"/>
            <w:tcBorders/>
            <w:vAlign w:val="center"/>
          </w:tcPr>
          <w:p>
            <w:pPr>
              <w:pStyle w:val="TableContents"/>
              <w:bidi w:val="0"/>
              <w:spacing w:before="0" w:after="283"/>
              <w:jc w:val="left"/>
              <w:rPr>
                <w:sz w:val="4"/>
                <w:szCs w:val="4"/>
              </w:rPr>
            </w:pPr>
            <w:r>
              <w:rPr>
                <w:sz w:val="4"/>
                <w:szCs w:val="4"/>
              </w:rPr>
            </w:r>
          </w:p>
        </w:tc>
      </w:tr>
      <w:tr>
        <w:trPr/>
        <w:tc>
          <w:tcPr>
            <w:tcW w:w="892" w:type="dxa"/>
            <w:tcBorders/>
          </w:tcPr>
          <w:p>
            <w:pPr>
              <w:pStyle w:val="TableContents"/>
              <w:bidi w:val="0"/>
              <w:spacing w:before="0" w:after="283"/>
              <w:jc w:val="left"/>
              <w:rPr/>
            </w:pPr>
            <w:r>
              <w:rPr/>
              <w:t>4.17*</w:t>
            </w:r>
          </w:p>
        </w:tc>
        <w:tc>
          <w:tcPr>
            <w:tcW w:w="573" w:type="dxa"/>
            <w:tcBorders/>
            <w:vAlign w:val="bottom"/>
          </w:tcPr>
          <w:p>
            <w:pPr>
              <w:pStyle w:val="TableContents"/>
              <w:bidi w:val="0"/>
              <w:spacing w:before="0" w:after="283"/>
              <w:jc w:val="left"/>
              <w:rPr/>
            </w:pPr>
            <w:r>
              <w:rPr/>
              <w:t>  </w:t>
            </w:r>
          </w:p>
        </w:tc>
        <w:tc>
          <w:tcPr>
            <w:tcW w:w="8740" w:type="dxa"/>
            <w:tcBorders/>
          </w:tcPr>
          <w:p>
            <w:pPr>
              <w:pStyle w:val="TableContents"/>
              <w:bidi w:val="0"/>
              <w:spacing w:before="0" w:after="283"/>
              <w:jc w:val="left"/>
              <w:rPr/>
            </w:pPr>
            <w:r>
              <w:rPr/>
              <w:t>Form of Unit Agreement and Unit Certificate, if any.</w:t>
            </w:r>
          </w:p>
        </w:tc>
      </w:tr>
      <w:tr>
        <w:trPr>
          <w:trHeight w:val="120" w:hRule="atLeast"/>
        </w:trPr>
        <w:tc>
          <w:tcPr>
            <w:tcW w:w="892" w:type="dxa"/>
            <w:tcBorders/>
            <w:vAlign w:val="center"/>
          </w:tcPr>
          <w:p>
            <w:pPr>
              <w:pStyle w:val="TableContents"/>
              <w:bidi w:val="0"/>
              <w:spacing w:before="0" w:after="283"/>
              <w:jc w:val="left"/>
              <w:rPr>
                <w:sz w:val="4"/>
                <w:szCs w:val="4"/>
              </w:rPr>
            </w:pPr>
            <w:r>
              <w:rPr>
                <w:sz w:val="4"/>
                <w:szCs w:val="4"/>
              </w:rPr>
            </w:r>
          </w:p>
        </w:tc>
        <w:tc>
          <w:tcPr>
            <w:tcW w:w="9313" w:type="dxa"/>
            <w:gridSpan w:val="2"/>
            <w:tcBorders/>
            <w:vAlign w:val="center"/>
          </w:tcPr>
          <w:p>
            <w:pPr>
              <w:pStyle w:val="TableContents"/>
              <w:bidi w:val="0"/>
              <w:spacing w:before="0" w:after="283"/>
              <w:jc w:val="left"/>
              <w:rPr>
                <w:sz w:val="4"/>
                <w:szCs w:val="4"/>
              </w:rPr>
            </w:pPr>
            <w:r>
              <w:rPr>
                <w:sz w:val="4"/>
                <w:szCs w:val="4"/>
              </w:rPr>
            </w:r>
          </w:p>
        </w:tc>
      </w:tr>
      <w:tr>
        <w:trPr/>
        <w:tc>
          <w:tcPr>
            <w:tcW w:w="892" w:type="dxa"/>
            <w:tcBorders/>
          </w:tcPr>
          <w:p>
            <w:pPr>
              <w:pStyle w:val="TableContents"/>
              <w:bidi w:val="0"/>
              <w:spacing w:before="0" w:after="283"/>
              <w:jc w:val="left"/>
              <w:rPr/>
            </w:pPr>
            <w:r>
              <w:rPr/>
              <w:t>5.1</w:t>
            </w:r>
          </w:p>
        </w:tc>
        <w:tc>
          <w:tcPr>
            <w:tcW w:w="573" w:type="dxa"/>
            <w:tcBorders/>
            <w:vAlign w:val="bottom"/>
          </w:tcPr>
          <w:p>
            <w:pPr>
              <w:pStyle w:val="TableContents"/>
              <w:bidi w:val="0"/>
              <w:spacing w:before="0" w:after="283"/>
              <w:jc w:val="left"/>
              <w:rPr/>
            </w:pPr>
            <w:r>
              <w:rPr/>
              <w:t>  </w:t>
            </w:r>
          </w:p>
        </w:tc>
        <w:tc>
          <w:tcPr>
            <w:tcW w:w="8740" w:type="dxa"/>
            <w:tcBorders/>
          </w:tcPr>
          <w:p>
            <w:pPr>
              <w:pStyle w:val="TableContents"/>
              <w:bidi w:val="0"/>
              <w:spacing w:before="0" w:after="283"/>
              <w:jc w:val="left"/>
              <w:rPr/>
            </w:pPr>
            <w:hyperlink w:anchor="d79008dex51.htm">
              <w:r>
                <w:rPr>
                  <w:rStyle w:val="InternetLink"/>
                </w:rPr>
                <w:t xml:space="preserve">Opinion of O’Melveny &amp; Myers LLP. </w:t>
              </w:r>
            </w:hyperlink>
          </w:p>
        </w:tc>
      </w:tr>
      <w:tr>
        <w:trPr>
          <w:trHeight w:val="120" w:hRule="atLeast"/>
        </w:trPr>
        <w:tc>
          <w:tcPr>
            <w:tcW w:w="892" w:type="dxa"/>
            <w:tcBorders/>
            <w:vAlign w:val="center"/>
          </w:tcPr>
          <w:p>
            <w:pPr>
              <w:pStyle w:val="TableContents"/>
              <w:bidi w:val="0"/>
              <w:spacing w:before="0" w:after="283"/>
              <w:jc w:val="left"/>
              <w:rPr>
                <w:sz w:val="4"/>
                <w:szCs w:val="4"/>
              </w:rPr>
            </w:pPr>
            <w:r>
              <w:rPr>
                <w:sz w:val="4"/>
                <w:szCs w:val="4"/>
              </w:rPr>
            </w:r>
          </w:p>
        </w:tc>
        <w:tc>
          <w:tcPr>
            <w:tcW w:w="9313" w:type="dxa"/>
            <w:gridSpan w:val="2"/>
            <w:tcBorders/>
            <w:vAlign w:val="center"/>
          </w:tcPr>
          <w:p>
            <w:pPr>
              <w:pStyle w:val="TableContents"/>
              <w:bidi w:val="0"/>
              <w:spacing w:before="0" w:after="283"/>
              <w:jc w:val="left"/>
              <w:rPr>
                <w:sz w:val="4"/>
                <w:szCs w:val="4"/>
              </w:rPr>
            </w:pPr>
            <w:r>
              <w:rPr>
                <w:sz w:val="4"/>
                <w:szCs w:val="4"/>
              </w:rPr>
            </w:r>
          </w:p>
        </w:tc>
      </w:tr>
      <w:tr>
        <w:trPr/>
        <w:tc>
          <w:tcPr>
            <w:tcW w:w="892" w:type="dxa"/>
            <w:tcBorders/>
          </w:tcPr>
          <w:p>
            <w:pPr>
              <w:pStyle w:val="TableContents"/>
              <w:bidi w:val="0"/>
              <w:spacing w:before="0" w:after="283"/>
              <w:jc w:val="left"/>
              <w:rPr/>
            </w:pPr>
            <w:r>
              <w:rPr/>
              <w:t>23.1</w:t>
            </w:r>
          </w:p>
        </w:tc>
        <w:tc>
          <w:tcPr>
            <w:tcW w:w="573" w:type="dxa"/>
            <w:tcBorders/>
            <w:vAlign w:val="bottom"/>
          </w:tcPr>
          <w:p>
            <w:pPr>
              <w:pStyle w:val="TableContents"/>
              <w:bidi w:val="0"/>
              <w:spacing w:before="0" w:after="283"/>
              <w:jc w:val="left"/>
              <w:rPr/>
            </w:pPr>
            <w:r>
              <w:rPr/>
              <w:t>  </w:t>
            </w:r>
          </w:p>
        </w:tc>
        <w:tc>
          <w:tcPr>
            <w:tcW w:w="8740" w:type="dxa"/>
            <w:tcBorders/>
          </w:tcPr>
          <w:p>
            <w:pPr>
              <w:pStyle w:val="TableContents"/>
              <w:bidi w:val="0"/>
              <w:spacing w:before="0" w:after="283"/>
              <w:jc w:val="left"/>
              <w:rPr/>
            </w:pPr>
            <w:hyperlink w:anchor="d79008dex231.htm">
              <w:r>
                <w:rPr>
                  <w:rStyle w:val="InternetLink"/>
                </w:rPr>
                <w:t xml:space="preserve">Consent of Deloitte &amp; Touche LLP, Independent Registered Public Accounting Firm </w:t>
              </w:r>
            </w:hyperlink>
          </w:p>
        </w:tc>
      </w:tr>
      <w:tr>
        <w:trPr>
          <w:trHeight w:val="120" w:hRule="atLeast"/>
        </w:trPr>
        <w:tc>
          <w:tcPr>
            <w:tcW w:w="892" w:type="dxa"/>
            <w:tcBorders/>
            <w:vAlign w:val="center"/>
          </w:tcPr>
          <w:p>
            <w:pPr>
              <w:pStyle w:val="TableContents"/>
              <w:bidi w:val="0"/>
              <w:spacing w:before="0" w:after="283"/>
              <w:jc w:val="left"/>
              <w:rPr>
                <w:sz w:val="4"/>
                <w:szCs w:val="4"/>
              </w:rPr>
            </w:pPr>
            <w:r>
              <w:rPr>
                <w:sz w:val="4"/>
                <w:szCs w:val="4"/>
              </w:rPr>
            </w:r>
          </w:p>
        </w:tc>
        <w:tc>
          <w:tcPr>
            <w:tcW w:w="9313" w:type="dxa"/>
            <w:gridSpan w:val="2"/>
            <w:tcBorders/>
            <w:vAlign w:val="center"/>
          </w:tcPr>
          <w:p>
            <w:pPr>
              <w:pStyle w:val="TableContents"/>
              <w:bidi w:val="0"/>
              <w:spacing w:before="0" w:after="283"/>
              <w:jc w:val="left"/>
              <w:rPr>
                <w:sz w:val="4"/>
                <w:szCs w:val="4"/>
              </w:rPr>
            </w:pPr>
            <w:r>
              <w:rPr>
                <w:sz w:val="4"/>
                <w:szCs w:val="4"/>
              </w:rPr>
            </w:r>
          </w:p>
        </w:tc>
      </w:tr>
      <w:tr>
        <w:trPr/>
        <w:tc>
          <w:tcPr>
            <w:tcW w:w="892" w:type="dxa"/>
            <w:tcBorders/>
          </w:tcPr>
          <w:p>
            <w:pPr>
              <w:pStyle w:val="TableContents"/>
              <w:bidi w:val="0"/>
              <w:spacing w:before="0" w:after="283"/>
              <w:jc w:val="left"/>
              <w:rPr/>
            </w:pPr>
            <w:r>
              <w:rPr/>
              <w:t>23.2</w:t>
            </w:r>
          </w:p>
        </w:tc>
        <w:tc>
          <w:tcPr>
            <w:tcW w:w="573" w:type="dxa"/>
            <w:tcBorders/>
            <w:vAlign w:val="bottom"/>
          </w:tcPr>
          <w:p>
            <w:pPr>
              <w:pStyle w:val="TableContents"/>
              <w:bidi w:val="0"/>
              <w:spacing w:before="0" w:after="283"/>
              <w:jc w:val="left"/>
              <w:rPr/>
            </w:pPr>
            <w:r>
              <w:rPr/>
              <w:t>  </w:t>
            </w:r>
          </w:p>
        </w:tc>
        <w:tc>
          <w:tcPr>
            <w:tcW w:w="8740" w:type="dxa"/>
            <w:tcBorders/>
          </w:tcPr>
          <w:p>
            <w:pPr>
              <w:pStyle w:val="TableContents"/>
              <w:bidi w:val="0"/>
              <w:spacing w:before="0" w:after="283"/>
              <w:jc w:val="left"/>
              <w:rPr/>
            </w:pPr>
            <w:hyperlink w:anchor="d79008dex232.htm">
              <w:r>
                <w:rPr>
                  <w:rStyle w:val="InternetLink"/>
                </w:rPr>
                <w:t xml:space="preserve">Consent of Crowe LLP, Independent Registered Public Accounting Firm </w:t>
              </w:r>
            </w:hyperlink>
          </w:p>
        </w:tc>
      </w:tr>
      <w:tr>
        <w:trPr>
          <w:trHeight w:val="120" w:hRule="atLeast"/>
        </w:trPr>
        <w:tc>
          <w:tcPr>
            <w:tcW w:w="892" w:type="dxa"/>
            <w:tcBorders/>
            <w:vAlign w:val="center"/>
          </w:tcPr>
          <w:p>
            <w:pPr>
              <w:pStyle w:val="TableContents"/>
              <w:bidi w:val="0"/>
              <w:spacing w:before="0" w:after="283"/>
              <w:jc w:val="left"/>
              <w:rPr>
                <w:sz w:val="4"/>
                <w:szCs w:val="4"/>
              </w:rPr>
            </w:pPr>
            <w:r>
              <w:rPr>
                <w:sz w:val="4"/>
                <w:szCs w:val="4"/>
              </w:rPr>
            </w:r>
          </w:p>
        </w:tc>
        <w:tc>
          <w:tcPr>
            <w:tcW w:w="9313" w:type="dxa"/>
            <w:gridSpan w:val="2"/>
            <w:tcBorders/>
            <w:vAlign w:val="center"/>
          </w:tcPr>
          <w:p>
            <w:pPr>
              <w:pStyle w:val="TableContents"/>
              <w:bidi w:val="0"/>
              <w:spacing w:before="0" w:after="283"/>
              <w:jc w:val="left"/>
              <w:rPr>
                <w:sz w:val="4"/>
                <w:szCs w:val="4"/>
              </w:rPr>
            </w:pPr>
            <w:r>
              <w:rPr>
                <w:sz w:val="4"/>
                <w:szCs w:val="4"/>
              </w:rPr>
            </w:r>
          </w:p>
        </w:tc>
      </w:tr>
      <w:tr>
        <w:trPr/>
        <w:tc>
          <w:tcPr>
            <w:tcW w:w="892" w:type="dxa"/>
            <w:tcBorders/>
          </w:tcPr>
          <w:p>
            <w:pPr>
              <w:pStyle w:val="TableContents"/>
              <w:bidi w:val="0"/>
              <w:spacing w:before="0" w:after="283"/>
              <w:jc w:val="left"/>
              <w:rPr/>
            </w:pPr>
            <w:r>
              <w:rPr/>
              <w:t>23.3</w:t>
            </w:r>
          </w:p>
        </w:tc>
        <w:tc>
          <w:tcPr>
            <w:tcW w:w="573" w:type="dxa"/>
            <w:tcBorders/>
            <w:vAlign w:val="bottom"/>
          </w:tcPr>
          <w:p>
            <w:pPr>
              <w:pStyle w:val="TableContents"/>
              <w:bidi w:val="0"/>
              <w:spacing w:before="0" w:after="283"/>
              <w:jc w:val="left"/>
              <w:rPr/>
            </w:pPr>
            <w:r>
              <w:rPr/>
              <w:t>  </w:t>
            </w:r>
          </w:p>
        </w:tc>
        <w:tc>
          <w:tcPr>
            <w:tcW w:w="8740" w:type="dxa"/>
            <w:tcBorders/>
          </w:tcPr>
          <w:p>
            <w:pPr>
              <w:pStyle w:val="TableContents"/>
              <w:bidi w:val="0"/>
              <w:spacing w:before="0" w:after="283"/>
              <w:jc w:val="left"/>
              <w:rPr/>
            </w:pPr>
            <w:hyperlink w:anchor="d79008dex51.htm">
              <w:r>
                <w:rPr>
                  <w:rStyle w:val="InternetLink"/>
                </w:rPr>
                <w:t xml:space="preserve">Consent of O’Melveny &amp; Myers LLP (included in Exhibit 5.1 hereto). </w:t>
              </w:r>
            </w:hyperlink>
          </w:p>
        </w:tc>
      </w:tr>
      <w:tr>
        <w:trPr>
          <w:trHeight w:val="120" w:hRule="atLeast"/>
        </w:trPr>
        <w:tc>
          <w:tcPr>
            <w:tcW w:w="892" w:type="dxa"/>
            <w:tcBorders/>
            <w:vAlign w:val="center"/>
          </w:tcPr>
          <w:p>
            <w:pPr>
              <w:pStyle w:val="TableContents"/>
              <w:bidi w:val="0"/>
              <w:spacing w:before="0" w:after="283"/>
              <w:jc w:val="left"/>
              <w:rPr>
                <w:sz w:val="4"/>
                <w:szCs w:val="4"/>
              </w:rPr>
            </w:pPr>
            <w:r>
              <w:rPr>
                <w:sz w:val="4"/>
                <w:szCs w:val="4"/>
              </w:rPr>
            </w:r>
          </w:p>
        </w:tc>
        <w:tc>
          <w:tcPr>
            <w:tcW w:w="9313" w:type="dxa"/>
            <w:gridSpan w:val="2"/>
            <w:tcBorders/>
            <w:vAlign w:val="center"/>
          </w:tcPr>
          <w:p>
            <w:pPr>
              <w:pStyle w:val="TableContents"/>
              <w:bidi w:val="0"/>
              <w:spacing w:before="0" w:after="283"/>
              <w:jc w:val="left"/>
              <w:rPr>
                <w:sz w:val="4"/>
                <w:szCs w:val="4"/>
              </w:rPr>
            </w:pPr>
            <w:r>
              <w:rPr>
                <w:sz w:val="4"/>
                <w:szCs w:val="4"/>
              </w:rPr>
            </w:r>
          </w:p>
        </w:tc>
      </w:tr>
      <w:tr>
        <w:trPr/>
        <w:tc>
          <w:tcPr>
            <w:tcW w:w="892" w:type="dxa"/>
            <w:tcBorders/>
          </w:tcPr>
          <w:p>
            <w:pPr>
              <w:pStyle w:val="TableContents"/>
              <w:bidi w:val="0"/>
              <w:spacing w:before="0" w:after="283"/>
              <w:jc w:val="left"/>
              <w:rPr/>
            </w:pPr>
            <w:r>
              <w:rPr/>
              <w:t>24.1</w:t>
            </w:r>
          </w:p>
        </w:tc>
        <w:tc>
          <w:tcPr>
            <w:tcW w:w="573" w:type="dxa"/>
            <w:tcBorders/>
            <w:vAlign w:val="bottom"/>
          </w:tcPr>
          <w:p>
            <w:pPr>
              <w:pStyle w:val="TableContents"/>
              <w:bidi w:val="0"/>
              <w:spacing w:before="0" w:after="283"/>
              <w:jc w:val="left"/>
              <w:rPr/>
            </w:pPr>
            <w:r>
              <w:rPr/>
              <w:t>  </w:t>
            </w:r>
          </w:p>
        </w:tc>
        <w:tc>
          <w:tcPr>
            <w:tcW w:w="8740" w:type="dxa"/>
            <w:tcBorders/>
          </w:tcPr>
          <w:p>
            <w:pPr>
              <w:pStyle w:val="TableContents"/>
              <w:bidi w:val="0"/>
              <w:spacing w:before="0" w:after="283"/>
              <w:jc w:val="left"/>
              <w:rPr/>
            </w:pPr>
            <w:hyperlink w:anchor="sig">
              <w:r>
                <w:rPr>
                  <w:rStyle w:val="InternetLink"/>
                </w:rPr>
                <w:t xml:space="preserve">Power of Attorney (included on the signature pages to the registration statement). </w:t>
              </w:r>
            </w:hyperlink>
          </w:p>
        </w:tc>
      </w:tr>
      <w:tr>
        <w:trPr>
          <w:trHeight w:val="120" w:hRule="atLeast"/>
        </w:trPr>
        <w:tc>
          <w:tcPr>
            <w:tcW w:w="892" w:type="dxa"/>
            <w:tcBorders/>
            <w:vAlign w:val="center"/>
          </w:tcPr>
          <w:p>
            <w:pPr>
              <w:pStyle w:val="TableContents"/>
              <w:bidi w:val="0"/>
              <w:spacing w:before="0" w:after="283"/>
              <w:jc w:val="left"/>
              <w:rPr>
                <w:sz w:val="4"/>
                <w:szCs w:val="4"/>
              </w:rPr>
            </w:pPr>
            <w:r>
              <w:rPr>
                <w:sz w:val="4"/>
                <w:szCs w:val="4"/>
              </w:rPr>
            </w:r>
          </w:p>
        </w:tc>
        <w:tc>
          <w:tcPr>
            <w:tcW w:w="9313" w:type="dxa"/>
            <w:gridSpan w:val="2"/>
            <w:tcBorders/>
            <w:vAlign w:val="center"/>
          </w:tcPr>
          <w:p>
            <w:pPr>
              <w:pStyle w:val="TableContents"/>
              <w:bidi w:val="0"/>
              <w:spacing w:before="0" w:after="283"/>
              <w:jc w:val="left"/>
              <w:rPr>
                <w:sz w:val="4"/>
                <w:szCs w:val="4"/>
              </w:rPr>
            </w:pPr>
            <w:r>
              <w:rPr>
                <w:sz w:val="4"/>
                <w:szCs w:val="4"/>
              </w:rPr>
            </w:r>
          </w:p>
        </w:tc>
      </w:tr>
      <w:tr>
        <w:trPr/>
        <w:tc>
          <w:tcPr>
            <w:tcW w:w="892" w:type="dxa"/>
            <w:tcBorders/>
          </w:tcPr>
          <w:p>
            <w:pPr>
              <w:pStyle w:val="TableContents"/>
              <w:bidi w:val="0"/>
              <w:spacing w:before="0" w:after="283"/>
              <w:jc w:val="left"/>
              <w:rPr/>
            </w:pPr>
            <w:r>
              <w:rPr/>
              <w:t>25.1**</w:t>
            </w:r>
          </w:p>
        </w:tc>
        <w:tc>
          <w:tcPr>
            <w:tcW w:w="573" w:type="dxa"/>
            <w:tcBorders/>
            <w:vAlign w:val="bottom"/>
          </w:tcPr>
          <w:p>
            <w:pPr>
              <w:pStyle w:val="TableContents"/>
              <w:bidi w:val="0"/>
              <w:spacing w:before="0" w:after="283"/>
              <w:jc w:val="left"/>
              <w:rPr/>
            </w:pPr>
            <w:r>
              <w:rPr/>
              <w:t>  </w:t>
            </w:r>
          </w:p>
        </w:tc>
        <w:tc>
          <w:tcPr>
            <w:tcW w:w="8740" w:type="dxa"/>
            <w:tcBorders/>
          </w:tcPr>
          <w:p>
            <w:pPr>
              <w:pStyle w:val="TableContents"/>
              <w:bidi w:val="0"/>
              <w:spacing w:before="0" w:after="283"/>
              <w:jc w:val="left"/>
              <w:rPr/>
            </w:pPr>
            <w:r>
              <w:rPr/>
              <w:t>Statement of Eligibility of Trustee.</w:t>
            </w:r>
          </w:p>
        </w:tc>
      </w:tr>
      <w:tr>
        <w:trPr>
          <w:trHeight w:val="120" w:hRule="atLeast"/>
        </w:trPr>
        <w:tc>
          <w:tcPr>
            <w:tcW w:w="892" w:type="dxa"/>
            <w:tcBorders/>
            <w:vAlign w:val="center"/>
          </w:tcPr>
          <w:p>
            <w:pPr>
              <w:pStyle w:val="TableContents"/>
              <w:bidi w:val="0"/>
              <w:spacing w:before="0" w:after="283"/>
              <w:jc w:val="left"/>
              <w:rPr>
                <w:sz w:val="4"/>
                <w:szCs w:val="4"/>
              </w:rPr>
            </w:pPr>
            <w:r>
              <w:rPr>
                <w:sz w:val="4"/>
                <w:szCs w:val="4"/>
              </w:rPr>
            </w:r>
          </w:p>
        </w:tc>
        <w:tc>
          <w:tcPr>
            <w:tcW w:w="9313" w:type="dxa"/>
            <w:gridSpan w:val="2"/>
            <w:tcBorders/>
            <w:vAlign w:val="center"/>
          </w:tcPr>
          <w:p>
            <w:pPr>
              <w:pStyle w:val="TableContents"/>
              <w:bidi w:val="0"/>
              <w:spacing w:before="0" w:after="283"/>
              <w:jc w:val="left"/>
              <w:rPr>
                <w:sz w:val="4"/>
                <w:szCs w:val="4"/>
              </w:rPr>
            </w:pPr>
            <w:r>
              <w:rPr>
                <w:sz w:val="4"/>
                <w:szCs w:val="4"/>
              </w:rPr>
            </w:r>
          </w:p>
        </w:tc>
      </w:tr>
      <w:tr>
        <w:trPr/>
        <w:tc>
          <w:tcPr>
            <w:tcW w:w="892" w:type="dxa"/>
            <w:tcBorders/>
          </w:tcPr>
          <w:p>
            <w:pPr>
              <w:pStyle w:val="TableContents"/>
              <w:bidi w:val="0"/>
              <w:spacing w:before="0" w:after="283"/>
              <w:jc w:val="left"/>
              <w:rPr/>
            </w:pPr>
            <w:r>
              <w:rPr/>
              <w:t>107</w:t>
            </w:r>
          </w:p>
        </w:tc>
        <w:tc>
          <w:tcPr>
            <w:tcW w:w="573" w:type="dxa"/>
            <w:tcBorders/>
            <w:vAlign w:val="bottom"/>
          </w:tcPr>
          <w:p>
            <w:pPr>
              <w:pStyle w:val="TableContents"/>
              <w:bidi w:val="0"/>
              <w:spacing w:before="0" w:after="283"/>
              <w:jc w:val="left"/>
              <w:rPr/>
            </w:pPr>
            <w:r>
              <w:rPr/>
              <w:t>  </w:t>
            </w:r>
          </w:p>
        </w:tc>
        <w:tc>
          <w:tcPr>
            <w:tcW w:w="8740" w:type="dxa"/>
            <w:tcBorders/>
          </w:tcPr>
          <w:p>
            <w:pPr>
              <w:pStyle w:val="TableContents"/>
              <w:bidi w:val="0"/>
              <w:spacing w:before="0" w:after="283"/>
              <w:jc w:val="left"/>
              <w:rPr/>
            </w:pPr>
            <w:hyperlink w:anchor="d79008dexfilingfees.htm">
              <w:r>
                <w:rPr>
                  <w:rStyle w:val="InternetLink"/>
                </w:rPr>
                <w:t xml:space="preserve">Filing Fee Table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if necessary, either by amendment to this registration statement or as an exhibit to a document to be incorporated by reference in this registration statement.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in accordance with the requirements of Section 305(b)(2) of the Trust Indenture Act of 1939, as amended, and the applicable rules thereunder. </w:t>
            </w:r>
          </w:p>
        </w:tc>
      </w:tr>
    </w:tbl>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tcPr>
          <w:p>
            <w:pPr>
              <w:pStyle w:val="TableContents"/>
              <w:bidi w:val="0"/>
              <w:spacing w:before="0" w:after="283"/>
              <w:jc w:val="left"/>
              <w:rPr/>
            </w:pPr>
            <w:r>
              <w:rPr/>
              <w:t></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240" w:after="0"/>
        <w:jc w:val="left"/>
        <w:rPr>
          <w:rFonts w:ascii="Times New Roman" w:hAnsi="Times New Roman"/>
          <w:sz w:val="20"/>
        </w:rPr>
      </w:pPr>
      <w:r>
        <w:rPr>
          <w:rFonts w:ascii="Times New Roman" w:hAnsi="Times New Roman"/>
          <w:sz w:val="20"/>
        </w:rPr>
        <w:t xml:space="preserve">(a)(1) To file, during any period in which offers or sales are being made, a post-effective amendment to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 To include any prospectus required by Section 10(a)(3) of the Securities Act of 1933, as amended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Rule 424(b) if, in the aggregate, the changes in volume and price represent no more than a 20 percent change in the maximum aggregate offering price set forth in the “Calculation of Filing Fee Tables” in the effective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(a)(1)(ii) and (a)(1)(iii) of this section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as amended (“Exchange Act”), that are incorporated by reference in the registration statement, or is contained in a form of prospectus filed pursuant to Rule 424(b) that is part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(4) That, for the purpose of determining liability under the Securities Act to any purchaser: </w:t>
      </w:r>
    </w:p>
    <w:p>
      <w:pPr>
        <w:pStyle w:val="TextBody"/>
        <w:bidi w:val="0"/>
        <w:spacing w:before="240" w:after="0"/>
        <w:jc w:val="left"/>
        <w:rPr>
          <w:rFonts w:ascii="Times New Roman" w:hAnsi="Times New Roman"/>
          <w:sz w:val="20"/>
        </w:rPr>
      </w:pPr>
      <w:r>
        <w:rPr>
          <w:rFonts w:ascii="Times New Roman" w:hAnsi="Times New Roman"/>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240" w:after="0"/>
        <w:jc w:val="left"/>
        <w:rPr>
          <w:rFonts w:ascii="Times New Roman" w:hAnsi="Times New Roman"/>
          <w:sz w:val="20"/>
        </w:rPr>
      </w:pPr>
      <w:r>
        <w:rPr>
          <w:rFonts w:ascii="Times New Roman" w:hAnsi="Times New Roman"/>
          <w:sz w:val="20"/>
        </w:rPr>
        <w:t xml:space="preserve">(i) Any preliminary prospectus or prospectus of the undersigned registrant relating to the offering required to be filed pursuant to Rule 424;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Any free writing prospectus relating to the offering prepared by or on behalf of the undersigned registrant or used or referred to by the undersigned registrant; </w:t>
      </w:r>
    </w:p>
    <w:p>
      <w:pPr>
        <w:pStyle w:val="TextBody"/>
        <w:bidi w:val="0"/>
        <w:spacing w:before="240" w:after="0"/>
        <w:jc w:val="left"/>
        <w:rPr>
          <w:rFonts w:ascii="Times New Roman" w:hAnsi="Times New Roman"/>
          <w:sz w:val="20"/>
        </w:rPr>
      </w:pPr>
      <w:r>
        <w:rPr>
          <w:rFonts w:ascii="Times New Roman" w:hAnsi="Times New Roman"/>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before="240" w:after="0"/>
        <w:jc w:val="left"/>
        <w:rPr>
          <w:rFonts w:ascii="Times New Roman" w:hAnsi="Times New Roman"/>
          <w:sz w:val="20"/>
        </w:rPr>
      </w:pPr>
      <w:r>
        <w:rPr>
          <w:rFonts w:ascii="Times New Roman" w:hAnsi="Times New Roman"/>
          <w:sz w:val="20"/>
        </w:rPr>
        <w:t xml:space="preserve">(iv) Any other communication that is an offer in the offering made by the undersigned registrant to the purchaser; </w:t>
      </w:r>
    </w:p>
    <w:p>
      <w:pPr>
        <w:pStyle w:val="TextBody"/>
        <w:bidi w:val="0"/>
        <w:spacing w:before="240" w:after="0"/>
        <w:jc w:val="left"/>
        <w:rPr>
          <w:rFonts w:ascii="Times New Roman" w:hAnsi="Times New Roman"/>
          <w:sz w:val="20"/>
        </w:rPr>
      </w:pPr>
      <w:r>
        <w:rPr>
          <w:rFonts w:ascii="Times New Roman" w:hAnsi="Times New Roman"/>
          <w:sz w:val="20"/>
        </w:rPr>
        <w:t xml:space="preserve">(6)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(7)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240" w:after="0"/>
        <w:jc w:val="left"/>
        <w:rPr>
          <w:rFonts w:ascii="Times New Roman" w:hAnsi="Times New Roman"/>
          <w:sz w:val="20"/>
        </w:rPr>
      </w:pPr>
      <w:r>
        <w:rPr>
          <w:rFonts w:ascii="Times New Roman" w:hAnsi="Times New Roman"/>
          <w:sz w:val="20"/>
        </w:rPr>
        <w:t xml:space="preserve">(8) That,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w:t>
      </w:r>
    </w:p>
    <w:p>
      <w:pPr>
        <w:pStyle w:val="TextBody"/>
        <w:bidi w:val="0"/>
        <w:spacing w:before="240" w:after="0"/>
        <w:jc w:val="left"/>
        <w:rPr>
          <w:rFonts w:ascii="Times New Roman" w:hAnsi="Times New Roman"/>
          <w:sz w:val="20"/>
        </w:rPr>
      </w:pPr>
      <w:r>
        <w:rPr>
          <w:rFonts w:ascii="Times New Roman" w:hAnsi="Times New Roman"/>
          <w:sz w:val="20"/>
        </w:rPr>
        <w:t xml:space="preserve">(9) That,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 and </w:t>
      </w:r>
    </w:p>
    <w:p>
      <w:pPr>
        <w:pStyle w:val="TextBody"/>
        <w:bidi w:val="0"/>
        <w:spacing w:before="240" w:after="0"/>
        <w:jc w:val="left"/>
        <w:rPr>
          <w:rFonts w:ascii="Times New Roman" w:hAnsi="Times New Roman"/>
          <w:sz w:val="20"/>
        </w:rPr>
      </w:pPr>
      <w:r>
        <w:rPr>
          <w:rFonts w:ascii="Times New Roman" w:hAnsi="Times New Roman"/>
          <w:sz w:val="20"/>
        </w:rPr>
        <w:t xml:space="preserve">(10) To file an application for the purpose of determining the eligibility of the trustee to act under subsection (a) of Section 310 of the Trust Indenture Act of 1939 in accordance with the rules and regulations prescribed by the Securities and Exchange Commission under Section 305(b)(2) of the Trust Indenture Act of 1939.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sig"/>
      <w:bookmarkEnd w:id="29"/>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Irvine, California, on the 1st day of May,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277"/>
        <w:gridCol w:w="60"/>
        <w:gridCol w:w="3745"/>
      </w:tblGrid>
      <w:tr>
        <w:trPr/>
        <w:tc>
          <w:tcPr>
            <w:tcW w:w="27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4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ELEDON PHARMACEUTICALS, INC.</w:t>
            </w:r>
          </w:p>
        </w:tc>
      </w:tr>
      <w:tr>
        <w:trPr>
          <w:trHeight w:val="240" w:hRule="atLeast"/>
        </w:trPr>
        <w:tc>
          <w:tcPr>
            <w:tcW w:w="277" w:type="dxa"/>
            <w:tcBorders/>
            <w:vAlign w:val="center"/>
          </w:tcPr>
          <w:p>
            <w:pPr>
              <w:pStyle w:val="TableContents"/>
              <w:bidi w:val="0"/>
              <w:spacing w:before="0" w:after="283"/>
              <w:jc w:val="left"/>
              <w:rPr>
                <w:sz w:val="4"/>
                <w:szCs w:val="4"/>
              </w:rPr>
            </w:pPr>
            <w:r>
              <w:rPr>
                <w:sz w:val="4"/>
                <w:szCs w:val="4"/>
              </w:rPr>
            </w:r>
          </w:p>
        </w:tc>
        <w:tc>
          <w:tcPr>
            <w:tcW w:w="3805" w:type="dxa"/>
            <w:gridSpan w:val="2"/>
            <w:tcBorders/>
            <w:vAlign w:val="center"/>
          </w:tcPr>
          <w:p>
            <w:pPr>
              <w:pStyle w:val="TableContents"/>
              <w:bidi w:val="0"/>
              <w:spacing w:before="0" w:after="283"/>
              <w:jc w:val="left"/>
              <w:rPr>
                <w:sz w:val="4"/>
                <w:szCs w:val="4"/>
              </w:rPr>
            </w:pPr>
            <w:r>
              <w:rPr>
                <w:sz w:val="4"/>
                <w:szCs w:val="4"/>
              </w:rPr>
            </w:r>
          </w:p>
        </w:tc>
      </w:tr>
      <w:tr>
        <w:trPr/>
        <w:tc>
          <w:tcPr>
            <w:tcW w:w="277" w:type="dxa"/>
            <w:tcBorders/>
          </w:tcPr>
          <w:p>
            <w:pPr>
              <w:pStyle w:val="TableContents"/>
              <w:bidi w:val="0"/>
              <w:spacing w:before="0" w:after="283"/>
              <w:jc w:val="left"/>
              <w:rPr>
                <w:sz w:val="16"/>
              </w:rPr>
            </w:pPr>
            <w:r>
              <w:rPr>
                <w:sz w:val="16"/>
              </w:rPr>
              <w:t>By:</w:t>
            </w:r>
          </w:p>
        </w:tc>
        <w:tc>
          <w:tcPr>
            <w:tcW w:w="60" w:type="dxa"/>
            <w:tcBorders/>
            <w:vAlign w:val="bottom"/>
          </w:tcPr>
          <w:p>
            <w:pPr>
              <w:pStyle w:val="TableContents"/>
              <w:bidi w:val="0"/>
              <w:spacing w:before="0" w:after="283"/>
              <w:jc w:val="left"/>
              <w:rPr/>
            </w:pPr>
            <w:r>
              <w:rPr/>
              <w:t> </w:t>
            </w:r>
          </w:p>
        </w:tc>
        <w:tc>
          <w:tcPr>
            <w:tcW w:w="374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David-Alexandre C. Gros, M.D.</w:t>
            </w:r>
          </w:p>
        </w:tc>
      </w:tr>
      <w:tr>
        <w:trPr/>
        <w:tc>
          <w:tcPr>
            <w:tcW w:w="27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45" w:type="dxa"/>
            <w:tcBorders/>
            <w:vAlign w:val="bottom"/>
          </w:tcPr>
          <w:p>
            <w:pPr>
              <w:pStyle w:val="TableContents"/>
              <w:bidi w:val="0"/>
              <w:spacing w:before="0" w:after="283"/>
              <w:jc w:val="left"/>
              <w:rPr/>
            </w:pPr>
            <w:r>
              <w:rPr/>
              <w:t>David-Alexandre C. Gros, M.D.</w:t>
            </w:r>
          </w:p>
        </w:tc>
      </w:tr>
      <w:tr>
        <w:trPr/>
        <w:tc>
          <w:tcPr>
            <w:tcW w:w="27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45" w:type="dxa"/>
            <w:tcBorders/>
            <w:vAlign w:val="bottom"/>
          </w:tcPr>
          <w:p>
            <w:pPr>
              <w:pStyle w:val="TableContents"/>
              <w:bidi w:val="0"/>
              <w:spacing w:before="0" w:after="283"/>
              <w:jc w:val="left"/>
              <w:rPr/>
            </w:pPr>
            <w:r>
              <w:rPr/>
              <w:t>Chief Executive Officer and Director</w:t>
              <w:br/>
              <w:t>(Principal Executive Officer)</w:t>
            </w:r>
          </w:p>
        </w:tc>
      </w:tr>
    </w:tbl>
    <w:p>
      <w:pPr>
        <w:pStyle w:val="TextBody"/>
        <w:bidi w:val="0"/>
        <w:spacing w:before="480" w:after="0"/>
        <w:jc w:val="center"/>
        <w:rPr>
          <w:rFonts w:ascii="Times New Roman" w:hAnsi="Times New Roman"/>
          <w:sz w:val="20"/>
        </w:rPr>
      </w:pPr>
      <w:r>
        <w:rPr>
          <w:rFonts w:ascii="Times New Roman" w:hAnsi="Times New Roman"/>
          <w:sz w:val="20"/>
        </w:rPr>
        <w:t xml:space="preserve">POWER OF ATTORNEY AND 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each of whom also constitutes and appoints David-Alexandre C. Gros, M.D. and Paul Little, and each of them singly, his or her true and lawful attorney-in-fact and agent, for him or her, with full power of substitution and resubstitution, for him or her and in his or her name, place and stead, in any and all capacities, to sign any and all amendments to this registration statement, including any and all post-effective amendments and amendments thereto, and any registration statement relating to the same offering as this registration statement that is to be effective upon filing pursuant to Rule 462(b) under the Securities Act of 1933, and to file the same and all exhibits thereto and any other documents in connection therewith with the Securities and Exchange Commission, granting unto each attorney-in-fact and agent full power and authority to do and perform each and every act and thing requisite and necessary to be done, as fully to all intents and purposes as he might or could do in person, hereby ratifying and confirming all that each attorney-in-fact and agent or his or her substitute or substitutes may lawfully do or cause to be done by virtue hereof. Pursuant to the requirements of the Securities Act of 1933, as amended, this Registration Statement and Power of Attorney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225"/>
        <w:gridCol w:w="120"/>
        <w:gridCol w:w="3861"/>
        <w:gridCol w:w="186"/>
        <w:gridCol w:w="1813"/>
      </w:tblGrid>
      <w:tr>
        <w:trPr/>
        <w:tc>
          <w:tcPr>
            <w:tcW w:w="42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861"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r>
      <w:tr>
        <w:trPr/>
        <w:tc>
          <w:tcPr>
            <w:tcW w:w="4225" w:type="dxa"/>
            <w:tcBorders/>
            <w:vAlign w:val="bottom"/>
          </w:tcPr>
          <w:p>
            <w:pPr>
              <w:pStyle w:val="TableContents"/>
              <w:bidi w:val="0"/>
              <w:spacing w:before="0" w:after="283"/>
              <w:jc w:val="center"/>
              <w:rPr>
                <w:b/>
              </w:rPr>
            </w:pPr>
            <w:r>
              <w:rPr>
                <w:b/>
              </w:rPr>
              <w:t>Name</w:t>
            </w:r>
          </w:p>
        </w:tc>
        <w:tc>
          <w:tcPr>
            <w:tcW w:w="120" w:type="dxa"/>
            <w:tcBorders/>
            <w:vAlign w:val="bottom"/>
          </w:tcPr>
          <w:p>
            <w:pPr>
              <w:pStyle w:val="TableContents"/>
              <w:bidi w:val="0"/>
              <w:spacing w:before="0" w:after="283"/>
              <w:jc w:val="left"/>
              <w:rPr/>
            </w:pPr>
            <w:r>
              <w:rPr/>
              <w:t>  </w:t>
            </w:r>
          </w:p>
        </w:tc>
        <w:tc>
          <w:tcPr>
            <w:tcW w:w="3861" w:type="dxa"/>
            <w:tcBorders/>
            <w:vAlign w:val="bottom"/>
          </w:tcPr>
          <w:p>
            <w:pPr>
              <w:pStyle w:val="TableContents"/>
              <w:bidi w:val="0"/>
              <w:spacing w:before="0" w:after="283"/>
              <w:jc w:val="center"/>
              <w:rPr>
                <w:b/>
              </w:rPr>
            </w:pPr>
            <w:r>
              <w:rPr>
                <w:b/>
              </w:rPr>
              <w:t>Title</w:t>
            </w:r>
          </w:p>
        </w:tc>
        <w:tc>
          <w:tcPr>
            <w:tcW w:w="186" w:type="dxa"/>
            <w:tcBorders/>
            <w:vAlign w:val="bottom"/>
          </w:tcPr>
          <w:p>
            <w:pPr>
              <w:pStyle w:val="TableContents"/>
              <w:bidi w:val="0"/>
              <w:spacing w:before="0" w:after="283"/>
              <w:jc w:val="left"/>
              <w:rPr/>
            </w:pPr>
            <w:r>
              <w:rPr/>
              <w:t> </w:t>
            </w:r>
          </w:p>
        </w:tc>
        <w:tc>
          <w:tcPr>
            <w:tcW w:w="1813" w:type="dxa"/>
            <w:tcBorders/>
            <w:vAlign w:val="bottom"/>
          </w:tcPr>
          <w:p>
            <w:pPr>
              <w:pStyle w:val="TableContents"/>
              <w:bidi w:val="0"/>
              <w:spacing w:before="0" w:after="283"/>
              <w:jc w:val="center"/>
              <w:rPr>
                <w:b/>
              </w:rPr>
            </w:pPr>
            <w:r>
              <w:rPr>
                <w:b/>
              </w:rPr>
              <w:t>Date</w:t>
            </w:r>
          </w:p>
        </w:tc>
      </w:tr>
      <w:tr>
        <w:trPr>
          <w:trHeight w:val="240" w:hRule="atLeast"/>
        </w:trPr>
        <w:tc>
          <w:tcPr>
            <w:tcW w:w="4225" w:type="dxa"/>
            <w:tcBorders/>
            <w:vAlign w:val="center"/>
          </w:tcPr>
          <w:p>
            <w:pPr>
              <w:pStyle w:val="TableContents"/>
              <w:bidi w:val="0"/>
              <w:spacing w:before="0" w:after="283"/>
              <w:jc w:val="left"/>
              <w:rPr>
                <w:sz w:val="4"/>
                <w:szCs w:val="4"/>
              </w:rPr>
            </w:pPr>
            <w:r>
              <w:rPr>
                <w:sz w:val="4"/>
                <w:szCs w:val="4"/>
              </w:rPr>
            </w:r>
          </w:p>
        </w:tc>
        <w:tc>
          <w:tcPr>
            <w:tcW w:w="3981" w:type="dxa"/>
            <w:gridSpan w:val="2"/>
            <w:tcBorders/>
            <w:vAlign w:val="center"/>
          </w:tcPr>
          <w:p>
            <w:pPr>
              <w:pStyle w:val="TableContents"/>
              <w:bidi w:val="0"/>
              <w:spacing w:before="0" w:after="283"/>
              <w:jc w:val="left"/>
              <w:rPr>
                <w:sz w:val="4"/>
                <w:szCs w:val="4"/>
              </w:rPr>
            </w:pPr>
            <w:r>
              <w:rPr>
                <w:sz w:val="4"/>
                <w:szCs w:val="4"/>
              </w:rPr>
            </w:r>
          </w:p>
        </w:tc>
        <w:tc>
          <w:tcPr>
            <w:tcW w:w="1999" w:type="dxa"/>
            <w:gridSpan w:val="2"/>
            <w:tcBorders/>
            <w:vAlign w:val="center"/>
          </w:tcPr>
          <w:p>
            <w:pPr>
              <w:pStyle w:val="TableContents"/>
              <w:bidi w:val="0"/>
              <w:spacing w:before="0" w:after="283"/>
              <w:jc w:val="left"/>
              <w:rPr>
                <w:sz w:val="4"/>
                <w:szCs w:val="4"/>
              </w:rPr>
            </w:pPr>
            <w:r>
              <w:rPr>
                <w:sz w:val="4"/>
                <w:szCs w:val="4"/>
              </w:rPr>
            </w:r>
          </w:p>
        </w:tc>
      </w:tr>
      <w:tr>
        <w:trPr/>
        <w:tc>
          <w:tcPr>
            <w:tcW w:w="422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David-Alexandre C. Gros, M.D.</w:t>
            </w:r>
          </w:p>
          <w:p>
            <w:pPr>
              <w:pStyle w:val="TableContents"/>
              <w:bidi w:val="0"/>
              <w:spacing w:before="0" w:after="20"/>
              <w:jc w:val="center"/>
              <w:rPr>
                <w:rFonts w:ascii="Times New Roman" w:hAnsi="Times New Roman"/>
                <w:sz w:val="20"/>
              </w:rPr>
            </w:pPr>
            <w:r>
              <w:rPr>
                <w:rFonts w:ascii="Times New Roman" w:hAnsi="Times New Roman"/>
                <w:sz w:val="20"/>
              </w:rPr>
              <w:t>David-Alexandre C. Gros, M.D.</w:t>
            </w:r>
          </w:p>
        </w:tc>
        <w:tc>
          <w:tcPr>
            <w:tcW w:w="120" w:type="dxa"/>
            <w:tcBorders/>
            <w:vAlign w:val="bottom"/>
          </w:tcPr>
          <w:p>
            <w:pPr>
              <w:pStyle w:val="TableContents"/>
              <w:bidi w:val="0"/>
              <w:spacing w:before="0" w:after="283"/>
              <w:jc w:val="left"/>
              <w:rPr/>
            </w:pPr>
            <w:r>
              <w:rPr/>
              <w:t>  </w:t>
            </w:r>
          </w:p>
        </w:tc>
        <w:tc>
          <w:tcPr>
            <w:tcW w:w="3861" w:type="dxa"/>
            <w:tcBorders/>
          </w:tcPr>
          <w:p>
            <w:pPr>
              <w:pStyle w:val="TableContents"/>
              <w:bidi w:val="0"/>
              <w:spacing w:before="0" w:after="0"/>
              <w:jc w:val="center"/>
              <w:rPr>
                <w:rFonts w:ascii="Times New Roman" w:hAnsi="Times New Roman"/>
                <w:sz w:val="20"/>
              </w:rPr>
            </w:pPr>
            <w:r>
              <w:rPr>
                <w:rFonts w:ascii="Times New Roman" w:hAnsi="Times New Roman"/>
                <w:sz w:val="20"/>
              </w:rPr>
              <w:t>Chief Executive Officer and Director</w:t>
              <w:br/>
              <w:t>(Principal Executive Officer)</w:t>
            </w:r>
          </w:p>
        </w:tc>
        <w:tc>
          <w:tcPr>
            <w:tcW w:w="186" w:type="dxa"/>
            <w:tcBorders/>
            <w:vAlign w:val="bottom"/>
          </w:tcPr>
          <w:p>
            <w:pPr>
              <w:pStyle w:val="TableContents"/>
              <w:bidi w:val="0"/>
              <w:spacing w:before="0" w:after="283"/>
              <w:jc w:val="left"/>
              <w:rPr/>
            </w:pPr>
            <w:r>
              <w:rPr/>
              <w:t> </w:t>
            </w:r>
          </w:p>
        </w:tc>
        <w:tc>
          <w:tcPr>
            <w:tcW w:w="1813" w:type="dxa"/>
            <w:tcBorders/>
          </w:tcPr>
          <w:p>
            <w:pPr>
              <w:pStyle w:val="TableContents"/>
              <w:bidi w:val="0"/>
              <w:spacing w:before="0" w:after="283"/>
              <w:jc w:val="center"/>
              <w:rPr/>
            </w:pPr>
            <w:r>
              <w:rPr/>
              <w:t>May 1, 2026</w:t>
            </w:r>
          </w:p>
        </w:tc>
      </w:tr>
      <w:tr>
        <w:trPr>
          <w:trHeight w:val="240" w:hRule="atLeast"/>
        </w:trPr>
        <w:tc>
          <w:tcPr>
            <w:tcW w:w="4225" w:type="dxa"/>
            <w:tcBorders/>
            <w:vAlign w:val="center"/>
          </w:tcPr>
          <w:p>
            <w:pPr>
              <w:pStyle w:val="TableContents"/>
              <w:bidi w:val="0"/>
              <w:spacing w:before="0" w:after="283"/>
              <w:jc w:val="left"/>
              <w:rPr>
                <w:sz w:val="4"/>
                <w:szCs w:val="4"/>
              </w:rPr>
            </w:pPr>
            <w:r>
              <w:rPr>
                <w:sz w:val="4"/>
                <w:szCs w:val="4"/>
              </w:rPr>
            </w:r>
          </w:p>
        </w:tc>
        <w:tc>
          <w:tcPr>
            <w:tcW w:w="3981" w:type="dxa"/>
            <w:gridSpan w:val="2"/>
            <w:tcBorders/>
            <w:vAlign w:val="center"/>
          </w:tcPr>
          <w:p>
            <w:pPr>
              <w:pStyle w:val="TableContents"/>
              <w:bidi w:val="0"/>
              <w:spacing w:before="0" w:after="283"/>
              <w:jc w:val="left"/>
              <w:rPr>
                <w:sz w:val="4"/>
                <w:szCs w:val="4"/>
              </w:rPr>
            </w:pPr>
            <w:r>
              <w:rPr>
                <w:sz w:val="4"/>
                <w:szCs w:val="4"/>
              </w:rPr>
            </w:r>
          </w:p>
        </w:tc>
        <w:tc>
          <w:tcPr>
            <w:tcW w:w="1999" w:type="dxa"/>
            <w:gridSpan w:val="2"/>
            <w:tcBorders/>
            <w:vAlign w:val="center"/>
          </w:tcPr>
          <w:p>
            <w:pPr>
              <w:pStyle w:val="TableContents"/>
              <w:bidi w:val="0"/>
              <w:spacing w:before="0" w:after="283"/>
              <w:jc w:val="left"/>
              <w:rPr>
                <w:sz w:val="4"/>
                <w:szCs w:val="4"/>
              </w:rPr>
            </w:pPr>
            <w:r>
              <w:rPr>
                <w:sz w:val="4"/>
                <w:szCs w:val="4"/>
              </w:rPr>
            </w:r>
          </w:p>
        </w:tc>
      </w:tr>
      <w:tr>
        <w:trPr/>
        <w:tc>
          <w:tcPr>
            <w:tcW w:w="422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Paul Little</w:t>
            </w:r>
          </w:p>
          <w:p>
            <w:pPr>
              <w:pStyle w:val="TableContents"/>
              <w:bidi w:val="0"/>
              <w:spacing w:before="0" w:after="20"/>
              <w:jc w:val="center"/>
              <w:rPr>
                <w:rFonts w:ascii="Times New Roman" w:hAnsi="Times New Roman"/>
                <w:sz w:val="20"/>
              </w:rPr>
            </w:pPr>
            <w:r>
              <w:rPr>
                <w:rFonts w:ascii="Times New Roman" w:hAnsi="Times New Roman"/>
                <w:sz w:val="20"/>
              </w:rPr>
              <w:t>Paul Little</w:t>
            </w:r>
          </w:p>
        </w:tc>
        <w:tc>
          <w:tcPr>
            <w:tcW w:w="120" w:type="dxa"/>
            <w:tcBorders/>
            <w:vAlign w:val="bottom"/>
          </w:tcPr>
          <w:p>
            <w:pPr>
              <w:pStyle w:val="TableContents"/>
              <w:bidi w:val="0"/>
              <w:spacing w:before="0" w:after="283"/>
              <w:jc w:val="left"/>
              <w:rPr/>
            </w:pPr>
            <w:r>
              <w:rPr/>
              <w:t>  </w:t>
            </w:r>
          </w:p>
        </w:tc>
        <w:tc>
          <w:tcPr>
            <w:tcW w:w="3861"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 (Principal Financial Officer)</w:t>
            </w:r>
          </w:p>
        </w:tc>
        <w:tc>
          <w:tcPr>
            <w:tcW w:w="186" w:type="dxa"/>
            <w:tcBorders/>
            <w:vAlign w:val="bottom"/>
          </w:tcPr>
          <w:p>
            <w:pPr>
              <w:pStyle w:val="TableContents"/>
              <w:bidi w:val="0"/>
              <w:spacing w:before="0" w:after="283"/>
              <w:jc w:val="left"/>
              <w:rPr/>
            </w:pPr>
            <w:r>
              <w:rPr/>
              <w:t> </w:t>
            </w:r>
          </w:p>
        </w:tc>
        <w:tc>
          <w:tcPr>
            <w:tcW w:w="1813" w:type="dxa"/>
            <w:tcBorders/>
          </w:tcPr>
          <w:p>
            <w:pPr>
              <w:pStyle w:val="TableContents"/>
              <w:bidi w:val="0"/>
              <w:spacing w:before="0" w:after="283"/>
              <w:jc w:val="center"/>
              <w:rPr/>
            </w:pPr>
            <w:r>
              <w:rPr/>
              <w:t>May 1, 2026</w:t>
            </w:r>
          </w:p>
        </w:tc>
      </w:tr>
      <w:tr>
        <w:trPr>
          <w:trHeight w:val="240" w:hRule="atLeast"/>
        </w:trPr>
        <w:tc>
          <w:tcPr>
            <w:tcW w:w="4225" w:type="dxa"/>
            <w:tcBorders/>
            <w:vAlign w:val="center"/>
          </w:tcPr>
          <w:p>
            <w:pPr>
              <w:pStyle w:val="TableContents"/>
              <w:bidi w:val="0"/>
              <w:spacing w:before="0" w:after="283"/>
              <w:jc w:val="left"/>
              <w:rPr>
                <w:sz w:val="4"/>
                <w:szCs w:val="4"/>
              </w:rPr>
            </w:pPr>
            <w:r>
              <w:rPr>
                <w:sz w:val="4"/>
                <w:szCs w:val="4"/>
              </w:rPr>
            </w:r>
          </w:p>
        </w:tc>
        <w:tc>
          <w:tcPr>
            <w:tcW w:w="3981" w:type="dxa"/>
            <w:gridSpan w:val="2"/>
            <w:tcBorders/>
            <w:vAlign w:val="center"/>
          </w:tcPr>
          <w:p>
            <w:pPr>
              <w:pStyle w:val="TableContents"/>
              <w:bidi w:val="0"/>
              <w:spacing w:before="0" w:after="283"/>
              <w:jc w:val="left"/>
              <w:rPr>
                <w:sz w:val="4"/>
                <w:szCs w:val="4"/>
              </w:rPr>
            </w:pPr>
            <w:r>
              <w:rPr>
                <w:sz w:val="4"/>
                <w:szCs w:val="4"/>
              </w:rPr>
            </w:r>
          </w:p>
        </w:tc>
        <w:tc>
          <w:tcPr>
            <w:tcW w:w="1999" w:type="dxa"/>
            <w:gridSpan w:val="2"/>
            <w:tcBorders/>
            <w:vAlign w:val="center"/>
          </w:tcPr>
          <w:p>
            <w:pPr>
              <w:pStyle w:val="TableContents"/>
              <w:bidi w:val="0"/>
              <w:spacing w:before="0" w:after="283"/>
              <w:jc w:val="left"/>
              <w:rPr>
                <w:sz w:val="4"/>
                <w:szCs w:val="4"/>
              </w:rPr>
            </w:pPr>
            <w:r>
              <w:rPr>
                <w:sz w:val="4"/>
                <w:szCs w:val="4"/>
              </w:rPr>
            </w:r>
          </w:p>
        </w:tc>
      </w:tr>
      <w:tr>
        <w:trPr/>
        <w:tc>
          <w:tcPr>
            <w:tcW w:w="422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Keith A. Katkin</w:t>
            </w:r>
          </w:p>
          <w:p>
            <w:pPr>
              <w:pStyle w:val="TableContents"/>
              <w:bidi w:val="0"/>
              <w:spacing w:before="0" w:after="20"/>
              <w:jc w:val="center"/>
              <w:rPr>
                <w:rFonts w:ascii="Times New Roman" w:hAnsi="Times New Roman"/>
                <w:sz w:val="20"/>
              </w:rPr>
            </w:pPr>
            <w:r>
              <w:rPr>
                <w:rFonts w:ascii="Times New Roman" w:hAnsi="Times New Roman"/>
                <w:sz w:val="20"/>
              </w:rPr>
              <w:t>Keith A. Katkin</w:t>
            </w:r>
          </w:p>
        </w:tc>
        <w:tc>
          <w:tcPr>
            <w:tcW w:w="120" w:type="dxa"/>
            <w:tcBorders/>
            <w:vAlign w:val="bottom"/>
          </w:tcPr>
          <w:p>
            <w:pPr>
              <w:pStyle w:val="TableContents"/>
              <w:bidi w:val="0"/>
              <w:spacing w:before="0" w:after="283"/>
              <w:jc w:val="left"/>
              <w:rPr/>
            </w:pPr>
            <w:r>
              <w:rPr/>
              <w:t>  </w:t>
            </w:r>
          </w:p>
        </w:tc>
        <w:tc>
          <w:tcPr>
            <w:tcW w:w="3861" w:type="dxa"/>
            <w:tcBorders/>
          </w:tcPr>
          <w:p>
            <w:pPr>
              <w:pStyle w:val="TableContents"/>
              <w:bidi w:val="0"/>
              <w:spacing w:before="0" w:after="0"/>
              <w:jc w:val="center"/>
              <w:rPr>
                <w:rFonts w:ascii="Times New Roman" w:hAnsi="Times New Roman"/>
                <w:sz w:val="20"/>
              </w:rPr>
            </w:pPr>
            <w:r>
              <w:rPr>
                <w:rFonts w:ascii="Times New Roman" w:hAnsi="Times New Roman"/>
                <w:sz w:val="20"/>
              </w:rPr>
              <w:t>Chairman of the Board of Directors</w:t>
            </w:r>
          </w:p>
        </w:tc>
        <w:tc>
          <w:tcPr>
            <w:tcW w:w="186" w:type="dxa"/>
            <w:tcBorders/>
            <w:vAlign w:val="bottom"/>
          </w:tcPr>
          <w:p>
            <w:pPr>
              <w:pStyle w:val="TableContents"/>
              <w:bidi w:val="0"/>
              <w:spacing w:before="0" w:after="283"/>
              <w:jc w:val="left"/>
              <w:rPr/>
            </w:pPr>
            <w:r>
              <w:rPr/>
              <w:t> </w:t>
            </w:r>
          </w:p>
        </w:tc>
        <w:tc>
          <w:tcPr>
            <w:tcW w:w="1813" w:type="dxa"/>
            <w:tcBorders/>
          </w:tcPr>
          <w:p>
            <w:pPr>
              <w:pStyle w:val="TableContents"/>
              <w:bidi w:val="0"/>
              <w:spacing w:before="0" w:after="283"/>
              <w:jc w:val="center"/>
              <w:rPr/>
            </w:pPr>
            <w:r>
              <w:rPr/>
              <w:t>May 1, 2026</w:t>
            </w:r>
          </w:p>
        </w:tc>
      </w:tr>
      <w:tr>
        <w:trPr>
          <w:trHeight w:val="240" w:hRule="atLeast"/>
        </w:trPr>
        <w:tc>
          <w:tcPr>
            <w:tcW w:w="4225" w:type="dxa"/>
            <w:tcBorders/>
            <w:vAlign w:val="center"/>
          </w:tcPr>
          <w:p>
            <w:pPr>
              <w:pStyle w:val="TableContents"/>
              <w:bidi w:val="0"/>
              <w:spacing w:before="0" w:after="283"/>
              <w:jc w:val="left"/>
              <w:rPr>
                <w:sz w:val="4"/>
                <w:szCs w:val="4"/>
              </w:rPr>
            </w:pPr>
            <w:r>
              <w:rPr>
                <w:sz w:val="4"/>
                <w:szCs w:val="4"/>
              </w:rPr>
            </w:r>
          </w:p>
        </w:tc>
        <w:tc>
          <w:tcPr>
            <w:tcW w:w="3981" w:type="dxa"/>
            <w:gridSpan w:val="2"/>
            <w:tcBorders/>
            <w:vAlign w:val="center"/>
          </w:tcPr>
          <w:p>
            <w:pPr>
              <w:pStyle w:val="TableContents"/>
              <w:bidi w:val="0"/>
              <w:spacing w:before="0" w:after="283"/>
              <w:jc w:val="left"/>
              <w:rPr>
                <w:sz w:val="4"/>
                <w:szCs w:val="4"/>
              </w:rPr>
            </w:pPr>
            <w:r>
              <w:rPr>
                <w:sz w:val="4"/>
                <w:szCs w:val="4"/>
              </w:rPr>
            </w:r>
          </w:p>
        </w:tc>
        <w:tc>
          <w:tcPr>
            <w:tcW w:w="1999" w:type="dxa"/>
            <w:gridSpan w:val="2"/>
            <w:tcBorders/>
            <w:vAlign w:val="center"/>
          </w:tcPr>
          <w:p>
            <w:pPr>
              <w:pStyle w:val="TableContents"/>
              <w:bidi w:val="0"/>
              <w:spacing w:before="0" w:after="283"/>
              <w:jc w:val="left"/>
              <w:rPr>
                <w:sz w:val="4"/>
                <w:szCs w:val="4"/>
              </w:rPr>
            </w:pPr>
            <w:r>
              <w:rPr>
                <w:sz w:val="4"/>
                <w:szCs w:val="4"/>
              </w:rPr>
            </w:r>
          </w:p>
        </w:tc>
      </w:tr>
      <w:tr>
        <w:trPr/>
        <w:tc>
          <w:tcPr>
            <w:tcW w:w="422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Jan Hillson, M.D.</w:t>
            </w:r>
          </w:p>
          <w:p>
            <w:pPr>
              <w:pStyle w:val="TableContents"/>
              <w:bidi w:val="0"/>
              <w:spacing w:before="0" w:after="20"/>
              <w:jc w:val="center"/>
              <w:rPr>
                <w:rFonts w:ascii="Times New Roman" w:hAnsi="Times New Roman"/>
                <w:sz w:val="20"/>
              </w:rPr>
            </w:pPr>
            <w:r>
              <w:rPr>
                <w:rFonts w:ascii="Times New Roman" w:hAnsi="Times New Roman"/>
                <w:sz w:val="20"/>
              </w:rPr>
              <w:t>Jan Hillson, M.D.</w:t>
            </w:r>
          </w:p>
        </w:tc>
        <w:tc>
          <w:tcPr>
            <w:tcW w:w="120" w:type="dxa"/>
            <w:tcBorders/>
            <w:vAlign w:val="bottom"/>
          </w:tcPr>
          <w:p>
            <w:pPr>
              <w:pStyle w:val="TableContents"/>
              <w:bidi w:val="0"/>
              <w:spacing w:before="0" w:after="283"/>
              <w:jc w:val="left"/>
              <w:rPr/>
            </w:pPr>
            <w:r>
              <w:rPr/>
              <w:t>  </w:t>
            </w:r>
          </w:p>
        </w:tc>
        <w:tc>
          <w:tcPr>
            <w:tcW w:w="3861"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86" w:type="dxa"/>
            <w:tcBorders/>
            <w:vAlign w:val="bottom"/>
          </w:tcPr>
          <w:p>
            <w:pPr>
              <w:pStyle w:val="TableContents"/>
              <w:bidi w:val="0"/>
              <w:spacing w:before="0" w:after="283"/>
              <w:jc w:val="left"/>
              <w:rPr/>
            </w:pPr>
            <w:r>
              <w:rPr/>
              <w:t> </w:t>
            </w:r>
          </w:p>
        </w:tc>
        <w:tc>
          <w:tcPr>
            <w:tcW w:w="1813" w:type="dxa"/>
            <w:tcBorders/>
          </w:tcPr>
          <w:p>
            <w:pPr>
              <w:pStyle w:val="TableContents"/>
              <w:bidi w:val="0"/>
              <w:spacing w:before="0" w:after="283"/>
              <w:jc w:val="center"/>
              <w:rPr/>
            </w:pPr>
            <w:r>
              <w:rPr/>
              <w:t>May 1, 2026</w:t>
            </w:r>
          </w:p>
        </w:tc>
      </w:tr>
      <w:tr>
        <w:trPr>
          <w:trHeight w:val="240" w:hRule="atLeast"/>
        </w:trPr>
        <w:tc>
          <w:tcPr>
            <w:tcW w:w="4225" w:type="dxa"/>
            <w:tcBorders/>
            <w:vAlign w:val="center"/>
          </w:tcPr>
          <w:p>
            <w:pPr>
              <w:pStyle w:val="TableContents"/>
              <w:bidi w:val="0"/>
              <w:spacing w:before="0" w:after="283"/>
              <w:jc w:val="left"/>
              <w:rPr>
                <w:sz w:val="4"/>
                <w:szCs w:val="4"/>
              </w:rPr>
            </w:pPr>
            <w:r>
              <w:rPr>
                <w:sz w:val="4"/>
                <w:szCs w:val="4"/>
              </w:rPr>
            </w:r>
          </w:p>
        </w:tc>
        <w:tc>
          <w:tcPr>
            <w:tcW w:w="3981" w:type="dxa"/>
            <w:gridSpan w:val="2"/>
            <w:tcBorders/>
            <w:vAlign w:val="center"/>
          </w:tcPr>
          <w:p>
            <w:pPr>
              <w:pStyle w:val="TableContents"/>
              <w:bidi w:val="0"/>
              <w:spacing w:before="0" w:after="283"/>
              <w:jc w:val="left"/>
              <w:rPr>
                <w:sz w:val="4"/>
                <w:szCs w:val="4"/>
              </w:rPr>
            </w:pPr>
            <w:r>
              <w:rPr>
                <w:sz w:val="4"/>
                <w:szCs w:val="4"/>
              </w:rPr>
            </w:r>
          </w:p>
        </w:tc>
        <w:tc>
          <w:tcPr>
            <w:tcW w:w="1999" w:type="dxa"/>
            <w:gridSpan w:val="2"/>
            <w:tcBorders/>
            <w:vAlign w:val="center"/>
          </w:tcPr>
          <w:p>
            <w:pPr>
              <w:pStyle w:val="TableContents"/>
              <w:bidi w:val="0"/>
              <w:spacing w:before="0" w:after="283"/>
              <w:jc w:val="left"/>
              <w:rPr>
                <w:sz w:val="4"/>
                <w:szCs w:val="4"/>
              </w:rPr>
            </w:pPr>
            <w:r>
              <w:rPr>
                <w:sz w:val="4"/>
                <w:szCs w:val="4"/>
              </w:rPr>
            </w:r>
          </w:p>
        </w:tc>
      </w:tr>
      <w:tr>
        <w:trPr/>
        <w:tc>
          <w:tcPr>
            <w:tcW w:w="422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Allan D. Kirk, M.D., Ph.D.</w:t>
            </w:r>
          </w:p>
          <w:p>
            <w:pPr>
              <w:pStyle w:val="TableContents"/>
              <w:bidi w:val="0"/>
              <w:spacing w:before="0" w:after="20"/>
              <w:jc w:val="center"/>
              <w:rPr>
                <w:rFonts w:ascii="Times New Roman" w:hAnsi="Times New Roman"/>
                <w:sz w:val="20"/>
              </w:rPr>
            </w:pPr>
            <w:r>
              <w:rPr>
                <w:rFonts w:ascii="Times New Roman" w:hAnsi="Times New Roman"/>
                <w:sz w:val="20"/>
              </w:rPr>
              <w:t>Allan D. Kirk, M.D., Ph.D.</w:t>
            </w:r>
          </w:p>
        </w:tc>
        <w:tc>
          <w:tcPr>
            <w:tcW w:w="120" w:type="dxa"/>
            <w:tcBorders/>
            <w:vAlign w:val="bottom"/>
          </w:tcPr>
          <w:p>
            <w:pPr>
              <w:pStyle w:val="TableContents"/>
              <w:bidi w:val="0"/>
              <w:spacing w:before="0" w:after="283"/>
              <w:jc w:val="left"/>
              <w:rPr/>
            </w:pPr>
            <w:r>
              <w:rPr/>
              <w:t>  </w:t>
            </w:r>
          </w:p>
        </w:tc>
        <w:tc>
          <w:tcPr>
            <w:tcW w:w="3861"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86" w:type="dxa"/>
            <w:tcBorders/>
            <w:vAlign w:val="bottom"/>
          </w:tcPr>
          <w:p>
            <w:pPr>
              <w:pStyle w:val="TableContents"/>
              <w:bidi w:val="0"/>
              <w:spacing w:before="0" w:after="283"/>
              <w:jc w:val="left"/>
              <w:rPr/>
            </w:pPr>
            <w:r>
              <w:rPr/>
              <w:t> </w:t>
            </w:r>
          </w:p>
        </w:tc>
        <w:tc>
          <w:tcPr>
            <w:tcW w:w="1813" w:type="dxa"/>
            <w:tcBorders/>
          </w:tcPr>
          <w:p>
            <w:pPr>
              <w:pStyle w:val="TableContents"/>
              <w:bidi w:val="0"/>
              <w:spacing w:before="0" w:after="283"/>
              <w:jc w:val="center"/>
              <w:rPr/>
            </w:pPr>
            <w:r>
              <w:rPr/>
              <w:t>May 1, 2026</w:t>
            </w:r>
          </w:p>
        </w:tc>
      </w:tr>
      <w:tr>
        <w:trPr>
          <w:trHeight w:val="240" w:hRule="atLeast"/>
        </w:trPr>
        <w:tc>
          <w:tcPr>
            <w:tcW w:w="4225" w:type="dxa"/>
            <w:tcBorders/>
            <w:vAlign w:val="center"/>
          </w:tcPr>
          <w:p>
            <w:pPr>
              <w:pStyle w:val="TableContents"/>
              <w:bidi w:val="0"/>
              <w:spacing w:before="0" w:after="283"/>
              <w:jc w:val="left"/>
              <w:rPr>
                <w:sz w:val="4"/>
                <w:szCs w:val="4"/>
              </w:rPr>
            </w:pPr>
            <w:r>
              <w:rPr>
                <w:sz w:val="4"/>
                <w:szCs w:val="4"/>
              </w:rPr>
            </w:r>
          </w:p>
        </w:tc>
        <w:tc>
          <w:tcPr>
            <w:tcW w:w="3981" w:type="dxa"/>
            <w:gridSpan w:val="2"/>
            <w:tcBorders/>
            <w:vAlign w:val="center"/>
          </w:tcPr>
          <w:p>
            <w:pPr>
              <w:pStyle w:val="TableContents"/>
              <w:bidi w:val="0"/>
              <w:spacing w:before="0" w:after="283"/>
              <w:jc w:val="left"/>
              <w:rPr>
                <w:sz w:val="4"/>
                <w:szCs w:val="4"/>
              </w:rPr>
            </w:pPr>
            <w:r>
              <w:rPr>
                <w:sz w:val="4"/>
                <w:szCs w:val="4"/>
              </w:rPr>
            </w:r>
          </w:p>
        </w:tc>
        <w:tc>
          <w:tcPr>
            <w:tcW w:w="1999" w:type="dxa"/>
            <w:gridSpan w:val="2"/>
            <w:tcBorders/>
            <w:vAlign w:val="center"/>
          </w:tcPr>
          <w:p>
            <w:pPr>
              <w:pStyle w:val="TableContents"/>
              <w:bidi w:val="0"/>
              <w:spacing w:before="0" w:after="283"/>
              <w:jc w:val="left"/>
              <w:rPr>
                <w:sz w:val="4"/>
                <w:szCs w:val="4"/>
              </w:rPr>
            </w:pPr>
            <w:r>
              <w:rPr>
                <w:sz w:val="4"/>
                <w:szCs w:val="4"/>
              </w:rPr>
            </w:r>
          </w:p>
        </w:tc>
      </w:tr>
      <w:tr>
        <w:trPr/>
        <w:tc>
          <w:tcPr>
            <w:tcW w:w="422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June Lee, M.D.</w:t>
            </w:r>
          </w:p>
          <w:p>
            <w:pPr>
              <w:pStyle w:val="TableContents"/>
              <w:bidi w:val="0"/>
              <w:spacing w:before="0" w:after="20"/>
              <w:jc w:val="center"/>
              <w:rPr>
                <w:rFonts w:ascii="Times New Roman" w:hAnsi="Times New Roman"/>
                <w:sz w:val="20"/>
              </w:rPr>
            </w:pPr>
            <w:r>
              <w:rPr>
                <w:rFonts w:ascii="Times New Roman" w:hAnsi="Times New Roman"/>
                <w:sz w:val="20"/>
              </w:rPr>
              <w:t>June Lee, M.D.</w:t>
            </w:r>
          </w:p>
        </w:tc>
        <w:tc>
          <w:tcPr>
            <w:tcW w:w="120" w:type="dxa"/>
            <w:tcBorders/>
            <w:vAlign w:val="bottom"/>
          </w:tcPr>
          <w:p>
            <w:pPr>
              <w:pStyle w:val="TableContents"/>
              <w:bidi w:val="0"/>
              <w:spacing w:before="0" w:after="283"/>
              <w:jc w:val="left"/>
              <w:rPr/>
            </w:pPr>
            <w:r>
              <w:rPr/>
              <w:t>  </w:t>
            </w:r>
          </w:p>
        </w:tc>
        <w:tc>
          <w:tcPr>
            <w:tcW w:w="3861"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86" w:type="dxa"/>
            <w:tcBorders/>
            <w:vAlign w:val="bottom"/>
          </w:tcPr>
          <w:p>
            <w:pPr>
              <w:pStyle w:val="TableContents"/>
              <w:bidi w:val="0"/>
              <w:spacing w:before="0" w:after="283"/>
              <w:jc w:val="left"/>
              <w:rPr/>
            </w:pPr>
            <w:r>
              <w:rPr/>
              <w:t> </w:t>
            </w:r>
          </w:p>
        </w:tc>
        <w:tc>
          <w:tcPr>
            <w:tcW w:w="1813" w:type="dxa"/>
            <w:tcBorders/>
          </w:tcPr>
          <w:p>
            <w:pPr>
              <w:pStyle w:val="TableContents"/>
              <w:bidi w:val="0"/>
              <w:spacing w:before="0" w:after="283"/>
              <w:jc w:val="center"/>
              <w:rPr/>
            </w:pPr>
            <w:r>
              <w:rPr/>
              <w:t>May 1,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463"/>
        <w:gridCol w:w="120"/>
        <w:gridCol w:w="3533"/>
        <w:gridCol w:w="203"/>
        <w:gridCol w:w="1886"/>
      </w:tblGrid>
      <w:tr>
        <w:trPr/>
        <w:tc>
          <w:tcPr>
            <w:tcW w:w="44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3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r>
      <w:tr>
        <w:trPr/>
        <w:tc>
          <w:tcPr>
            <w:tcW w:w="4463" w:type="dxa"/>
            <w:tcBorders/>
            <w:vAlign w:val="bottom"/>
          </w:tcPr>
          <w:p>
            <w:pPr>
              <w:pStyle w:val="TableContents"/>
              <w:bidi w:val="0"/>
              <w:spacing w:before="0" w:after="283"/>
              <w:jc w:val="center"/>
              <w:rPr>
                <w:b/>
              </w:rPr>
            </w:pPr>
            <w:r>
              <w:rPr>
                <w:b/>
              </w:rPr>
              <w:t>Name</w:t>
            </w:r>
          </w:p>
        </w:tc>
        <w:tc>
          <w:tcPr>
            <w:tcW w:w="120" w:type="dxa"/>
            <w:tcBorders/>
            <w:vAlign w:val="bottom"/>
          </w:tcPr>
          <w:p>
            <w:pPr>
              <w:pStyle w:val="TableContents"/>
              <w:bidi w:val="0"/>
              <w:spacing w:before="0" w:after="283"/>
              <w:jc w:val="left"/>
              <w:rPr/>
            </w:pPr>
            <w:r>
              <w:rPr/>
              <w:t>  </w:t>
            </w:r>
          </w:p>
        </w:tc>
        <w:tc>
          <w:tcPr>
            <w:tcW w:w="3533" w:type="dxa"/>
            <w:tcBorders/>
            <w:vAlign w:val="bottom"/>
          </w:tcPr>
          <w:p>
            <w:pPr>
              <w:pStyle w:val="TableContents"/>
              <w:bidi w:val="0"/>
              <w:spacing w:before="0" w:after="283"/>
              <w:jc w:val="center"/>
              <w:rPr>
                <w:b/>
              </w:rPr>
            </w:pPr>
            <w:r>
              <w:rPr>
                <w:b/>
              </w:rPr>
              <w:t>Title</w:t>
            </w:r>
          </w:p>
        </w:tc>
        <w:tc>
          <w:tcPr>
            <w:tcW w:w="203"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center"/>
              <w:rPr>
                <w:b/>
              </w:rPr>
            </w:pPr>
            <w:r>
              <w:rPr>
                <w:b/>
              </w:rPr>
              <w:t>Date</w:t>
            </w:r>
          </w:p>
        </w:tc>
      </w:tr>
      <w:tr>
        <w:trPr>
          <w:trHeight w:val="240" w:hRule="atLeast"/>
        </w:trPr>
        <w:tc>
          <w:tcPr>
            <w:tcW w:w="4463" w:type="dxa"/>
            <w:tcBorders/>
            <w:vAlign w:val="center"/>
          </w:tcPr>
          <w:p>
            <w:pPr>
              <w:pStyle w:val="TableContents"/>
              <w:bidi w:val="0"/>
              <w:spacing w:before="0" w:after="283"/>
              <w:jc w:val="left"/>
              <w:rPr>
                <w:sz w:val="4"/>
                <w:szCs w:val="4"/>
              </w:rPr>
            </w:pPr>
            <w:r>
              <w:rPr>
                <w:sz w:val="4"/>
                <w:szCs w:val="4"/>
              </w:rPr>
            </w:r>
          </w:p>
        </w:tc>
        <w:tc>
          <w:tcPr>
            <w:tcW w:w="3653" w:type="dxa"/>
            <w:gridSpan w:val="2"/>
            <w:tcBorders/>
            <w:vAlign w:val="center"/>
          </w:tcPr>
          <w:p>
            <w:pPr>
              <w:pStyle w:val="TableContents"/>
              <w:bidi w:val="0"/>
              <w:spacing w:before="0" w:after="283"/>
              <w:jc w:val="left"/>
              <w:rPr>
                <w:sz w:val="4"/>
                <w:szCs w:val="4"/>
              </w:rPr>
            </w:pPr>
            <w:r>
              <w:rPr>
                <w:sz w:val="4"/>
                <w:szCs w:val="4"/>
              </w:rPr>
            </w:r>
          </w:p>
        </w:tc>
        <w:tc>
          <w:tcPr>
            <w:tcW w:w="2089" w:type="dxa"/>
            <w:gridSpan w:val="2"/>
            <w:tcBorders/>
            <w:vAlign w:val="center"/>
          </w:tcPr>
          <w:p>
            <w:pPr>
              <w:pStyle w:val="TableContents"/>
              <w:bidi w:val="0"/>
              <w:spacing w:before="0" w:after="283"/>
              <w:jc w:val="left"/>
              <w:rPr>
                <w:sz w:val="4"/>
                <w:szCs w:val="4"/>
              </w:rPr>
            </w:pPr>
            <w:r>
              <w:rPr>
                <w:sz w:val="4"/>
                <w:szCs w:val="4"/>
              </w:rPr>
            </w:r>
          </w:p>
        </w:tc>
      </w:tr>
      <w:tr>
        <w:trPr/>
        <w:tc>
          <w:tcPr>
            <w:tcW w:w="446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John S. McBride</w:t>
            </w:r>
          </w:p>
          <w:p>
            <w:pPr>
              <w:pStyle w:val="TableContents"/>
              <w:bidi w:val="0"/>
              <w:spacing w:before="0" w:after="20"/>
              <w:jc w:val="center"/>
              <w:rPr>
                <w:rFonts w:ascii="Times New Roman" w:hAnsi="Times New Roman"/>
                <w:sz w:val="20"/>
              </w:rPr>
            </w:pPr>
            <w:r>
              <w:rPr>
                <w:rFonts w:ascii="Times New Roman" w:hAnsi="Times New Roman"/>
                <w:sz w:val="20"/>
              </w:rPr>
              <w:t>John S. McBride</w:t>
            </w:r>
          </w:p>
        </w:tc>
        <w:tc>
          <w:tcPr>
            <w:tcW w:w="120" w:type="dxa"/>
            <w:tcBorders/>
            <w:vAlign w:val="bottom"/>
          </w:tcPr>
          <w:p>
            <w:pPr>
              <w:pStyle w:val="TableContents"/>
              <w:bidi w:val="0"/>
              <w:spacing w:before="0" w:after="283"/>
              <w:jc w:val="left"/>
              <w:rPr/>
            </w:pPr>
            <w:r>
              <w:rPr/>
              <w:t>  </w:t>
            </w:r>
          </w:p>
        </w:tc>
        <w:tc>
          <w:tcPr>
            <w:tcW w:w="3533"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3" w:type="dxa"/>
            <w:tcBorders/>
            <w:vAlign w:val="bottom"/>
          </w:tcPr>
          <w:p>
            <w:pPr>
              <w:pStyle w:val="TableContents"/>
              <w:bidi w:val="0"/>
              <w:spacing w:before="0" w:after="283"/>
              <w:jc w:val="left"/>
              <w:rPr/>
            </w:pPr>
            <w:r>
              <w:rPr/>
              <w:t> </w:t>
            </w:r>
          </w:p>
        </w:tc>
        <w:tc>
          <w:tcPr>
            <w:tcW w:w="1886" w:type="dxa"/>
            <w:tcBorders/>
          </w:tcPr>
          <w:p>
            <w:pPr>
              <w:pStyle w:val="TableContents"/>
              <w:bidi w:val="0"/>
              <w:spacing w:before="0" w:after="283"/>
              <w:jc w:val="center"/>
              <w:rPr/>
            </w:pPr>
            <w:r>
              <w:rPr/>
              <w:t>May 1, 2026</w:t>
            </w:r>
          </w:p>
        </w:tc>
      </w:tr>
      <w:tr>
        <w:trPr>
          <w:trHeight w:val="240" w:hRule="atLeast"/>
        </w:trPr>
        <w:tc>
          <w:tcPr>
            <w:tcW w:w="4463" w:type="dxa"/>
            <w:tcBorders/>
            <w:vAlign w:val="center"/>
          </w:tcPr>
          <w:p>
            <w:pPr>
              <w:pStyle w:val="TableContents"/>
              <w:bidi w:val="0"/>
              <w:spacing w:before="0" w:after="283"/>
              <w:jc w:val="left"/>
              <w:rPr>
                <w:sz w:val="4"/>
                <w:szCs w:val="4"/>
              </w:rPr>
            </w:pPr>
            <w:r>
              <w:rPr>
                <w:sz w:val="4"/>
                <w:szCs w:val="4"/>
              </w:rPr>
            </w:r>
          </w:p>
        </w:tc>
        <w:tc>
          <w:tcPr>
            <w:tcW w:w="3653" w:type="dxa"/>
            <w:gridSpan w:val="2"/>
            <w:tcBorders/>
            <w:vAlign w:val="center"/>
          </w:tcPr>
          <w:p>
            <w:pPr>
              <w:pStyle w:val="TableContents"/>
              <w:bidi w:val="0"/>
              <w:spacing w:before="0" w:after="283"/>
              <w:jc w:val="left"/>
              <w:rPr>
                <w:sz w:val="4"/>
                <w:szCs w:val="4"/>
              </w:rPr>
            </w:pPr>
            <w:r>
              <w:rPr>
                <w:sz w:val="4"/>
                <w:szCs w:val="4"/>
              </w:rPr>
            </w:r>
          </w:p>
        </w:tc>
        <w:tc>
          <w:tcPr>
            <w:tcW w:w="2089" w:type="dxa"/>
            <w:gridSpan w:val="2"/>
            <w:tcBorders/>
            <w:vAlign w:val="center"/>
          </w:tcPr>
          <w:p>
            <w:pPr>
              <w:pStyle w:val="TableContents"/>
              <w:bidi w:val="0"/>
              <w:spacing w:before="0" w:after="283"/>
              <w:jc w:val="left"/>
              <w:rPr>
                <w:sz w:val="4"/>
                <w:szCs w:val="4"/>
              </w:rPr>
            </w:pPr>
            <w:r>
              <w:rPr>
                <w:sz w:val="4"/>
                <w:szCs w:val="4"/>
              </w:rPr>
            </w:r>
          </w:p>
        </w:tc>
      </w:tr>
      <w:tr>
        <w:trPr/>
        <w:tc>
          <w:tcPr>
            <w:tcW w:w="446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Steven Perrin, Ph.D.</w:t>
            </w:r>
          </w:p>
          <w:p>
            <w:pPr>
              <w:pStyle w:val="TableContents"/>
              <w:bidi w:val="0"/>
              <w:spacing w:before="0" w:after="20"/>
              <w:jc w:val="center"/>
              <w:rPr>
                <w:rFonts w:ascii="Times New Roman" w:hAnsi="Times New Roman"/>
                <w:sz w:val="20"/>
              </w:rPr>
            </w:pPr>
            <w:r>
              <w:rPr>
                <w:rFonts w:ascii="Times New Roman" w:hAnsi="Times New Roman"/>
                <w:sz w:val="20"/>
              </w:rPr>
              <w:t>Steven Perrin, Ph.D.</w:t>
            </w:r>
          </w:p>
        </w:tc>
        <w:tc>
          <w:tcPr>
            <w:tcW w:w="120" w:type="dxa"/>
            <w:tcBorders/>
            <w:vAlign w:val="bottom"/>
          </w:tcPr>
          <w:p>
            <w:pPr>
              <w:pStyle w:val="TableContents"/>
              <w:bidi w:val="0"/>
              <w:spacing w:before="0" w:after="283"/>
              <w:jc w:val="left"/>
              <w:rPr/>
            </w:pPr>
            <w:r>
              <w:rPr/>
              <w:t>  </w:t>
            </w:r>
          </w:p>
        </w:tc>
        <w:tc>
          <w:tcPr>
            <w:tcW w:w="3533" w:type="dxa"/>
            <w:tcBorders/>
          </w:tcPr>
          <w:p>
            <w:pPr>
              <w:pStyle w:val="TableContents"/>
              <w:bidi w:val="0"/>
              <w:spacing w:before="0" w:after="0"/>
              <w:jc w:val="center"/>
              <w:rPr>
                <w:rFonts w:ascii="Times New Roman" w:hAnsi="Times New Roman"/>
                <w:sz w:val="20"/>
              </w:rPr>
            </w:pPr>
            <w:r>
              <w:rPr>
                <w:rFonts w:ascii="Times New Roman" w:hAnsi="Times New Roman"/>
                <w:sz w:val="20"/>
              </w:rPr>
              <w:t>President, Chief Scientific Officer and Director</w:t>
            </w:r>
          </w:p>
        </w:tc>
        <w:tc>
          <w:tcPr>
            <w:tcW w:w="203" w:type="dxa"/>
            <w:tcBorders/>
            <w:vAlign w:val="bottom"/>
          </w:tcPr>
          <w:p>
            <w:pPr>
              <w:pStyle w:val="TableContents"/>
              <w:bidi w:val="0"/>
              <w:spacing w:before="0" w:after="283"/>
              <w:jc w:val="left"/>
              <w:rPr/>
            </w:pPr>
            <w:r>
              <w:rPr/>
              <w:t> </w:t>
            </w:r>
          </w:p>
        </w:tc>
        <w:tc>
          <w:tcPr>
            <w:tcW w:w="1886" w:type="dxa"/>
            <w:tcBorders/>
          </w:tcPr>
          <w:p>
            <w:pPr>
              <w:pStyle w:val="TableContents"/>
              <w:bidi w:val="0"/>
              <w:spacing w:before="0" w:after="283"/>
              <w:jc w:val="center"/>
              <w:rPr/>
            </w:pPr>
            <w:r>
              <w:rPr/>
              <w:t>May 1, 2026</w:t>
            </w:r>
          </w:p>
        </w:tc>
      </w:tr>
      <w:tr>
        <w:trPr>
          <w:trHeight w:val="240" w:hRule="atLeast"/>
        </w:trPr>
        <w:tc>
          <w:tcPr>
            <w:tcW w:w="4463" w:type="dxa"/>
            <w:tcBorders/>
            <w:vAlign w:val="center"/>
          </w:tcPr>
          <w:p>
            <w:pPr>
              <w:pStyle w:val="TableContents"/>
              <w:bidi w:val="0"/>
              <w:spacing w:before="0" w:after="283"/>
              <w:jc w:val="left"/>
              <w:rPr>
                <w:sz w:val="4"/>
                <w:szCs w:val="4"/>
              </w:rPr>
            </w:pPr>
            <w:r>
              <w:rPr>
                <w:sz w:val="4"/>
                <w:szCs w:val="4"/>
              </w:rPr>
            </w:r>
          </w:p>
        </w:tc>
        <w:tc>
          <w:tcPr>
            <w:tcW w:w="3653" w:type="dxa"/>
            <w:gridSpan w:val="2"/>
            <w:tcBorders/>
            <w:vAlign w:val="center"/>
          </w:tcPr>
          <w:p>
            <w:pPr>
              <w:pStyle w:val="TableContents"/>
              <w:bidi w:val="0"/>
              <w:spacing w:before="0" w:after="283"/>
              <w:jc w:val="left"/>
              <w:rPr>
                <w:sz w:val="4"/>
                <w:szCs w:val="4"/>
              </w:rPr>
            </w:pPr>
            <w:r>
              <w:rPr>
                <w:sz w:val="4"/>
                <w:szCs w:val="4"/>
              </w:rPr>
            </w:r>
          </w:p>
        </w:tc>
        <w:tc>
          <w:tcPr>
            <w:tcW w:w="2089" w:type="dxa"/>
            <w:gridSpan w:val="2"/>
            <w:tcBorders/>
            <w:vAlign w:val="center"/>
          </w:tcPr>
          <w:p>
            <w:pPr>
              <w:pStyle w:val="TableContents"/>
              <w:bidi w:val="0"/>
              <w:spacing w:before="0" w:after="283"/>
              <w:jc w:val="left"/>
              <w:rPr>
                <w:sz w:val="4"/>
                <w:szCs w:val="4"/>
              </w:rPr>
            </w:pPr>
            <w:r>
              <w:rPr>
                <w:sz w:val="4"/>
                <w:szCs w:val="4"/>
              </w:rPr>
            </w:r>
          </w:p>
        </w:tc>
      </w:tr>
      <w:tr>
        <w:trPr/>
        <w:tc>
          <w:tcPr>
            <w:tcW w:w="446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James Robinson</w:t>
            </w:r>
          </w:p>
          <w:p>
            <w:pPr>
              <w:pStyle w:val="TableContents"/>
              <w:bidi w:val="0"/>
              <w:spacing w:before="0" w:after="20"/>
              <w:jc w:val="center"/>
              <w:rPr>
                <w:rFonts w:ascii="Times New Roman" w:hAnsi="Times New Roman"/>
                <w:sz w:val="20"/>
              </w:rPr>
            </w:pPr>
            <w:r>
              <w:rPr>
                <w:rFonts w:ascii="Times New Roman" w:hAnsi="Times New Roman"/>
                <w:sz w:val="20"/>
              </w:rPr>
              <w:t>James Robinson</w:t>
            </w:r>
          </w:p>
        </w:tc>
        <w:tc>
          <w:tcPr>
            <w:tcW w:w="120" w:type="dxa"/>
            <w:tcBorders/>
            <w:vAlign w:val="bottom"/>
          </w:tcPr>
          <w:p>
            <w:pPr>
              <w:pStyle w:val="TableContents"/>
              <w:bidi w:val="0"/>
              <w:spacing w:before="0" w:after="283"/>
              <w:jc w:val="left"/>
              <w:rPr/>
            </w:pPr>
            <w:r>
              <w:rPr/>
              <w:t>  </w:t>
            </w:r>
          </w:p>
        </w:tc>
        <w:tc>
          <w:tcPr>
            <w:tcW w:w="3533"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3" w:type="dxa"/>
            <w:tcBorders/>
            <w:vAlign w:val="bottom"/>
          </w:tcPr>
          <w:p>
            <w:pPr>
              <w:pStyle w:val="TableContents"/>
              <w:bidi w:val="0"/>
              <w:spacing w:before="0" w:after="283"/>
              <w:jc w:val="left"/>
              <w:rPr/>
            </w:pPr>
            <w:r>
              <w:rPr/>
              <w:t> </w:t>
            </w:r>
          </w:p>
        </w:tc>
        <w:tc>
          <w:tcPr>
            <w:tcW w:w="1886" w:type="dxa"/>
            <w:tcBorders/>
          </w:tcPr>
          <w:p>
            <w:pPr>
              <w:pStyle w:val="TableContents"/>
              <w:bidi w:val="0"/>
              <w:spacing w:before="0" w:after="283"/>
              <w:jc w:val="center"/>
              <w:rPr/>
            </w:pPr>
            <w:r>
              <w:rPr/>
              <w:t>May 1,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p>
    <w:p>
      <w:pPr>
        <w:pStyle w:val="TextBody"/>
        <w:bidi w:val="0"/>
        <w:spacing w:before="0" w:after="0"/>
        <w:jc w:val="right"/>
        <w:rPr>
          <w:rFonts w:ascii="Times New Roman" w:hAnsi="Times New Roman"/>
          <w:b/>
          <w:sz w:val="16"/>
        </w:rPr>
      </w:pPr>
      <w:bookmarkStart w:id="30" w:name="d79008dex412.htm"/>
      <w:bookmarkStart w:id="31" w:name="ksd79008dex412"/>
      <w:bookmarkEnd w:id="30"/>
      <w:bookmarkEnd w:id="31"/>
      <w:r>
        <w:rPr>
          <w:rFonts w:ascii="Times New Roman" w:hAnsi="Times New Roman"/>
          <w:b/>
          <w:sz w:val="16"/>
        </w:rPr>
        <w:t xml:space="preserve">Exhibit 4.12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ELEDON PHARMACEUTICALS, INC. </w:t>
      </w:r>
    </w:p>
    <w:p>
      <w:pPr>
        <w:pStyle w:val="TextBody"/>
        <w:bidi w:val="0"/>
        <w:spacing w:before="24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 20 </w:t>
      </w:r>
    </w:p>
    <w:p>
      <w:pPr>
        <w:pStyle w:val="TextBody"/>
        <w:bidi w:val="0"/>
        <w:spacing w:before="240" w:after="0"/>
        <w:jc w:val="center"/>
        <w:rPr>
          <w:rFonts w:ascii="Times New Roman" w:hAnsi="Times New Roman"/>
          <w:sz w:val="20"/>
        </w:rPr>
      </w:pPr>
      <w:r>
        <w:rPr>
          <w:rFonts w:ascii="Times New Roman" w:hAnsi="Times New Roman"/>
          <w:sz w:val="20"/>
        </w:rPr>
        <w:t xml:space="preserve">[   ] </w:t>
      </w:r>
    </w:p>
    <w:p>
      <w:pPr>
        <w:pStyle w:val="TextBody"/>
        <w:bidi w:val="0"/>
        <w:spacing w:before="240" w:after="0"/>
        <w:jc w:val="center"/>
        <w:rPr>
          <w:rFonts w:ascii="Times New Roman" w:hAnsi="Times New Roman"/>
          <w:sz w:val="20"/>
        </w:rPr>
      </w:pPr>
      <w:r>
        <w:rPr>
          <w:rFonts w:ascii="Times New Roman" w:hAnsi="Times New Roman"/>
          <w:sz w:val="20"/>
        </w:rPr>
        <w:t xml:space="preserve">Trustee </w:t>
      </w:r>
    </w:p>
    <w:p>
      <w:pPr>
        <w:pStyle w:val="TextBody"/>
        <w:bidi w:val="0"/>
        <w:spacing w:before="240" w:after="0"/>
        <w:jc w:val="center"/>
        <w:rPr>
          <w:rFonts w:ascii="Times New Roman" w:hAnsi="Times New Roman"/>
          <w:b/>
          <w:sz w:val="20"/>
        </w:rPr>
      </w:pPr>
      <w:r>
        <w:rPr>
          <w:rFonts w:ascii="Times New Roman" w:hAnsi="Times New Roman"/>
          <w:b/>
          <w:sz w:val="20"/>
        </w:rPr>
        <w:t xml:space="preserve">Senior Debt Securities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16"/>
        </w:rPr>
      </w:pPr>
      <w:r>
        <w:rPr>
          <w:rFonts w:ascii="Times New Roman" w:hAnsi="Times New Roman"/>
          <w:b/>
          <w:sz w:val="16"/>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10"/>
        <w:gridCol w:w="84"/>
        <w:gridCol w:w="8123"/>
        <w:gridCol w:w="140"/>
        <w:gridCol w:w="90"/>
        <w:gridCol w:w="395"/>
        <w:gridCol w:w="63"/>
      </w:tblGrid>
      <w:tr>
        <w:trPr/>
        <w:tc>
          <w:tcPr>
            <w:tcW w:w="1310"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8123"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c>
          <w:tcPr>
            <w:tcW w:w="951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 AND INCORPORATION BY REFERENCE</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1310" w:type="dxa"/>
            <w:tcBorders/>
            <w:vAlign w:val="center"/>
          </w:tcPr>
          <w:p>
            <w:pPr>
              <w:pStyle w:val="TableContents"/>
              <w:bidi w:val="0"/>
              <w:spacing w:before="0" w:after="283"/>
              <w:jc w:val="left"/>
              <w:rPr>
                <w:sz w:val="4"/>
                <w:szCs w:val="4"/>
              </w:rPr>
            </w:pPr>
            <w:r>
              <w:rPr>
                <w:sz w:val="4"/>
                <w:szCs w:val="4"/>
              </w:rPr>
            </w:r>
          </w:p>
        </w:tc>
        <w:tc>
          <w:tcPr>
            <w:tcW w:w="8207" w:type="dxa"/>
            <w:gridSpan w:val="2"/>
            <w:tcBorders/>
            <w:vAlign w:val="center"/>
          </w:tcPr>
          <w:p>
            <w:pPr>
              <w:pStyle w:val="TableContents"/>
              <w:bidi w:val="0"/>
              <w:spacing w:before="0" w:after="283"/>
              <w:jc w:val="left"/>
              <w:rPr>
                <w:sz w:val="4"/>
                <w:szCs w:val="4"/>
              </w:rPr>
            </w:pPr>
            <w:r>
              <w:rPr>
                <w:sz w:val="4"/>
                <w:szCs w:val="4"/>
              </w:rPr>
            </w:r>
          </w:p>
        </w:tc>
        <w:tc>
          <w:tcPr>
            <w:tcW w:w="688" w:type="dxa"/>
            <w:gridSpan w:val="4"/>
            <w:tcBorders/>
            <w:vAlign w:val="center"/>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Definitions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Other Definitions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Incorporation by Reference of Trust Indenture Act</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1.4.</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Rules of Construction</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rHeight w:val="120" w:hRule="atLeast"/>
        </w:trPr>
        <w:tc>
          <w:tcPr>
            <w:tcW w:w="9517" w:type="dxa"/>
            <w:gridSpan w:val="3"/>
            <w:tcBorders/>
            <w:vAlign w:val="center"/>
          </w:tcPr>
          <w:p>
            <w:pPr>
              <w:pStyle w:val="TableContents"/>
              <w:bidi w:val="0"/>
              <w:spacing w:before="0" w:after="283"/>
              <w:jc w:val="left"/>
              <w:rPr>
                <w:sz w:val="4"/>
                <w:szCs w:val="4"/>
              </w:rPr>
            </w:pPr>
            <w:r>
              <w:rPr>
                <w:sz w:val="4"/>
                <w:szCs w:val="4"/>
              </w:rPr>
            </w:r>
          </w:p>
        </w:tc>
        <w:tc>
          <w:tcPr>
            <w:tcW w:w="688" w:type="dxa"/>
            <w:gridSpan w:val="4"/>
            <w:tcBorders/>
            <w:vAlign w:val="center"/>
          </w:tcPr>
          <w:p>
            <w:pPr>
              <w:pStyle w:val="TableContents"/>
              <w:bidi w:val="0"/>
              <w:spacing w:before="0" w:after="283"/>
              <w:jc w:val="left"/>
              <w:rPr>
                <w:sz w:val="4"/>
                <w:szCs w:val="4"/>
              </w:rPr>
            </w:pPr>
            <w:r>
              <w:rPr>
                <w:sz w:val="4"/>
                <w:szCs w:val="4"/>
              </w:rPr>
            </w:r>
          </w:p>
        </w:tc>
      </w:tr>
      <w:tr>
        <w:trPr/>
        <w:tc>
          <w:tcPr>
            <w:tcW w:w="951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THE SECURITIES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20" w:hRule="atLeast"/>
        </w:trPr>
        <w:tc>
          <w:tcPr>
            <w:tcW w:w="1310" w:type="dxa"/>
            <w:tcBorders/>
            <w:vAlign w:val="center"/>
          </w:tcPr>
          <w:p>
            <w:pPr>
              <w:pStyle w:val="TableContents"/>
              <w:bidi w:val="0"/>
              <w:spacing w:before="0" w:after="283"/>
              <w:jc w:val="left"/>
              <w:rPr>
                <w:sz w:val="4"/>
                <w:szCs w:val="4"/>
              </w:rPr>
            </w:pPr>
            <w:r>
              <w:rPr>
                <w:sz w:val="4"/>
                <w:szCs w:val="4"/>
              </w:rPr>
            </w:r>
          </w:p>
        </w:tc>
        <w:tc>
          <w:tcPr>
            <w:tcW w:w="8207" w:type="dxa"/>
            <w:gridSpan w:val="2"/>
            <w:tcBorders/>
            <w:vAlign w:val="center"/>
          </w:tcPr>
          <w:p>
            <w:pPr>
              <w:pStyle w:val="TableContents"/>
              <w:bidi w:val="0"/>
              <w:spacing w:before="0" w:after="283"/>
              <w:jc w:val="left"/>
              <w:rPr>
                <w:sz w:val="4"/>
                <w:szCs w:val="4"/>
              </w:rPr>
            </w:pPr>
            <w:r>
              <w:rPr>
                <w:sz w:val="4"/>
                <w:szCs w:val="4"/>
              </w:rPr>
            </w:r>
          </w:p>
        </w:tc>
        <w:tc>
          <w:tcPr>
            <w:tcW w:w="688" w:type="dxa"/>
            <w:gridSpan w:val="4"/>
            <w:tcBorders/>
            <w:vAlign w:val="center"/>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Issuable in Series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Establishment of Terms of Series of Securities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Denominations; Provision for Payment</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Execution and Authentication</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Registrar and Paying Agent</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2.6.</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Paying Agent to Hold Money in Trust</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2.7.</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Securityholder Lists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2.8.</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Transfer and Exchange</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2.9.</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Mutilated, Destroyed, Lost and Stolen Securities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Outstanding Securities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Treasury Securities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Temporary Securities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Cancellation</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Defaulted Interest</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Global Securities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2.16.</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CUSIP Numbers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2.17.</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Evidence of Ownership</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120" w:hRule="atLeast"/>
        </w:trPr>
        <w:tc>
          <w:tcPr>
            <w:tcW w:w="9517" w:type="dxa"/>
            <w:gridSpan w:val="3"/>
            <w:tcBorders/>
            <w:vAlign w:val="center"/>
          </w:tcPr>
          <w:p>
            <w:pPr>
              <w:pStyle w:val="TableContents"/>
              <w:bidi w:val="0"/>
              <w:spacing w:before="0" w:after="283"/>
              <w:jc w:val="left"/>
              <w:rPr>
                <w:sz w:val="4"/>
                <w:szCs w:val="4"/>
              </w:rPr>
            </w:pPr>
            <w:r>
              <w:rPr>
                <w:sz w:val="4"/>
                <w:szCs w:val="4"/>
              </w:rPr>
            </w:r>
          </w:p>
        </w:tc>
        <w:tc>
          <w:tcPr>
            <w:tcW w:w="688" w:type="dxa"/>
            <w:gridSpan w:val="4"/>
            <w:tcBorders/>
            <w:vAlign w:val="center"/>
          </w:tcPr>
          <w:p>
            <w:pPr>
              <w:pStyle w:val="TableContents"/>
              <w:bidi w:val="0"/>
              <w:spacing w:before="0" w:after="283"/>
              <w:jc w:val="left"/>
              <w:rPr>
                <w:sz w:val="4"/>
                <w:szCs w:val="4"/>
              </w:rPr>
            </w:pPr>
            <w:r>
              <w:rPr>
                <w:sz w:val="4"/>
                <w:szCs w:val="4"/>
              </w:rPr>
            </w:r>
          </w:p>
        </w:tc>
      </w:tr>
      <w:tr>
        <w:trPr/>
        <w:tc>
          <w:tcPr>
            <w:tcW w:w="951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REDEMPTION</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120" w:hRule="atLeast"/>
        </w:trPr>
        <w:tc>
          <w:tcPr>
            <w:tcW w:w="1310" w:type="dxa"/>
            <w:tcBorders/>
            <w:vAlign w:val="center"/>
          </w:tcPr>
          <w:p>
            <w:pPr>
              <w:pStyle w:val="TableContents"/>
              <w:bidi w:val="0"/>
              <w:spacing w:before="0" w:after="283"/>
              <w:jc w:val="left"/>
              <w:rPr>
                <w:sz w:val="4"/>
                <w:szCs w:val="4"/>
              </w:rPr>
            </w:pPr>
            <w:r>
              <w:rPr>
                <w:sz w:val="4"/>
                <w:szCs w:val="4"/>
              </w:rPr>
            </w:r>
          </w:p>
        </w:tc>
        <w:tc>
          <w:tcPr>
            <w:tcW w:w="8207" w:type="dxa"/>
            <w:gridSpan w:val="2"/>
            <w:tcBorders/>
            <w:vAlign w:val="center"/>
          </w:tcPr>
          <w:p>
            <w:pPr>
              <w:pStyle w:val="TableContents"/>
              <w:bidi w:val="0"/>
              <w:spacing w:before="0" w:after="283"/>
              <w:jc w:val="left"/>
              <w:rPr>
                <w:sz w:val="4"/>
                <w:szCs w:val="4"/>
              </w:rPr>
            </w:pPr>
            <w:r>
              <w:rPr>
                <w:sz w:val="4"/>
                <w:szCs w:val="4"/>
              </w:rPr>
            </w:r>
          </w:p>
        </w:tc>
        <w:tc>
          <w:tcPr>
            <w:tcW w:w="688" w:type="dxa"/>
            <w:gridSpan w:val="4"/>
            <w:tcBorders/>
            <w:vAlign w:val="center"/>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Notice to Trustee</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Selection of Securities to be Redeemed</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Notice of Redemption</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Effect of Notice of Redemption</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3.5.</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Deposit of Redemption Price</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3.6.</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Securities Redeemed in Part</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9517" w:type="dxa"/>
            <w:gridSpan w:val="3"/>
            <w:tcBorders/>
            <w:vAlign w:val="center"/>
          </w:tcPr>
          <w:p>
            <w:pPr>
              <w:pStyle w:val="TableContents"/>
              <w:bidi w:val="0"/>
              <w:spacing w:before="0" w:after="283"/>
              <w:jc w:val="left"/>
              <w:rPr>
                <w:sz w:val="4"/>
                <w:szCs w:val="4"/>
              </w:rPr>
            </w:pPr>
            <w:r>
              <w:rPr>
                <w:sz w:val="4"/>
                <w:szCs w:val="4"/>
              </w:rPr>
            </w:r>
          </w:p>
        </w:tc>
        <w:tc>
          <w:tcPr>
            <w:tcW w:w="688" w:type="dxa"/>
            <w:gridSpan w:val="4"/>
            <w:tcBorders/>
            <w:vAlign w:val="center"/>
          </w:tcPr>
          <w:p>
            <w:pPr>
              <w:pStyle w:val="TableContents"/>
              <w:bidi w:val="0"/>
              <w:spacing w:before="0" w:after="283"/>
              <w:jc w:val="left"/>
              <w:rPr>
                <w:sz w:val="4"/>
                <w:szCs w:val="4"/>
              </w:rPr>
            </w:pPr>
            <w:r>
              <w:rPr>
                <w:sz w:val="4"/>
                <w:szCs w:val="4"/>
              </w:rPr>
            </w:r>
          </w:p>
        </w:tc>
      </w:tr>
      <w:tr>
        <w:trPr/>
        <w:tc>
          <w:tcPr>
            <w:tcW w:w="951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COVENANTS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1310" w:type="dxa"/>
            <w:tcBorders/>
            <w:vAlign w:val="center"/>
          </w:tcPr>
          <w:p>
            <w:pPr>
              <w:pStyle w:val="TableContents"/>
              <w:bidi w:val="0"/>
              <w:spacing w:before="0" w:after="283"/>
              <w:jc w:val="left"/>
              <w:rPr>
                <w:sz w:val="4"/>
                <w:szCs w:val="4"/>
              </w:rPr>
            </w:pPr>
            <w:r>
              <w:rPr>
                <w:sz w:val="4"/>
                <w:szCs w:val="4"/>
              </w:rPr>
            </w:r>
          </w:p>
        </w:tc>
        <w:tc>
          <w:tcPr>
            <w:tcW w:w="8207" w:type="dxa"/>
            <w:gridSpan w:val="2"/>
            <w:tcBorders/>
            <w:vAlign w:val="center"/>
          </w:tcPr>
          <w:p>
            <w:pPr>
              <w:pStyle w:val="TableContents"/>
              <w:bidi w:val="0"/>
              <w:spacing w:before="0" w:after="283"/>
              <w:jc w:val="left"/>
              <w:rPr>
                <w:sz w:val="4"/>
                <w:szCs w:val="4"/>
              </w:rPr>
            </w:pPr>
            <w:r>
              <w:rPr>
                <w:sz w:val="4"/>
                <w:szCs w:val="4"/>
              </w:rPr>
            </w:r>
          </w:p>
        </w:tc>
        <w:tc>
          <w:tcPr>
            <w:tcW w:w="688" w:type="dxa"/>
            <w:gridSpan w:val="4"/>
            <w:tcBorders/>
            <w:vAlign w:val="center"/>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Payment of Principal and Interest</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Reports by Company</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Compliance Certificate</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Stay, Extension and Usury Laws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4.5.</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Corporate Existence</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9517" w:type="dxa"/>
            <w:gridSpan w:val="3"/>
            <w:tcBorders/>
            <w:vAlign w:val="center"/>
          </w:tcPr>
          <w:p>
            <w:pPr>
              <w:pStyle w:val="TableContents"/>
              <w:bidi w:val="0"/>
              <w:spacing w:before="0" w:after="283"/>
              <w:jc w:val="left"/>
              <w:rPr>
                <w:sz w:val="4"/>
                <w:szCs w:val="4"/>
              </w:rPr>
            </w:pPr>
            <w:r>
              <w:rPr>
                <w:sz w:val="4"/>
                <w:szCs w:val="4"/>
              </w:rPr>
            </w:r>
          </w:p>
        </w:tc>
        <w:tc>
          <w:tcPr>
            <w:tcW w:w="688" w:type="dxa"/>
            <w:gridSpan w:val="4"/>
            <w:tcBorders/>
            <w:vAlign w:val="center"/>
          </w:tcPr>
          <w:p>
            <w:pPr>
              <w:pStyle w:val="TableContents"/>
              <w:bidi w:val="0"/>
              <w:spacing w:before="0" w:after="283"/>
              <w:jc w:val="left"/>
              <w:rPr>
                <w:sz w:val="4"/>
                <w:szCs w:val="4"/>
              </w:rPr>
            </w:pPr>
            <w:r>
              <w:rPr>
                <w:sz w:val="4"/>
                <w:szCs w:val="4"/>
              </w:rPr>
            </w:r>
          </w:p>
        </w:tc>
      </w:tr>
      <w:tr>
        <w:trPr/>
        <w:tc>
          <w:tcPr>
            <w:tcW w:w="951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SUCCESSORS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1310" w:type="dxa"/>
            <w:tcBorders/>
            <w:vAlign w:val="center"/>
          </w:tcPr>
          <w:p>
            <w:pPr>
              <w:pStyle w:val="TableContents"/>
              <w:bidi w:val="0"/>
              <w:spacing w:before="0" w:after="283"/>
              <w:jc w:val="left"/>
              <w:rPr>
                <w:sz w:val="4"/>
                <w:szCs w:val="4"/>
              </w:rPr>
            </w:pPr>
            <w:r>
              <w:rPr>
                <w:sz w:val="4"/>
                <w:szCs w:val="4"/>
              </w:rPr>
            </w:r>
          </w:p>
        </w:tc>
        <w:tc>
          <w:tcPr>
            <w:tcW w:w="8207" w:type="dxa"/>
            <w:gridSpan w:val="2"/>
            <w:tcBorders/>
            <w:vAlign w:val="center"/>
          </w:tcPr>
          <w:p>
            <w:pPr>
              <w:pStyle w:val="TableContents"/>
              <w:bidi w:val="0"/>
              <w:spacing w:before="0" w:after="283"/>
              <w:jc w:val="left"/>
              <w:rPr>
                <w:sz w:val="4"/>
                <w:szCs w:val="4"/>
              </w:rPr>
            </w:pPr>
            <w:r>
              <w:rPr>
                <w:sz w:val="4"/>
                <w:szCs w:val="4"/>
              </w:rPr>
            </w:r>
          </w:p>
        </w:tc>
        <w:tc>
          <w:tcPr>
            <w:tcW w:w="688" w:type="dxa"/>
            <w:gridSpan w:val="4"/>
            <w:tcBorders/>
            <w:vAlign w:val="center"/>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Consolidation, Merger and Sale of Assets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Successor Person Substituted</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9517" w:type="dxa"/>
            <w:gridSpan w:val="3"/>
            <w:tcBorders/>
            <w:vAlign w:val="center"/>
          </w:tcPr>
          <w:p>
            <w:pPr>
              <w:pStyle w:val="TableContents"/>
              <w:bidi w:val="0"/>
              <w:spacing w:before="0" w:after="283"/>
              <w:jc w:val="left"/>
              <w:rPr>
                <w:sz w:val="4"/>
                <w:szCs w:val="4"/>
              </w:rPr>
            </w:pPr>
            <w:r>
              <w:rPr>
                <w:sz w:val="4"/>
                <w:szCs w:val="4"/>
              </w:rPr>
            </w:r>
          </w:p>
        </w:tc>
        <w:tc>
          <w:tcPr>
            <w:tcW w:w="688" w:type="dxa"/>
            <w:gridSpan w:val="4"/>
            <w:tcBorders/>
            <w:vAlign w:val="center"/>
          </w:tcPr>
          <w:p>
            <w:pPr>
              <w:pStyle w:val="TableContents"/>
              <w:bidi w:val="0"/>
              <w:spacing w:before="0" w:after="283"/>
              <w:jc w:val="left"/>
              <w:rPr>
                <w:sz w:val="4"/>
                <w:szCs w:val="4"/>
              </w:rPr>
            </w:pPr>
            <w:r>
              <w:rPr>
                <w:sz w:val="4"/>
                <w:szCs w:val="4"/>
              </w:rPr>
            </w:r>
          </w:p>
        </w:tc>
      </w:tr>
      <w:tr>
        <w:trPr/>
        <w:tc>
          <w:tcPr>
            <w:tcW w:w="951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DEFAULTS AND REMEDIES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1310" w:type="dxa"/>
            <w:tcBorders/>
            <w:vAlign w:val="center"/>
          </w:tcPr>
          <w:p>
            <w:pPr>
              <w:pStyle w:val="TableContents"/>
              <w:bidi w:val="0"/>
              <w:spacing w:before="0" w:after="283"/>
              <w:jc w:val="left"/>
              <w:rPr>
                <w:sz w:val="4"/>
                <w:szCs w:val="4"/>
              </w:rPr>
            </w:pPr>
            <w:r>
              <w:rPr>
                <w:sz w:val="4"/>
                <w:szCs w:val="4"/>
              </w:rPr>
            </w:r>
          </w:p>
        </w:tc>
        <w:tc>
          <w:tcPr>
            <w:tcW w:w="8207" w:type="dxa"/>
            <w:gridSpan w:val="2"/>
            <w:tcBorders/>
            <w:vAlign w:val="center"/>
          </w:tcPr>
          <w:p>
            <w:pPr>
              <w:pStyle w:val="TableContents"/>
              <w:bidi w:val="0"/>
              <w:spacing w:before="0" w:after="283"/>
              <w:jc w:val="left"/>
              <w:rPr>
                <w:sz w:val="4"/>
                <w:szCs w:val="4"/>
              </w:rPr>
            </w:pPr>
            <w:r>
              <w:rPr>
                <w:sz w:val="4"/>
                <w:szCs w:val="4"/>
              </w:rPr>
            </w:r>
          </w:p>
        </w:tc>
        <w:tc>
          <w:tcPr>
            <w:tcW w:w="688" w:type="dxa"/>
            <w:gridSpan w:val="4"/>
            <w:tcBorders/>
            <w:vAlign w:val="center"/>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Events of Default</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Acceleration of Maturity; Rescission and Annulment</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Collection of Indebtedness and Suits for Enforcement by Trustee</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Trustee May File Proofs of Claim</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6.5.</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Trustee May Enforce Claims Without Possession of Securities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6.6.</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Application of Money Collected</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6.7.</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Limitation on Suits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6.8.</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Unconditional Right of Holders to Receive Principal and Interest</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6.9.</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Restoration of Rights and Remedies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Rights and Remedies Cumulative</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Delay or Omission Not Waiver</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Control by Holders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6.13.</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Waiver of Past Defaults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Section 6.14.</w:t>
            </w:r>
          </w:p>
        </w:tc>
        <w:tc>
          <w:tcPr>
            <w:tcW w:w="84"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Undertaking for Costs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493"/>
        <w:gridCol w:w="95"/>
        <w:gridCol w:w="8090"/>
        <w:gridCol w:w="144"/>
        <w:gridCol w:w="60"/>
        <w:gridCol w:w="260"/>
        <w:gridCol w:w="63"/>
      </w:tblGrid>
      <w:tr>
        <w:trPr/>
        <w:tc>
          <w:tcPr>
            <w:tcW w:w="1493"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8090"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7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TRUSTEE</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120" w:hRule="atLeast"/>
        </w:trPr>
        <w:tc>
          <w:tcPr>
            <w:tcW w:w="1493" w:type="dxa"/>
            <w:tcBorders/>
            <w:vAlign w:val="center"/>
          </w:tcPr>
          <w:p>
            <w:pPr>
              <w:pStyle w:val="TableContents"/>
              <w:bidi w:val="0"/>
              <w:spacing w:before="0" w:after="283"/>
              <w:jc w:val="left"/>
              <w:rPr>
                <w:sz w:val="4"/>
                <w:szCs w:val="4"/>
              </w:rPr>
            </w:pPr>
            <w:r>
              <w:rPr>
                <w:sz w:val="4"/>
                <w:szCs w:val="4"/>
              </w:rPr>
            </w:r>
          </w:p>
        </w:tc>
        <w:tc>
          <w:tcPr>
            <w:tcW w:w="8185" w:type="dxa"/>
            <w:gridSpan w:val="2"/>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Duties of Trustee</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Rights of Trustee</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Individual Rights of Trustee</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Trustee’s Disclaimer</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Notice of Defaults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Reports by Trustee to Holders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7.7.</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Compensation and Indemnity</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7.8.</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Replacement of Trustee</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7.9.</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Successor Trustee by Merger, Etc.</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Eligibility; Disqualification</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Preferential Collection of Claims Against Company</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rHeight w:val="120" w:hRule="atLeast"/>
        </w:trPr>
        <w:tc>
          <w:tcPr>
            <w:tcW w:w="9678" w:type="dxa"/>
            <w:gridSpan w:val="3"/>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967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SATISFACTION AND DISCHARGE; DEFEASANCE</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rHeight w:val="120" w:hRule="atLeast"/>
        </w:trPr>
        <w:tc>
          <w:tcPr>
            <w:tcW w:w="1493" w:type="dxa"/>
            <w:tcBorders/>
            <w:vAlign w:val="center"/>
          </w:tcPr>
          <w:p>
            <w:pPr>
              <w:pStyle w:val="TableContents"/>
              <w:bidi w:val="0"/>
              <w:spacing w:before="0" w:after="283"/>
              <w:jc w:val="left"/>
              <w:rPr>
                <w:sz w:val="4"/>
                <w:szCs w:val="4"/>
              </w:rPr>
            </w:pPr>
            <w:r>
              <w:rPr>
                <w:sz w:val="4"/>
                <w:szCs w:val="4"/>
              </w:rPr>
            </w:r>
          </w:p>
        </w:tc>
        <w:tc>
          <w:tcPr>
            <w:tcW w:w="8185" w:type="dxa"/>
            <w:gridSpan w:val="2"/>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Satisfaction and Discharge of Indenture</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Application of Trust Funds; Indemnification</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Legal Defeasance of Securities of any Series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8.4.</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Covenant Defeasance</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8.5.</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Repayment to Company</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8.6.</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Reinstatement</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9678" w:type="dxa"/>
            <w:gridSpan w:val="3"/>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967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AMENDMENTS AND WAIVERS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1493" w:type="dxa"/>
            <w:tcBorders/>
            <w:vAlign w:val="center"/>
          </w:tcPr>
          <w:p>
            <w:pPr>
              <w:pStyle w:val="TableContents"/>
              <w:bidi w:val="0"/>
              <w:spacing w:before="0" w:after="283"/>
              <w:jc w:val="left"/>
              <w:rPr>
                <w:sz w:val="4"/>
                <w:szCs w:val="4"/>
              </w:rPr>
            </w:pPr>
            <w:r>
              <w:rPr>
                <w:sz w:val="4"/>
                <w:szCs w:val="4"/>
              </w:rPr>
            </w:r>
          </w:p>
        </w:tc>
        <w:tc>
          <w:tcPr>
            <w:tcW w:w="8185" w:type="dxa"/>
            <w:gridSpan w:val="2"/>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Without Consent of Holders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With Consent of Holders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Limitations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9.4.</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Compliance with Trust Indenture Act</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9.5.</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Revocation and Effect of Consents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9.6.</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Notation on or Exchange of Securities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9.7.</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Trustee Protected</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9678" w:type="dxa"/>
            <w:gridSpan w:val="3"/>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967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 MISCELLANEOUS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1493" w:type="dxa"/>
            <w:tcBorders/>
            <w:vAlign w:val="center"/>
          </w:tcPr>
          <w:p>
            <w:pPr>
              <w:pStyle w:val="TableContents"/>
              <w:bidi w:val="0"/>
              <w:spacing w:before="0" w:after="283"/>
              <w:jc w:val="left"/>
              <w:rPr>
                <w:sz w:val="4"/>
                <w:szCs w:val="4"/>
              </w:rPr>
            </w:pPr>
            <w:r>
              <w:rPr>
                <w:sz w:val="4"/>
                <w:szCs w:val="4"/>
              </w:rPr>
            </w:r>
          </w:p>
        </w:tc>
        <w:tc>
          <w:tcPr>
            <w:tcW w:w="8185" w:type="dxa"/>
            <w:gridSpan w:val="2"/>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Trust Indenture Act Controls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Notices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Communication by Holders with Other Holders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Certificate and Opinion as to Conditions Precedent</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Statements Required in Certificate or Opinion</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Rules by Trustee and Agents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Legal Holidays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No Recourse Against Others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Counterparts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10.10.</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Governing Law; Jury Trial Waiver</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10.11.</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No Adverse Interpretation of Other Agreements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10.12.</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Successors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10.13.</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Severability</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10.14.</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Table of Contents, Headings, Etc.</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10.15.</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Securities in a Foreign Currency</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10.16.</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Judgment Currency</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10.17.</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Force Majeure</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10.18.</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U.S.A. Patriot Act</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9678" w:type="dxa"/>
            <w:gridSpan w:val="3"/>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967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 SINKING FUNDS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1493" w:type="dxa"/>
            <w:tcBorders/>
            <w:vAlign w:val="center"/>
          </w:tcPr>
          <w:p>
            <w:pPr>
              <w:pStyle w:val="TableContents"/>
              <w:bidi w:val="0"/>
              <w:spacing w:before="0" w:after="283"/>
              <w:jc w:val="left"/>
              <w:rPr>
                <w:sz w:val="4"/>
                <w:szCs w:val="4"/>
              </w:rPr>
            </w:pPr>
            <w:r>
              <w:rPr>
                <w:sz w:val="4"/>
                <w:szCs w:val="4"/>
              </w:rPr>
            </w:r>
          </w:p>
        </w:tc>
        <w:tc>
          <w:tcPr>
            <w:tcW w:w="8185" w:type="dxa"/>
            <w:gridSpan w:val="2"/>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11.1.</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Applicability of Article</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11.2.</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Satisfaction of Sinking Fund Payments with Securities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11.3.</w:t>
            </w:r>
          </w:p>
        </w:tc>
        <w:tc>
          <w:tcPr>
            <w:tcW w:w="95" w:type="dxa"/>
            <w:tcBorders/>
            <w:vAlign w:val="bottom"/>
          </w:tcPr>
          <w:p>
            <w:pPr>
              <w:pStyle w:val="TableContents"/>
              <w:bidi w:val="0"/>
              <w:spacing w:before="0" w:after="283"/>
              <w:jc w:val="left"/>
              <w:rPr/>
            </w:pPr>
            <w:r>
              <w:rPr/>
              <w:t> </w:t>
            </w:r>
          </w:p>
        </w:tc>
        <w:tc>
          <w:tcPr>
            <w:tcW w:w="8090" w:type="dxa"/>
            <w:tcBorders/>
            <w:vAlign w:val="bottom"/>
          </w:tcPr>
          <w:p>
            <w:pPr>
              <w:pStyle w:val="TableContents"/>
              <w:bidi w:val="0"/>
              <w:spacing w:before="0" w:after="283"/>
              <w:jc w:val="left"/>
              <w:rPr/>
            </w:pPr>
            <w:r>
              <w:rPr/>
              <w:t>Redemption of Securities for Sinking Fund</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ELEDON PHARMACEUTICALS, INC. </w:t>
      </w:r>
    </w:p>
    <w:p>
      <w:pPr>
        <w:pStyle w:val="TextBody"/>
        <w:bidi w:val="0"/>
        <w:spacing w:before="240" w:after="0"/>
        <w:jc w:val="center"/>
        <w:rPr>
          <w:rFonts w:ascii="Times New Roman" w:hAnsi="Times New Roman"/>
          <w:sz w:val="20"/>
        </w:rPr>
      </w:pPr>
      <w:r>
        <w:rPr>
          <w:rFonts w:ascii="Times New Roman" w:hAnsi="Times New Roman"/>
          <w:sz w:val="20"/>
        </w:rPr>
        <w:t xml:space="preserve">Reconciliation and tie between Trust Indenture Act of 1939 and </w:t>
      </w:r>
    </w:p>
    <w:p>
      <w:pPr>
        <w:pStyle w:val="TextBody"/>
        <w:bidi w:val="0"/>
        <w:spacing w:before="0" w:after="0"/>
        <w:jc w:val="center"/>
        <w:rPr>
          <w:rFonts w:ascii="Times New Roman" w:hAnsi="Times New Roman"/>
          <w:sz w:val="20"/>
        </w:rPr>
      </w:pPr>
      <w:r>
        <w:rPr>
          <w:rFonts w:ascii="Times New Roman" w:hAnsi="Times New Roman"/>
          <w:sz w:val="20"/>
        </w:rPr>
        <w:t xml:space="preserve">Indenture, dated as of   , 20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16"/>
        <w:gridCol w:w="113"/>
        <w:gridCol w:w="6853"/>
        <w:gridCol w:w="131"/>
        <w:gridCol w:w="1492"/>
      </w:tblGrid>
      <w:tr>
        <w:trPr/>
        <w:tc>
          <w:tcPr>
            <w:tcW w:w="1616"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6853"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r>
      <w:tr>
        <w:trPr/>
        <w:tc>
          <w:tcPr>
            <w:tcW w:w="1616" w:type="dxa"/>
            <w:tcBorders/>
          </w:tcPr>
          <w:p>
            <w:pPr>
              <w:pStyle w:val="TableContents"/>
              <w:bidi w:val="0"/>
              <w:spacing w:before="0" w:after="283"/>
              <w:jc w:val="right"/>
              <w:rPr/>
            </w:pPr>
            <w:r>
              <w:rPr/>
              <w:t>§ 310(a)(1)</w:t>
            </w:r>
          </w:p>
        </w:tc>
        <w:tc>
          <w:tcPr>
            <w:tcW w:w="113" w:type="dxa"/>
            <w:tcBorders/>
            <w:vAlign w:val="bottom"/>
          </w:tcPr>
          <w:p>
            <w:pPr>
              <w:pStyle w:val="TableContents"/>
              <w:bidi w:val="0"/>
              <w:spacing w:before="0" w:after="283"/>
              <w:jc w:val="left"/>
              <w:rPr/>
            </w:pPr>
            <w:r>
              <w:rPr/>
              <w:t> </w:t>
            </w:r>
          </w:p>
        </w:tc>
        <w:tc>
          <w:tcPr>
            <w:tcW w:w="685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92" w:type="dxa"/>
            <w:tcBorders/>
          </w:tcPr>
          <w:p>
            <w:pPr>
              <w:pStyle w:val="TableContents"/>
              <w:bidi w:val="0"/>
              <w:spacing w:before="0" w:after="283"/>
              <w:jc w:val="left"/>
              <w:rPr/>
            </w:pPr>
            <w:r>
              <w:rPr/>
              <w:t>7.10</w:t>
            </w:r>
          </w:p>
        </w:tc>
      </w:tr>
      <w:tr>
        <w:trPr/>
        <w:tc>
          <w:tcPr>
            <w:tcW w:w="1616" w:type="dxa"/>
            <w:tcBorders/>
          </w:tcPr>
          <w:p>
            <w:pPr>
              <w:pStyle w:val="TableContents"/>
              <w:bidi w:val="0"/>
              <w:spacing w:before="0" w:after="283"/>
              <w:jc w:val="right"/>
              <w:rPr/>
            </w:pPr>
            <w:r>
              <w:rPr/>
              <w:t>(a)(2)</w:t>
            </w:r>
          </w:p>
        </w:tc>
        <w:tc>
          <w:tcPr>
            <w:tcW w:w="113" w:type="dxa"/>
            <w:tcBorders/>
            <w:vAlign w:val="bottom"/>
          </w:tcPr>
          <w:p>
            <w:pPr>
              <w:pStyle w:val="TableContents"/>
              <w:bidi w:val="0"/>
              <w:spacing w:before="0" w:after="283"/>
              <w:jc w:val="left"/>
              <w:rPr/>
            </w:pPr>
            <w:r>
              <w:rPr/>
              <w:t> </w:t>
            </w:r>
          </w:p>
        </w:tc>
        <w:tc>
          <w:tcPr>
            <w:tcW w:w="685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92" w:type="dxa"/>
            <w:tcBorders/>
          </w:tcPr>
          <w:p>
            <w:pPr>
              <w:pStyle w:val="TableContents"/>
              <w:bidi w:val="0"/>
              <w:spacing w:before="0" w:after="283"/>
              <w:jc w:val="left"/>
              <w:rPr/>
            </w:pPr>
            <w:r>
              <w:rPr/>
              <w:t>7.10</w:t>
            </w:r>
          </w:p>
        </w:tc>
      </w:tr>
      <w:tr>
        <w:trPr/>
        <w:tc>
          <w:tcPr>
            <w:tcW w:w="1616" w:type="dxa"/>
            <w:tcBorders/>
          </w:tcPr>
          <w:p>
            <w:pPr>
              <w:pStyle w:val="TableContents"/>
              <w:bidi w:val="0"/>
              <w:spacing w:before="0" w:after="283"/>
              <w:jc w:val="right"/>
              <w:rPr/>
            </w:pPr>
            <w:r>
              <w:rPr/>
              <w:t>(a)(3)</w:t>
            </w:r>
          </w:p>
        </w:tc>
        <w:tc>
          <w:tcPr>
            <w:tcW w:w="113" w:type="dxa"/>
            <w:tcBorders/>
            <w:vAlign w:val="bottom"/>
          </w:tcPr>
          <w:p>
            <w:pPr>
              <w:pStyle w:val="TableContents"/>
              <w:bidi w:val="0"/>
              <w:spacing w:before="0" w:after="283"/>
              <w:jc w:val="left"/>
              <w:rPr/>
            </w:pPr>
            <w:r>
              <w:rPr/>
              <w:t> </w:t>
            </w:r>
          </w:p>
        </w:tc>
        <w:tc>
          <w:tcPr>
            <w:tcW w:w="685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92" w:type="dxa"/>
            <w:tcBorders/>
          </w:tcPr>
          <w:p>
            <w:pPr>
              <w:pStyle w:val="TableContents"/>
              <w:bidi w:val="0"/>
              <w:spacing w:before="0" w:after="283"/>
              <w:jc w:val="left"/>
              <w:rPr/>
            </w:pPr>
            <w:r>
              <w:rPr/>
              <w:t>Not Applicable</w:t>
            </w:r>
          </w:p>
        </w:tc>
      </w:tr>
      <w:tr>
        <w:trPr/>
        <w:tc>
          <w:tcPr>
            <w:tcW w:w="1616" w:type="dxa"/>
            <w:tcBorders/>
          </w:tcPr>
          <w:p>
            <w:pPr>
              <w:pStyle w:val="TableContents"/>
              <w:bidi w:val="0"/>
              <w:spacing w:before="0" w:after="283"/>
              <w:jc w:val="right"/>
              <w:rPr/>
            </w:pPr>
            <w:r>
              <w:rPr/>
              <w:t>(a)(4)</w:t>
            </w:r>
          </w:p>
        </w:tc>
        <w:tc>
          <w:tcPr>
            <w:tcW w:w="113" w:type="dxa"/>
            <w:tcBorders/>
            <w:vAlign w:val="bottom"/>
          </w:tcPr>
          <w:p>
            <w:pPr>
              <w:pStyle w:val="TableContents"/>
              <w:bidi w:val="0"/>
              <w:spacing w:before="0" w:after="283"/>
              <w:jc w:val="left"/>
              <w:rPr/>
            </w:pPr>
            <w:r>
              <w:rPr/>
              <w:t> </w:t>
            </w:r>
          </w:p>
        </w:tc>
        <w:tc>
          <w:tcPr>
            <w:tcW w:w="685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92" w:type="dxa"/>
            <w:tcBorders/>
          </w:tcPr>
          <w:p>
            <w:pPr>
              <w:pStyle w:val="TableContents"/>
              <w:bidi w:val="0"/>
              <w:spacing w:before="0" w:after="283"/>
              <w:jc w:val="left"/>
              <w:rPr/>
            </w:pPr>
            <w:r>
              <w:rPr/>
              <w:t>Not Applicable</w:t>
            </w:r>
          </w:p>
        </w:tc>
      </w:tr>
      <w:tr>
        <w:trPr/>
        <w:tc>
          <w:tcPr>
            <w:tcW w:w="1616" w:type="dxa"/>
            <w:tcBorders/>
          </w:tcPr>
          <w:p>
            <w:pPr>
              <w:pStyle w:val="TableContents"/>
              <w:bidi w:val="0"/>
              <w:spacing w:before="0" w:after="283"/>
              <w:jc w:val="right"/>
              <w:rPr/>
            </w:pPr>
            <w:r>
              <w:rPr/>
              <w:t>(a)(5)</w:t>
            </w:r>
          </w:p>
        </w:tc>
        <w:tc>
          <w:tcPr>
            <w:tcW w:w="113" w:type="dxa"/>
            <w:tcBorders/>
            <w:vAlign w:val="bottom"/>
          </w:tcPr>
          <w:p>
            <w:pPr>
              <w:pStyle w:val="TableContents"/>
              <w:bidi w:val="0"/>
              <w:spacing w:before="0" w:after="283"/>
              <w:jc w:val="left"/>
              <w:rPr/>
            </w:pPr>
            <w:r>
              <w:rPr/>
              <w:t> </w:t>
            </w:r>
          </w:p>
        </w:tc>
        <w:tc>
          <w:tcPr>
            <w:tcW w:w="685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92" w:type="dxa"/>
            <w:tcBorders/>
          </w:tcPr>
          <w:p>
            <w:pPr>
              <w:pStyle w:val="TableContents"/>
              <w:bidi w:val="0"/>
              <w:spacing w:before="0" w:after="283"/>
              <w:jc w:val="left"/>
              <w:rPr/>
            </w:pPr>
            <w:r>
              <w:rPr/>
              <w:t>7.10</w:t>
            </w:r>
          </w:p>
        </w:tc>
      </w:tr>
      <w:tr>
        <w:trPr/>
        <w:tc>
          <w:tcPr>
            <w:tcW w:w="1616" w:type="dxa"/>
            <w:tcBorders/>
          </w:tcPr>
          <w:p>
            <w:pPr>
              <w:pStyle w:val="TableContents"/>
              <w:bidi w:val="0"/>
              <w:spacing w:before="0" w:after="283"/>
              <w:jc w:val="right"/>
              <w:rPr/>
            </w:pPr>
            <w:r>
              <w:rPr/>
              <w:t>(b)</w:t>
            </w:r>
          </w:p>
        </w:tc>
        <w:tc>
          <w:tcPr>
            <w:tcW w:w="113" w:type="dxa"/>
            <w:tcBorders/>
            <w:vAlign w:val="bottom"/>
          </w:tcPr>
          <w:p>
            <w:pPr>
              <w:pStyle w:val="TableContents"/>
              <w:bidi w:val="0"/>
              <w:spacing w:before="0" w:after="283"/>
              <w:jc w:val="left"/>
              <w:rPr/>
            </w:pPr>
            <w:r>
              <w:rPr/>
              <w:t> </w:t>
            </w:r>
          </w:p>
        </w:tc>
        <w:tc>
          <w:tcPr>
            <w:tcW w:w="685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92" w:type="dxa"/>
            <w:tcBorders/>
          </w:tcPr>
          <w:p>
            <w:pPr>
              <w:pStyle w:val="TableContents"/>
              <w:bidi w:val="0"/>
              <w:spacing w:before="0" w:after="283"/>
              <w:jc w:val="left"/>
              <w:rPr/>
            </w:pPr>
            <w:r>
              <w:rPr/>
              <w:t>7.10</w:t>
            </w:r>
          </w:p>
        </w:tc>
      </w:tr>
      <w:tr>
        <w:trPr/>
        <w:tc>
          <w:tcPr>
            <w:tcW w:w="1616" w:type="dxa"/>
            <w:tcBorders/>
          </w:tcPr>
          <w:p>
            <w:pPr>
              <w:pStyle w:val="TableContents"/>
              <w:bidi w:val="0"/>
              <w:spacing w:before="0" w:after="283"/>
              <w:jc w:val="right"/>
              <w:rPr/>
            </w:pPr>
            <w:r>
              <w:rPr/>
              <w:t>§ 311(a)</w:t>
            </w:r>
          </w:p>
        </w:tc>
        <w:tc>
          <w:tcPr>
            <w:tcW w:w="113" w:type="dxa"/>
            <w:tcBorders/>
            <w:vAlign w:val="bottom"/>
          </w:tcPr>
          <w:p>
            <w:pPr>
              <w:pStyle w:val="TableContents"/>
              <w:bidi w:val="0"/>
              <w:spacing w:before="0" w:after="283"/>
              <w:jc w:val="left"/>
              <w:rPr/>
            </w:pPr>
            <w:r>
              <w:rPr/>
              <w:t> </w:t>
            </w:r>
          </w:p>
        </w:tc>
        <w:tc>
          <w:tcPr>
            <w:tcW w:w="685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92" w:type="dxa"/>
            <w:tcBorders/>
          </w:tcPr>
          <w:p>
            <w:pPr>
              <w:pStyle w:val="TableContents"/>
              <w:bidi w:val="0"/>
              <w:spacing w:before="0" w:after="283"/>
              <w:jc w:val="left"/>
              <w:rPr/>
            </w:pPr>
            <w:r>
              <w:rPr/>
              <w:t>7.11</w:t>
            </w:r>
          </w:p>
        </w:tc>
      </w:tr>
      <w:tr>
        <w:trPr/>
        <w:tc>
          <w:tcPr>
            <w:tcW w:w="1616" w:type="dxa"/>
            <w:tcBorders/>
          </w:tcPr>
          <w:p>
            <w:pPr>
              <w:pStyle w:val="TableContents"/>
              <w:bidi w:val="0"/>
              <w:spacing w:before="0" w:after="283"/>
              <w:jc w:val="right"/>
              <w:rPr/>
            </w:pPr>
            <w:r>
              <w:rPr/>
              <w:t>(b)</w:t>
            </w:r>
          </w:p>
        </w:tc>
        <w:tc>
          <w:tcPr>
            <w:tcW w:w="113" w:type="dxa"/>
            <w:tcBorders/>
            <w:vAlign w:val="bottom"/>
          </w:tcPr>
          <w:p>
            <w:pPr>
              <w:pStyle w:val="TableContents"/>
              <w:bidi w:val="0"/>
              <w:spacing w:before="0" w:after="283"/>
              <w:jc w:val="left"/>
              <w:rPr/>
            </w:pPr>
            <w:r>
              <w:rPr/>
              <w:t> </w:t>
            </w:r>
          </w:p>
        </w:tc>
        <w:tc>
          <w:tcPr>
            <w:tcW w:w="685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92" w:type="dxa"/>
            <w:tcBorders/>
          </w:tcPr>
          <w:p>
            <w:pPr>
              <w:pStyle w:val="TableContents"/>
              <w:bidi w:val="0"/>
              <w:spacing w:before="0" w:after="283"/>
              <w:jc w:val="left"/>
              <w:rPr/>
            </w:pPr>
            <w:r>
              <w:rPr/>
              <w:t>7.11</w:t>
            </w:r>
          </w:p>
        </w:tc>
      </w:tr>
      <w:tr>
        <w:trPr/>
        <w:tc>
          <w:tcPr>
            <w:tcW w:w="1616" w:type="dxa"/>
            <w:tcBorders/>
          </w:tcPr>
          <w:p>
            <w:pPr>
              <w:pStyle w:val="TableContents"/>
              <w:bidi w:val="0"/>
              <w:spacing w:before="0" w:after="283"/>
              <w:jc w:val="right"/>
              <w:rPr/>
            </w:pPr>
            <w:r>
              <w:rPr/>
              <w:t>§ 312(a)</w:t>
            </w:r>
          </w:p>
        </w:tc>
        <w:tc>
          <w:tcPr>
            <w:tcW w:w="113" w:type="dxa"/>
            <w:tcBorders/>
            <w:vAlign w:val="bottom"/>
          </w:tcPr>
          <w:p>
            <w:pPr>
              <w:pStyle w:val="TableContents"/>
              <w:bidi w:val="0"/>
              <w:spacing w:before="0" w:after="283"/>
              <w:jc w:val="left"/>
              <w:rPr/>
            </w:pPr>
            <w:r>
              <w:rPr/>
              <w:t> </w:t>
            </w:r>
          </w:p>
        </w:tc>
        <w:tc>
          <w:tcPr>
            <w:tcW w:w="685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92" w:type="dxa"/>
            <w:tcBorders/>
          </w:tcPr>
          <w:p>
            <w:pPr>
              <w:pStyle w:val="TableContents"/>
              <w:bidi w:val="0"/>
              <w:spacing w:before="0" w:after="283"/>
              <w:jc w:val="left"/>
              <w:rPr/>
            </w:pPr>
            <w:r>
              <w:rPr/>
              <w:t>2.7</w:t>
            </w:r>
          </w:p>
        </w:tc>
      </w:tr>
      <w:tr>
        <w:trPr/>
        <w:tc>
          <w:tcPr>
            <w:tcW w:w="1616" w:type="dxa"/>
            <w:tcBorders/>
          </w:tcPr>
          <w:p>
            <w:pPr>
              <w:pStyle w:val="TableContents"/>
              <w:bidi w:val="0"/>
              <w:spacing w:before="0" w:after="283"/>
              <w:jc w:val="right"/>
              <w:rPr/>
            </w:pPr>
            <w:r>
              <w:rPr/>
              <w:t>(b)</w:t>
            </w:r>
          </w:p>
        </w:tc>
        <w:tc>
          <w:tcPr>
            <w:tcW w:w="113" w:type="dxa"/>
            <w:tcBorders/>
            <w:vAlign w:val="bottom"/>
          </w:tcPr>
          <w:p>
            <w:pPr>
              <w:pStyle w:val="TableContents"/>
              <w:bidi w:val="0"/>
              <w:spacing w:before="0" w:after="283"/>
              <w:jc w:val="left"/>
              <w:rPr/>
            </w:pPr>
            <w:r>
              <w:rPr/>
              <w:t> </w:t>
            </w:r>
          </w:p>
        </w:tc>
        <w:tc>
          <w:tcPr>
            <w:tcW w:w="685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92" w:type="dxa"/>
            <w:tcBorders/>
          </w:tcPr>
          <w:p>
            <w:pPr>
              <w:pStyle w:val="TableContents"/>
              <w:bidi w:val="0"/>
              <w:spacing w:before="0" w:after="283"/>
              <w:jc w:val="left"/>
              <w:rPr/>
            </w:pPr>
            <w:r>
              <w:rPr/>
              <w:t>10.3</w:t>
            </w:r>
          </w:p>
        </w:tc>
      </w:tr>
      <w:tr>
        <w:trPr/>
        <w:tc>
          <w:tcPr>
            <w:tcW w:w="1616" w:type="dxa"/>
            <w:tcBorders/>
          </w:tcPr>
          <w:p>
            <w:pPr>
              <w:pStyle w:val="TableContents"/>
              <w:bidi w:val="0"/>
              <w:spacing w:before="0" w:after="283"/>
              <w:jc w:val="right"/>
              <w:rPr/>
            </w:pPr>
            <w:r>
              <w:rPr/>
              <w:t>(c)</w:t>
            </w:r>
          </w:p>
        </w:tc>
        <w:tc>
          <w:tcPr>
            <w:tcW w:w="113" w:type="dxa"/>
            <w:tcBorders/>
            <w:vAlign w:val="bottom"/>
          </w:tcPr>
          <w:p>
            <w:pPr>
              <w:pStyle w:val="TableContents"/>
              <w:bidi w:val="0"/>
              <w:spacing w:before="0" w:after="283"/>
              <w:jc w:val="left"/>
              <w:rPr/>
            </w:pPr>
            <w:r>
              <w:rPr/>
              <w:t> </w:t>
            </w:r>
          </w:p>
        </w:tc>
        <w:tc>
          <w:tcPr>
            <w:tcW w:w="685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92" w:type="dxa"/>
            <w:tcBorders/>
          </w:tcPr>
          <w:p>
            <w:pPr>
              <w:pStyle w:val="TableContents"/>
              <w:bidi w:val="0"/>
              <w:spacing w:before="0" w:after="283"/>
              <w:jc w:val="left"/>
              <w:rPr/>
            </w:pPr>
            <w:r>
              <w:rPr/>
              <w:t>10.3</w:t>
            </w:r>
          </w:p>
        </w:tc>
      </w:tr>
      <w:tr>
        <w:trPr/>
        <w:tc>
          <w:tcPr>
            <w:tcW w:w="1616" w:type="dxa"/>
            <w:tcBorders/>
          </w:tcPr>
          <w:p>
            <w:pPr>
              <w:pStyle w:val="TableContents"/>
              <w:bidi w:val="0"/>
              <w:spacing w:before="0" w:after="283"/>
              <w:jc w:val="right"/>
              <w:rPr/>
            </w:pPr>
            <w:r>
              <w:rPr/>
              <w:t>§ 313(a)</w:t>
            </w:r>
          </w:p>
        </w:tc>
        <w:tc>
          <w:tcPr>
            <w:tcW w:w="113" w:type="dxa"/>
            <w:tcBorders/>
            <w:vAlign w:val="bottom"/>
          </w:tcPr>
          <w:p>
            <w:pPr>
              <w:pStyle w:val="TableContents"/>
              <w:bidi w:val="0"/>
              <w:spacing w:before="0" w:after="283"/>
              <w:jc w:val="left"/>
              <w:rPr/>
            </w:pPr>
            <w:r>
              <w:rPr/>
              <w:t> </w:t>
            </w:r>
          </w:p>
        </w:tc>
        <w:tc>
          <w:tcPr>
            <w:tcW w:w="685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92" w:type="dxa"/>
            <w:tcBorders/>
          </w:tcPr>
          <w:p>
            <w:pPr>
              <w:pStyle w:val="TableContents"/>
              <w:bidi w:val="0"/>
              <w:spacing w:before="0" w:after="283"/>
              <w:jc w:val="left"/>
              <w:rPr/>
            </w:pPr>
            <w:r>
              <w:rPr/>
              <w:t>7.6</w:t>
            </w:r>
          </w:p>
        </w:tc>
      </w:tr>
      <w:tr>
        <w:trPr/>
        <w:tc>
          <w:tcPr>
            <w:tcW w:w="1616" w:type="dxa"/>
            <w:tcBorders/>
          </w:tcPr>
          <w:p>
            <w:pPr>
              <w:pStyle w:val="TableContents"/>
              <w:bidi w:val="0"/>
              <w:spacing w:before="0" w:after="283"/>
              <w:jc w:val="right"/>
              <w:rPr/>
            </w:pPr>
            <w:r>
              <w:rPr/>
              <w:t>(b)(1)</w:t>
            </w:r>
          </w:p>
        </w:tc>
        <w:tc>
          <w:tcPr>
            <w:tcW w:w="113" w:type="dxa"/>
            <w:tcBorders/>
            <w:vAlign w:val="bottom"/>
          </w:tcPr>
          <w:p>
            <w:pPr>
              <w:pStyle w:val="TableContents"/>
              <w:bidi w:val="0"/>
              <w:spacing w:before="0" w:after="283"/>
              <w:jc w:val="left"/>
              <w:rPr/>
            </w:pPr>
            <w:r>
              <w:rPr/>
              <w:t> </w:t>
            </w:r>
          </w:p>
        </w:tc>
        <w:tc>
          <w:tcPr>
            <w:tcW w:w="685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92" w:type="dxa"/>
            <w:tcBorders/>
          </w:tcPr>
          <w:p>
            <w:pPr>
              <w:pStyle w:val="TableContents"/>
              <w:bidi w:val="0"/>
              <w:spacing w:before="0" w:after="283"/>
              <w:jc w:val="left"/>
              <w:rPr/>
            </w:pPr>
            <w:r>
              <w:rPr/>
              <w:t>7.6</w:t>
            </w:r>
          </w:p>
        </w:tc>
      </w:tr>
      <w:tr>
        <w:trPr/>
        <w:tc>
          <w:tcPr>
            <w:tcW w:w="1616" w:type="dxa"/>
            <w:tcBorders/>
          </w:tcPr>
          <w:p>
            <w:pPr>
              <w:pStyle w:val="TableContents"/>
              <w:bidi w:val="0"/>
              <w:spacing w:before="0" w:after="283"/>
              <w:jc w:val="right"/>
              <w:rPr/>
            </w:pPr>
            <w:r>
              <w:rPr/>
              <w:t>(b)(2)</w:t>
            </w:r>
          </w:p>
        </w:tc>
        <w:tc>
          <w:tcPr>
            <w:tcW w:w="113" w:type="dxa"/>
            <w:tcBorders/>
            <w:vAlign w:val="bottom"/>
          </w:tcPr>
          <w:p>
            <w:pPr>
              <w:pStyle w:val="TableContents"/>
              <w:bidi w:val="0"/>
              <w:spacing w:before="0" w:after="283"/>
              <w:jc w:val="left"/>
              <w:rPr/>
            </w:pPr>
            <w:r>
              <w:rPr/>
              <w:t> </w:t>
            </w:r>
          </w:p>
        </w:tc>
        <w:tc>
          <w:tcPr>
            <w:tcW w:w="685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92" w:type="dxa"/>
            <w:tcBorders/>
          </w:tcPr>
          <w:p>
            <w:pPr>
              <w:pStyle w:val="TableContents"/>
              <w:bidi w:val="0"/>
              <w:spacing w:before="0" w:after="283"/>
              <w:jc w:val="left"/>
              <w:rPr/>
            </w:pPr>
            <w:r>
              <w:rPr/>
              <w:t>7.6</w:t>
            </w:r>
          </w:p>
        </w:tc>
      </w:tr>
      <w:tr>
        <w:trPr/>
        <w:tc>
          <w:tcPr>
            <w:tcW w:w="1616" w:type="dxa"/>
            <w:tcBorders/>
          </w:tcPr>
          <w:p>
            <w:pPr>
              <w:pStyle w:val="TableContents"/>
              <w:bidi w:val="0"/>
              <w:spacing w:before="0" w:after="283"/>
              <w:jc w:val="right"/>
              <w:rPr/>
            </w:pPr>
            <w:r>
              <w:rPr/>
              <w:t>(c)(1)</w:t>
            </w:r>
          </w:p>
        </w:tc>
        <w:tc>
          <w:tcPr>
            <w:tcW w:w="113" w:type="dxa"/>
            <w:tcBorders/>
            <w:vAlign w:val="bottom"/>
          </w:tcPr>
          <w:p>
            <w:pPr>
              <w:pStyle w:val="TableContents"/>
              <w:bidi w:val="0"/>
              <w:spacing w:before="0" w:after="283"/>
              <w:jc w:val="left"/>
              <w:rPr/>
            </w:pPr>
            <w:r>
              <w:rPr/>
              <w:t> </w:t>
            </w:r>
          </w:p>
        </w:tc>
        <w:tc>
          <w:tcPr>
            <w:tcW w:w="685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92" w:type="dxa"/>
            <w:tcBorders/>
          </w:tcPr>
          <w:p>
            <w:pPr>
              <w:pStyle w:val="TableContents"/>
              <w:bidi w:val="0"/>
              <w:spacing w:before="0" w:after="283"/>
              <w:jc w:val="left"/>
              <w:rPr/>
            </w:pPr>
            <w:r>
              <w:rPr/>
              <w:t>7.6</w:t>
            </w:r>
          </w:p>
        </w:tc>
      </w:tr>
      <w:tr>
        <w:trPr/>
        <w:tc>
          <w:tcPr>
            <w:tcW w:w="1616" w:type="dxa"/>
            <w:tcBorders/>
          </w:tcPr>
          <w:p>
            <w:pPr>
              <w:pStyle w:val="TableContents"/>
              <w:bidi w:val="0"/>
              <w:spacing w:before="0" w:after="283"/>
              <w:jc w:val="right"/>
              <w:rPr/>
            </w:pPr>
            <w:r>
              <w:rPr/>
              <w:t>(d)</w:t>
            </w:r>
          </w:p>
        </w:tc>
        <w:tc>
          <w:tcPr>
            <w:tcW w:w="113" w:type="dxa"/>
            <w:tcBorders/>
            <w:vAlign w:val="bottom"/>
          </w:tcPr>
          <w:p>
            <w:pPr>
              <w:pStyle w:val="TableContents"/>
              <w:bidi w:val="0"/>
              <w:spacing w:before="0" w:after="283"/>
              <w:jc w:val="left"/>
              <w:rPr/>
            </w:pPr>
            <w:r>
              <w:rPr/>
              <w:t> </w:t>
            </w:r>
          </w:p>
        </w:tc>
        <w:tc>
          <w:tcPr>
            <w:tcW w:w="685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92" w:type="dxa"/>
            <w:tcBorders/>
          </w:tcPr>
          <w:p>
            <w:pPr>
              <w:pStyle w:val="TableContents"/>
              <w:bidi w:val="0"/>
              <w:spacing w:before="0" w:after="283"/>
              <w:jc w:val="left"/>
              <w:rPr/>
            </w:pPr>
            <w:r>
              <w:rPr/>
              <w:t>7.6</w:t>
            </w:r>
          </w:p>
        </w:tc>
      </w:tr>
      <w:tr>
        <w:trPr/>
        <w:tc>
          <w:tcPr>
            <w:tcW w:w="1616" w:type="dxa"/>
            <w:tcBorders/>
          </w:tcPr>
          <w:p>
            <w:pPr>
              <w:pStyle w:val="TableContents"/>
              <w:bidi w:val="0"/>
              <w:spacing w:before="0" w:after="283"/>
              <w:jc w:val="right"/>
              <w:rPr/>
            </w:pPr>
            <w:r>
              <w:rPr/>
              <w:t>§ 314(a)</w:t>
            </w:r>
          </w:p>
        </w:tc>
        <w:tc>
          <w:tcPr>
            <w:tcW w:w="113" w:type="dxa"/>
            <w:tcBorders/>
            <w:vAlign w:val="bottom"/>
          </w:tcPr>
          <w:p>
            <w:pPr>
              <w:pStyle w:val="TableContents"/>
              <w:bidi w:val="0"/>
              <w:spacing w:before="0" w:after="283"/>
              <w:jc w:val="left"/>
              <w:rPr/>
            </w:pPr>
            <w:r>
              <w:rPr/>
              <w:t> </w:t>
            </w:r>
          </w:p>
        </w:tc>
        <w:tc>
          <w:tcPr>
            <w:tcW w:w="685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92" w:type="dxa"/>
            <w:tcBorders/>
          </w:tcPr>
          <w:p>
            <w:pPr>
              <w:pStyle w:val="TableContents"/>
              <w:bidi w:val="0"/>
              <w:spacing w:before="0" w:after="283"/>
              <w:jc w:val="left"/>
              <w:rPr/>
            </w:pPr>
            <w:r>
              <w:rPr/>
              <w:t>4.2, 10.5</w:t>
            </w:r>
          </w:p>
        </w:tc>
      </w:tr>
      <w:tr>
        <w:trPr/>
        <w:tc>
          <w:tcPr>
            <w:tcW w:w="1616" w:type="dxa"/>
            <w:tcBorders/>
          </w:tcPr>
          <w:p>
            <w:pPr>
              <w:pStyle w:val="TableContents"/>
              <w:bidi w:val="0"/>
              <w:spacing w:before="0" w:after="283"/>
              <w:jc w:val="right"/>
              <w:rPr/>
            </w:pPr>
            <w:r>
              <w:rPr/>
              <w:t>(b)</w:t>
            </w:r>
          </w:p>
        </w:tc>
        <w:tc>
          <w:tcPr>
            <w:tcW w:w="113" w:type="dxa"/>
            <w:tcBorders/>
            <w:vAlign w:val="bottom"/>
          </w:tcPr>
          <w:p>
            <w:pPr>
              <w:pStyle w:val="TableContents"/>
              <w:bidi w:val="0"/>
              <w:spacing w:before="0" w:after="283"/>
              <w:jc w:val="left"/>
              <w:rPr/>
            </w:pPr>
            <w:r>
              <w:rPr/>
              <w:t> </w:t>
            </w:r>
          </w:p>
        </w:tc>
        <w:tc>
          <w:tcPr>
            <w:tcW w:w="685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92" w:type="dxa"/>
            <w:tcBorders/>
          </w:tcPr>
          <w:p>
            <w:pPr>
              <w:pStyle w:val="TableContents"/>
              <w:bidi w:val="0"/>
              <w:spacing w:before="0" w:after="283"/>
              <w:jc w:val="left"/>
              <w:rPr/>
            </w:pPr>
            <w:r>
              <w:rPr/>
              <w:t>Not Applicable</w:t>
            </w:r>
          </w:p>
        </w:tc>
      </w:tr>
      <w:tr>
        <w:trPr/>
        <w:tc>
          <w:tcPr>
            <w:tcW w:w="1616" w:type="dxa"/>
            <w:tcBorders/>
          </w:tcPr>
          <w:p>
            <w:pPr>
              <w:pStyle w:val="TableContents"/>
              <w:bidi w:val="0"/>
              <w:spacing w:before="0" w:after="283"/>
              <w:jc w:val="right"/>
              <w:rPr/>
            </w:pPr>
            <w:r>
              <w:rPr/>
              <w:t>(c)(1)</w:t>
            </w:r>
          </w:p>
        </w:tc>
        <w:tc>
          <w:tcPr>
            <w:tcW w:w="113" w:type="dxa"/>
            <w:tcBorders/>
            <w:vAlign w:val="bottom"/>
          </w:tcPr>
          <w:p>
            <w:pPr>
              <w:pStyle w:val="TableContents"/>
              <w:bidi w:val="0"/>
              <w:spacing w:before="0" w:after="283"/>
              <w:jc w:val="left"/>
              <w:rPr/>
            </w:pPr>
            <w:r>
              <w:rPr/>
              <w:t> </w:t>
            </w:r>
          </w:p>
        </w:tc>
        <w:tc>
          <w:tcPr>
            <w:tcW w:w="685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92" w:type="dxa"/>
            <w:tcBorders/>
          </w:tcPr>
          <w:p>
            <w:pPr>
              <w:pStyle w:val="TableContents"/>
              <w:bidi w:val="0"/>
              <w:spacing w:before="0" w:after="283"/>
              <w:jc w:val="left"/>
              <w:rPr/>
            </w:pPr>
            <w:r>
              <w:rPr/>
              <w:t>10.4</w:t>
            </w:r>
          </w:p>
        </w:tc>
      </w:tr>
      <w:tr>
        <w:trPr/>
        <w:tc>
          <w:tcPr>
            <w:tcW w:w="1616" w:type="dxa"/>
            <w:tcBorders/>
          </w:tcPr>
          <w:p>
            <w:pPr>
              <w:pStyle w:val="TableContents"/>
              <w:bidi w:val="0"/>
              <w:spacing w:before="0" w:after="283"/>
              <w:jc w:val="right"/>
              <w:rPr/>
            </w:pPr>
            <w:r>
              <w:rPr/>
              <w:t>(c)(2)</w:t>
            </w:r>
          </w:p>
        </w:tc>
        <w:tc>
          <w:tcPr>
            <w:tcW w:w="113" w:type="dxa"/>
            <w:tcBorders/>
            <w:vAlign w:val="bottom"/>
          </w:tcPr>
          <w:p>
            <w:pPr>
              <w:pStyle w:val="TableContents"/>
              <w:bidi w:val="0"/>
              <w:spacing w:before="0" w:after="283"/>
              <w:jc w:val="left"/>
              <w:rPr/>
            </w:pPr>
            <w:r>
              <w:rPr/>
              <w:t> </w:t>
            </w:r>
          </w:p>
        </w:tc>
        <w:tc>
          <w:tcPr>
            <w:tcW w:w="685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92" w:type="dxa"/>
            <w:tcBorders/>
          </w:tcPr>
          <w:p>
            <w:pPr>
              <w:pStyle w:val="TableContents"/>
              <w:bidi w:val="0"/>
              <w:spacing w:before="0" w:after="283"/>
              <w:jc w:val="left"/>
              <w:rPr/>
            </w:pPr>
            <w:r>
              <w:rPr/>
              <w:t>10.4</w:t>
            </w:r>
          </w:p>
        </w:tc>
      </w:tr>
      <w:tr>
        <w:trPr/>
        <w:tc>
          <w:tcPr>
            <w:tcW w:w="1616" w:type="dxa"/>
            <w:tcBorders/>
          </w:tcPr>
          <w:p>
            <w:pPr>
              <w:pStyle w:val="TableContents"/>
              <w:bidi w:val="0"/>
              <w:spacing w:before="0" w:after="283"/>
              <w:jc w:val="right"/>
              <w:rPr/>
            </w:pPr>
            <w:r>
              <w:rPr/>
              <w:t>(c)(3)</w:t>
            </w:r>
          </w:p>
        </w:tc>
        <w:tc>
          <w:tcPr>
            <w:tcW w:w="113" w:type="dxa"/>
            <w:tcBorders/>
            <w:vAlign w:val="bottom"/>
          </w:tcPr>
          <w:p>
            <w:pPr>
              <w:pStyle w:val="TableContents"/>
              <w:bidi w:val="0"/>
              <w:spacing w:before="0" w:after="283"/>
              <w:jc w:val="left"/>
              <w:rPr/>
            </w:pPr>
            <w:r>
              <w:rPr/>
              <w:t> </w:t>
            </w:r>
          </w:p>
        </w:tc>
        <w:tc>
          <w:tcPr>
            <w:tcW w:w="685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92" w:type="dxa"/>
            <w:tcBorders/>
          </w:tcPr>
          <w:p>
            <w:pPr>
              <w:pStyle w:val="TableContents"/>
              <w:bidi w:val="0"/>
              <w:spacing w:before="0" w:after="283"/>
              <w:jc w:val="left"/>
              <w:rPr/>
            </w:pPr>
            <w:r>
              <w:rPr/>
              <w:t>Not Applicable</w:t>
            </w:r>
          </w:p>
        </w:tc>
      </w:tr>
      <w:tr>
        <w:trPr/>
        <w:tc>
          <w:tcPr>
            <w:tcW w:w="1616" w:type="dxa"/>
            <w:tcBorders/>
          </w:tcPr>
          <w:p>
            <w:pPr>
              <w:pStyle w:val="TableContents"/>
              <w:bidi w:val="0"/>
              <w:spacing w:before="0" w:after="283"/>
              <w:jc w:val="right"/>
              <w:rPr/>
            </w:pPr>
            <w:r>
              <w:rPr/>
              <w:t>(d)</w:t>
            </w:r>
          </w:p>
        </w:tc>
        <w:tc>
          <w:tcPr>
            <w:tcW w:w="113" w:type="dxa"/>
            <w:tcBorders/>
            <w:vAlign w:val="bottom"/>
          </w:tcPr>
          <w:p>
            <w:pPr>
              <w:pStyle w:val="TableContents"/>
              <w:bidi w:val="0"/>
              <w:spacing w:before="0" w:after="283"/>
              <w:jc w:val="left"/>
              <w:rPr/>
            </w:pPr>
            <w:r>
              <w:rPr/>
              <w:t> </w:t>
            </w:r>
          </w:p>
        </w:tc>
        <w:tc>
          <w:tcPr>
            <w:tcW w:w="685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92" w:type="dxa"/>
            <w:tcBorders/>
          </w:tcPr>
          <w:p>
            <w:pPr>
              <w:pStyle w:val="TableContents"/>
              <w:bidi w:val="0"/>
              <w:spacing w:before="0" w:after="283"/>
              <w:jc w:val="left"/>
              <w:rPr/>
            </w:pPr>
            <w:r>
              <w:rPr/>
              <w:t>Not Applicable</w:t>
            </w:r>
          </w:p>
        </w:tc>
      </w:tr>
      <w:tr>
        <w:trPr/>
        <w:tc>
          <w:tcPr>
            <w:tcW w:w="1616" w:type="dxa"/>
            <w:tcBorders/>
          </w:tcPr>
          <w:p>
            <w:pPr>
              <w:pStyle w:val="TableContents"/>
              <w:bidi w:val="0"/>
              <w:spacing w:before="0" w:after="283"/>
              <w:jc w:val="right"/>
              <w:rPr/>
            </w:pPr>
            <w:r>
              <w:rPr/>
              <w:t>(e)</w:t>
            </w:r>
          </w:p>
        </w:tc>
        <w:tc>
          <w:tcPr>
            <w:tcW w:w="113" w:type="dxa"/>
            <w:tcBorders/>
            <w:vAlign w:val="bottom"/>
          </w:tcPr>
          <w:p>
            <w:pPr>
              <w:pStyle w:val="TableContents"/>
              <w:bidi w:val="0"/>
              <w:spacing w:before="0" w:after="283"/>
              <w:jc w:val="left"/>
              <w:rPr/>
            </w:pPr>
            <w:r>
              <w:rPr/>
              <w:t> </w:t>
            </w:r>
          </w:p>
        </w:tc>
        <w:tc>
          <w:tcPr>
            <w:tcW w:w="685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92" w:type="dxa"/>
            <w:tcBorders/>
          </w:tcPr>
          <w:p>
            <w:pPr>
              <w:pStyle w:val="TableContents"/>
              <w:bidi w:val="0"/>
              <w:spacing w:before="0" w:after="283"/>
              <w:jc w:val="left"/>
              <w:rPr/>
            </w:pPr>
            <w:r>
              <w:rPr/>
              <w:t>10.5</w:t>
            </w:r>
          </w:p>
        </w:tc>
      </w:tr>
      <w:tr>
        <w:trPr/>
        <w:tc>
          <w:tcPr>
            <w:tcW w:w="1616" w:type="dxa"/>
            <w:tcBorders/>
          </w:tcPr>
          <w:p>
            <w:pPr>
              <w:pStyle w:val="TableContents"/>
              <w:bidi w:val="0"/>
              <w:spacing w:before="0" w:after="283"/>
              <w:jc w:val="right"/>
              <w:rPr/>
            </w:pPr>
            <w:r>
              <w:rPr/>
              <w:t>(f)</w:t>
            </w:r>
          </w:p>
        </w:tc>
        <w:tc>
          <w:tcPr>
            <w:tcW w:w="113" w:type="dxa"/>
            <w:tcBorders/>
            <w:vAlign w:val="bottom"/>
          </w:tcPr>
          <w:p>
            <w:pPr>
              <w:pStyle w:val="TableContents"/>
              <w:bidi w:val="0"/>
              <w:spacing w:before="0" w:after="283"/>
              <w:jc w:val="left"/>
              <w:rPr/>
            </w:pPr>
            <w:r>
              <w:rPr/>
              <w:t> </w:t>
            </w:r>
          </w:p>
        </w:tc>
        <w:tc>
          <w:tcPr>
            <w:tcW w:w="685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92" w:type="dxa"/>
            <w:tcBorders/>
          </w:tcPr>
          <w:p>
            <w:pPr>
              <w:pStyle w:val="TableContents"/>
              <w:bidi w:val="0"/>
              <w:spacing w:before="0" w:after="283"/>
              <w:jc w:val="left"/>
              <w:rPr/>
            </w:pPr>
            <w:r>
              <w:rPr/>
              <w:t>Not Applicable</w:t>
            </w:r>
          </w:p>
        </w:tc>
      </w:tr>
      <w:tr>
        <w:trPr/>
        <w:tc>
          <w:tcPr>
            <w:tcW w:w="1616" w:type="dxa"/>
            <w:tcBorders/>
          </w:tcPr>
          <w:p>
            <w:pPr>
              <w:pStyle w:val="TableContents"/>
              <w:bidi w:val="0"/>
              <w:spacing w:before="0" w:after="283"/>
              <w:jc w:val="right"/>
              <w:rPr/>
            </w:pPr>
            <w:r>
              <w:rPr/>
              <w:t>§ 315(a)</w:t>
            </w:r>
          </w:p>
        </w:tc>
        <w:tc>
          <w:tcPr>
            <w:tcW w:w="113" w:type="dxa"/>
            <w:tcBorders/>
            <w:vAlign w:val="bottom"/>
          </w:tcPr>
          <w:p>
            <w:pPr>
              <w:pStyle w:val="TableContents"/>
              <w:bidi w:val="0"/>
              <w:spacing w:before="0" w:after="283"/>
              <w:jc w:val="left"/>
              <w:rPr/>
            </w:pPr>
            <w:r>
              <w:rPr/>
              <w:t> </w:t>
            </w:r>
          </w:p>
        </w:tc>
        <w:tc>
          <w:tcPr>
            <w:tcW w:w="685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92" w:type="dxa"/>
            <w:tcBorders/>
          </w:tcPr>
          <w:p>
            <w:pPr>
              <w:pStyle w:val="TableContents"/>
              <w:bidi w:val="0"/>
              <w:spacing w:before="0" w:after="283"/>
              <w:jc w:val="left"/>
              <w:rPr/>
            </w:pPr>
            <w:r>
              <w:rPr/>
              <w:t>7.1</w:t>
            </w:r>
          </w:p>
        </w:tc>
      </w:tr>
      <w:tr>
        <w:trPr/>
        <w:tc>
          <w:tcPr>
            <w:tcW w:w="1616" w:type="dxa"/>
            <w:tcBorders/>
          </w:tcPr>
          <w:p>
            <w:pPr>
              <w:pStyle w:val="TableContents"/>
              <w:bidi w:val="0"/>
              <w:spacing w:before="0" w:after="283"/>
              <w:jc w:val="right"/>
              <w:rPr/>
            </w:pPr>
            <w:r>
              <w:rPr/>
              <w:t>(b)</w:t>
            </w:r>
          </w:p>
        </w:tc>
        <w:tc>
          <w:tcPr>
            <w:tcW w:w="113" w:type="dxa"/>
            <w:tcBorders/>
            <w:vAlign w:val="bottom"/>
          </w:tcPr>
          <w:p>
            <w:pPr>
              <w:pStyle w:val="TableContents"/>
              <w:bidi w:val="0"/>
              <w:spacing w:before="0" w:after="283"/>
              <w:jc w:val="left"/>
              <w:rPr/>
            </w:pPr>
            <w:r>
              <w:rPr/>
              <w:t> </w:t>
            </w:r>
          </w:p>
        </w:tc>
        <w:tc>
          <w:tcPr>
            <w:tcW w:w="685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92" w:type="dxa"/>
            <w:tcBorders/>
          </w:tcPr>
          <w:p>
            <w:pPr>
              <w:pStyle w:val="TableContents"/>
              <w:bidi w:val="0"/>
              <w:spacing w:before="0" w:after="283"/>
              <w:jc w:val="left"/>
              <w:rPr/>
            </w:pPr>
            <w:r>
              <w:rPr/>
              <w:t>7.5</w:t>
            </w:r>
          </w:p>
        </w:tc>
      </w:tr>
      <w:tr>
        <w:trPr/>
        <w:tc>
          <w:tcPr>
            <w:tcW w:w="1616" w:type="dxa"/>
            <w:tcBorders/>
          </w:tcPr>
          <w:p>
            <w:pPr>
              <w:pStyle w:val="TableContents"/>
              <w:bidi w:val="0"/>
              <w:spacing w:before="0" w:after="283"/>
              <w:jc w:val="right"/>
              <w:rPr/>
            </w:pPr>
            <w:r>
              <w:rPr/>
              <w:t>(c)</w:t>
            </w:r>
          </w:p>
        </w:tc>
        <w:tc>
          <w:tcPr>
            <w:tcW w:w="113" w:type="dxa"/>
            <w:tcBorders/>
            <w:vAlign w:val="bottom"/>
          </w:tcPr>
          <w:p>
            <w:pPr>
              <w:pStyle w:val="TableContents"/>
              <w:bidi w:val="0"/>
              <w:spacing w:before="0" w:after="283"/>
              <w:jc w:val="left"/>
              <w:rPr/>
            </w:pPr>
            <w:r>
              <w:rPr/>
              <w:t> </w:t>
            </w:r>
          </w:p>
        </w:tc>
        <w:tc>
          <w:tcPr>
            <w:tcW w:w="685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92" w:type="dxa"/>
            <w:tcBorders/>
          </w:tcPr>
          <w:p>
            <w:pPr>
              <w:pStyle w:val="TableContents"/>
              <w:bidi w:val="0"/>
              <w:spacing w:before="0" w:after="283"/>
              <w:jc w:val="left"/>
              <w:rPr/>
            </w:pPr>
            <w:r>
              <w:rPr/>
              <w:t>7.1</w:t>
            </w:r>
          </w:p>
        </w:tc>
      </w:tr>
      <w:tr>
        <w:trPr/>
        <w:tc>
          <w:tcPr>
            <w:tcW w:w="1616" w:type="dxa"/>
            <w:tcBorders/>
          </w:tcPr>
          <w:p>
            <w:pPr>
              <w:pStyle w:val="TableContents"/>
              <w:bidi w:val="0"/>
              <w:spacing w:before="0" w:after="283"/>
              <w:jc w:val="right"/>
              <w:rPr/>
            </w:pPr>
            <w:r>
              <w:rPr/>
              <w:t>(d)</w:t>
            </w:r>
          </w:p>
        </w:tc>
        <w:tc>
          <w:tcPr>
            <w:tcW w:w="113" w:type="dxa"/>
            <w:tcBorders/>
            <w:vAlign w:val="bottom"/>
          </w:tcPr>
          <w:p>
            <w:pPr>
              <w:pStyle w:val="TableContents"/>
              <w:bidi w:val="0"/>
              <w:spacing w:before="0" w:after="283"/>
              <w:jc w:val="left"/>
              <w:rPr/>
            </w:pPr>
            <w:r>
              <w:rPr/>
              <w:t> </w:t>
            </w:r>
          </w:p>
        </w:tc>
        <w:tc>
          <w:tcPr>
            <w:tcW w:w="685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92" w:type="dxa"/>
            <w:tcBorders/>
          </w:tcPr>
          <w:p>
            <w:pPr>
              <w:pStyle w:val="TableContents"/>
              <w:bidi w:val="0"/>
              <w:spacing w:before="0" w:after="283"/>
              <w:jc w:val="left"/>
              <w:rPr/>
            </w:pPr>
            <w:r>
              <w:rPr/>
              <w:t>7.1</w:t>
            </w:r>
          </w:p>
        </w:tc>
      </w:tr>
      <w:tr>
        <w:trPr/>
        <w:tc>
          <w:tcPr>
            <w:tcW w:w="1616" w:type="dxa"/>
            <w:tcBorders/>
          </w:tcPr>
          <w:p>
            <w:pPr>
              <w:pStyle w:val="TableContents"/>
              <w:bidi w:val="0"/>
              <w:spacing w:before="0" w:after="283"/>
              <w:jc w:val="right"/>
              <w:rPr/>
            </w:pPr>
            <w:r>
              <w:rPr/>
              <w:t>(e)</w:t>
            </w:r>
          </w:p>
        </w:tc>
        <w:tc>
          <w:tcPr>
            <w:tcW w:w="113" w:type="dxa"/>
            <w:tcBorders/>
            <w:vAlign w:val="bottom"/>
          </w:tcPr>
          <w:p>
            <w:pPr>
              <w:pStyle w:val="TableContents"/>
              <w:bidi w:val="0"/>
              <w:spacing w:before="0" w:after="283"/>
              <w:jc w:val="left"/>
              <w:rPr/>
            </w:pPr>
            <w:r>
              <w:rPr/>
              <w:t> </w:t>
            </w:r>
          </w:p>
        </w:tc>
        <w:tc>
          <w:tcPr>
            <w:tcW w:w="685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92" w:type="dxa"/>
            <w:tcBorders/>
          </w:tcPr>
          <w:p>
            <w:pPr>
              <w:pStyle w:val="TableContents"/>
              <w:bidi w:val="0"/>
              <w:spacing w:before="0" w:after="283"/>
              <w:jc w:val="left"/>
              <w:rPr/>
            </w:pPr>
            <w:r>
              <w:rPr/>
              <w:t>6.14</w:t>
            </w:r>
          </w:p>
        </w:tc>
      </w:tr>
      <w:tr>
        <w:trPr/>
        <w:tc>
          <w:tcPr>
            <w:tcW w:w="1616" w:type="dxa"/>
            <w:tcBorders/>
          </w:tcPr>
          <w:p>
            <w:pPr>
              <w:pStyle w:val="TableContents"/>
              <w:bidi w:val="0"/>
              <w:spacing w:before="0" w:after="283"/>
              <w:jc w:val="right"/>
              <w:rPr/>
            </w:pPr>
            <w:r>
              <w:rPr/>
              <w:t>§ 316(a)</w:t>
            </w:r>
          </w:p>
        </w:tc>
        <w:tc>
          <w:tcPr>
            <w:tcW w:w="113" w:type="dxa"/>
            <w:tcBorders/>
            <w:vAlign w:val="bottom"/>
          </w:tcPr>
          <w:p>
            <w:pPr>
              <w:pStyle w:val="TableContents"/>
              <w:bidi w:val="0"/>
              <w:spacing w:before="0" w:after="283"/>
              <w:jc w:val="left"/>
              <w:rPr/>
            </w:pPr>
            <w:r>
              <w:rPr/>
              <w:t> </w:t>
            </w:r>
          </w:p>
        </w:tc>
        <w:tc>
          <w:tcPr>
            <w:tcW w:w="685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92" w:type="dxa"/>
            <w:tcBorders/>
          </w:tcPr>
          <w:p>
            <w:pPr>
              <w:pStyle w:val="TableContents"/>
              <w:bidi w:val="0"/>
              <w:spacing w:before="0" w:after="283"/>
              <w:jc w:val="left"/>
              <w:rPr/>
            </w:pPr>
            <w:r>
              <w:rPr/>
              <w:t>2.11</w:t>
            </w:r>
          </w:p>
        </w:tc>
      </w:tr>
      <w:tr>
        <w:trPr/>
        <w:tc>
          <w:tcPr>
            <w:tcW w:w="1616" w:type="dxa"/>
            <w:tcBorders/>
          </w:tcPr>
          <w:p>
            <w:pPr>
              <w:pStyle w:val="TableContents"/>
              <w:bidi w:val="0"/>
              <w:spacing w:before="0" w:after="283"/>
              <w:jc w:val="right"/>
              <w:rPr/>
            </w:pPr>
            <w:r>
              <w:rPr/>
              <w:t>(a)(1)(A)</w:t>
            </w:r>
          </w:p>
        </w:tc>
        <w:tc>
          <w:tcPr>
            <w:tcW w:w="113" w:type="dxa"/>
            <w:tcBorders/>
            <w:vAlign w:val="bottom"/>
          </w:tcPr>
          <w:p>
            <w:pPr>
              <w:pStyle w:val="TableContents"/>
              <w:bidi w:val="0"/>
              <w:spacing w:before="0" w:after="283"/>
              <w:jc w:val="left"/>
              <w:rPr/>
            </w:pPr>
            <w:r>
              <w:rPr/>
              <w:t> </w:t>
            </w:r>
          </w:p>
        </w:tc>
        <w:tc>
          <w:tcPr>
            <w:tcW w:w="685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92" w:type="dxa"/>
            <w:tcBorders/>
          </w:tcPr>
          <w:p>
            <w:pPr>
              <w:pStyle w:val="TableContents"/>
              <w:bidi w:val="0"/>
              <w:spacing w:before="0" w:after="283"/>
              <w:jc w:val="left"/>
              <w:rPr/>
            </w:pPr>
            <w:r>
              <w:rPr/>
              <w:t>6.12</w:t>
            </w:r>
          </w:p>
        </w:tc>
      </w:tr>
      <w:tr>
        <w:trPr/>
        <w:tc>
          <w:tcPr>
            <w:tcW w:w="1616" w:type="dxa"/>
            <w:tcBorders/>
          </w:tcPr>
          <w:p>
            <w:pPr>
              <w:pStyle w:val="TableContents"/>
              <w:bidi w:val="0"/>
              <w:spacing w:before="0" w:after="283"/>
              <w:jc w:val="right"/>
              <w:rPr/>
            </w:pPr>
            <w:r>
              <w:rPr/>
              <w:t>(a)(1)(B)</w:t>
            </w:r>
          </w:p>
        </w:tc>
        <w:tc>
          <w:tcPr>
            <w:tcW w:w="113" w:type="dxa"/>
            <w:tcBorders/>
            <w:vAlign w:val="bottom"/>
          </w:tcPr>
          <w:p>
            <w:pPr>
              <w:pStyle w:val="TableContents"/>
              <w:bidi w:val="0"/>
              <w:spacing w:before="0" w:after="283"/>
              <w:jc w:val="left"/>
              <w:rPr/>
            </w:pPr>
            <w:r>
              <w:rPr/>
              <w:t> </w:t>
            </w:r>
          </w:p>
        </w:tc>
        <w:tc>
          <w:tcPr>
            <w:tcW w:w="685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92" w:type="dxa"/>
            <w:tcBorders/>
          </w:tcPr>
          <w:p>
            <w:pPr>
              <w:pStyle w:val="TableContents"/>
              <w:bidi w:val="0"/>
              <w:spacing w:before="0" w:after="283"/>
              <w:jc w:val="left"/>
              <w:rPr/>
            </w:pPr>
            <w:r>
              <w:rPr/>
              <w:t>6.13</w:t>
            </w:r>
          </w:p>
        </w:tc>
      </w:tr>
      <w:tr>
        <w:trPr/>
        <w:tc>
          <w:tcPr>
            <w:tcW w:w="1616" w:type="dxa"/>
            <w:tcBorders/>
          </w:tcPr>
          <w:p>
            <w:pPr>
              <w:pStyle w:val="TableContents"/>
              <w:bidi w:val="0"/>
              <w:spacing w:before="0" w:after="283"/>
              <w:jc w:val="right"/>
              <w:rPr/>
            </w:pPr>
            <w:r>
              <w:rPr/>
              <w:t>(b)</w:t>
            </w:r>
          </w:p>
        </w:tc>
        <w:tc>
          <w:tcPr>
            <w:tcW w:w="113" w:type="dxa"/>
            <w:tcBorders/>
            <w:vAlign w:val="bottom"/>
          </w:tcPr>
          <w:p>
            <w:pPr>
              <w:pStyle w:val="TableContents"/>
              <w:bidi w:val="0"/>
              <w:spacing w:before="0" w:after="283"/>
              <w:jc w:val="left"/>
              <w:rPr/>
            </w:pPr>
            <w:r>
              <w:rPr/>
              <w:t> </w:t>
            </w:r>
          </w:p>
        </w:tc>
        <w:tc>
          <w:tcPr>
            <w:tcW w:w="685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92" w:type="dxa"/>
            <w:tcBorders/>
          </w:tcPr>
          <w:p>
            <w:pPr>
              <w:pStyle w:val="TableContents"/>
              <w:bidi w:val="0"/>
              <w:spacing w:before="0" w:after="283"/>
              <w:jc w:val="left"/>
              <w:rPr/>
            </w:pPr>
            <w:r>
              <w:rPr/>
              <w:t>6.8</w:t>
            </w:r>
          </w:p>
        </w:tc>
      </w:tr>
      <w:tr>
        <w:trPr/>
        <w:tc>
          <w:tcPr>
            <w:tcW w:w="1616" w:type="dxa"/>
            <w:tcBorders/>
          </w:tcPr>
          <w:p>
            <w:pPr>
              <w:pStyle w:val="TableContents"/>
              <w:bidi w:val="0"/>
              <w:spacing w:before="0" w:after="283"/>
              <w:jc w:val="right"/>
              <w:rPr/>
            </w:pPr>
            <w:r>
              <w:rPr/>
              <w:t>§ 317(a)(1)</w:t>
            </w:r>
          </w:p>
        </w:tc>
        <w:tc>
          <w:tcPr>
            <w:tcW w:w="113" w:type="dxa"/>
            <w:tcBorders/>
            <w:vAlign w:val="bottom"/>
          </w:tcPr>
          <w:p>
            <w:pPr>
              <w:pStyle w:val="TableContents"/>
              <w:bidi w:val="0"/>
              <w:spacing w:before="0" w:after="283"/>
              <w:jc w:val="left"/>
              <w:rPr/>
            </w:pPr>
            <w:r>
              <w:rPr/>
              <w:t> </w:t>
            </w:r>
          </w:p>
        </w:tc>
        <w:tc>
          <w:tcPr>
            <w:tcW w:w="685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92" w:type="dxa"/>
            <w:tcBorders/>
          </w:tcPr>
          <w:p>
            <w:pPr>
              <w:pStyle w:val="TableContents"/>
              <w:bidi w:val="0"/>
              <w:spacing w:before="0" w:after="283"/>
              <w:jc w:val="left"/>
              <w:rPr/>
            </w:pPr>
            <w:r>
              <w:rPr/>
              <w:t>6.3</w:t>
            </w:r>
          </w:p>
        </w:tc>
      </w:tr>
      <w:tr>
        <w:trPr/>
        <w:tc>
          <w:tcPr>
            <w:tcW w:w="1616" w:type="dxa"/>
            <w:tcBorders/>
          </w:tcPr>
          <w:p>
            <w:pPr>
              <w:pStyle w:val="TableContents"/>
              <w:bidi w:val="0"/>
              <w:spacing w:before="0" w:after="283"/>
              <w:jc w:val="right"/>
              <w:rPr/>
            </w:pPr>
            <w:r>
              <w:rPr/>
              <w:t>(a)(2)</w:t>
            </w:r>
          </w:p>
        </w:tc>
        <w:tc>
          <w:tcPr>
            <w:tcW w:w="113" w:type="dxa"/>
            <w:tcBorders/>
            <w:vAlign w:val="bottom"/>
          </w:tcPr>
          <w:p>
            <w:pPr>
              <w:pStyle w:val="TableContents"/>
              <w:bidi w:val="0"/>
              <w:spacing w:before="0" w:after="283"/>
              <w:jc w:val="left"/>
              <w:rPr/>
            </w:pPr>
            <w:r>
              <w:rPr/>
              <w:t> </w:t>
            </w:r>
          </w:p>
        </w:tc>
        <w:tc>
          <w:tcPr>
            <w:tcW w:w="685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92" w:type="dxa"/>
            <w:tcBorders/>
          </w:tcPr>
          <w:p>
            <w:pPr>
              <w:pStyle w:val="TableContents"/>
              <w:bidi w:val="0"/>
              <w:spacing w:before="0" w:after="283"/>
              <w:jc w:val="left"/>
              <w:rPr/>
            </w:pPr>
            <w:r>
              <w:rPr/>
              <w:t>6.4</w:t>
            </w:r>
          </w:p>
        </w:tc>
      </w:tr>
      <w:tr>
        <w:trPr/>
        <w:tc>
          <w:tcPr>
            <w:tcW w:w="1616" w:type="dxa"/>
            <w:tcBorders/>
          </w:tcPr>
          <w:p>
            <w:pPr>
              <w:pStyle w:val="TableContents"/>
              <w:bidi w:val="0"/>
              <w:spacing w:before="0" w:after="283"/>
              <w:jc w:val="right"/>
              <w:rPr/>
            </w:pPr>
            <w:r>
              <w:rPr/>
              <w:t>(b)</w:t>
            </w:r>
          </w:p>
        </w:tc>
        <w:tc>
          <w:tcPr>
            <w:tcW w:w="113" w:type="dxa"/>
            <w:tcBorders/>
            <w:vAlign w:val="bottom"/>
          </w:tcPr>
          <w:p>
            <w:pPr>
              <w:pStyle w:val="TableContents"/>
              <w:bidi w:val="0"/>
              <w:spacing w:before="0" w:after="283"/>
              <w:jc w:val="left"/>
              <w:rPr/>
            </w:pPr>
            <w:r>
              <w:rPr/>
              <w:t> </w:t>
            </w:r>
          </w:p>
        </w:tc>
        <w:tc>
          <w:tcPr>
            <w:tcW w:w="685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92" w:type="dxa"/>
            <w:tcBorders/>
          </w:tcPr>
          <w:p>
            <w:pPr>
              <w:pStyle w:val="TableContents"/>
              <w:bidi w:val="0"/>
              <w:spacing w:before="0" w:after="283"/>
              <w:jc w:val="left"/>
              <w:rPr/>
            </w:pPr>
            <w:r>
              <w:rPr/>
              <w:t>2.6</w:t>
            </w:r>
          </w:p>
        </w:tc>
      </w:tr>
      <w:tr>
        <w:trPr/>
        <w:tc>
          <w:tcPr>
            <w:tcW w:w="1616" w:type="dxa"/>
            <w:tcBorders/>
          </w:tcPr>
          <w:p>
            <w:pPr>
              <w:pStyle w:val="TableContents"/>
              <w:bidi w:val="0"/>
              <w:spacing w:before="0" w:after="283"/>
              <w:jc w:val="right"/>
              <w:rPr/>
            </w:pPr>
            <w:r>
              <w:rPr/>
              <w:t>§ 318(a)</w:t>
            </w:r>
          </w:p>
        </w:tc>
        <w:tc>
          <w:tcPr>
            <w:tcW w:w="113" w:type="dxa"/>
            <w:tcBorders/>
            <w:vAlign w:val="bottom"/>
          </w:tcPr>
          <w:p>
            <w:pPr>
              <w:pStyle w:val="TableContents"/>
              <w:bidi w:val="0"/>
              <w:spacing w:before="0" w:after="283"/>
              <w:jc w:val="left"/>
              <w:rPr/>
            </w:pPr>
            <w:r>
              <w:rPr/>
              <w:t> </w:t>
            </w:r>
          </w:p>
        </w:tc>
        <w:tc>
          <w:tcPr>
            <w:tcW w:w="685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92" w:type="dxa"/>
            <w:tcBorders/>
          </w:tcPr>
          <w:p>
            <w:pPr>
              <w:pStyle w:val="TableContents"/>
              <w:bidi w:val="0"/>
              <w:spacing w:before="0" w:after="283"/>
              <w:jc w:val="left"/>
              <w:rPr/>
            </w:pPr>
            <w:r>
              <w:rPr/>
              <w:t>10.1</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 This reconciliation and tie shall not, for any purpose, be deemed to be part of the Indenture.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Indenture dated as of , 20 , between ELEDON PHARMACEUTICALS, INC., a company incorporated under the laws of the State of Delaware (“</w:t>
      </w:r>
      <w:r>
        <w:rPr>
          <w:rFonts w:ascii="Times New Roman" w:hAnsi="Times New Roman"/>
          <w:i/>
          <w:sz w:val="20"/>
        </w:rPr>
        <w:t>Company</w:t>
      </w:r>
      <w:r>
        <w:rPr>
          <w:rFonts w:ascii="Times New Roman" w:hAnsi="Times New Roman"/>
          <w:sz w:val="20"/>
        </w:rPr>
        <w:t>”), and , as trustee (“</w:t>
      </w:r>
      <w:r>
        <w:rPr>
          <w:rFonts w:ascii="Times New Roman" w:hAnsi="Times New Roman"/>
          <w:i/>
          <w:sz w:val="20"/>
        </w:rPr>
        <w:t>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party agrees as follows for the benefit of the other party and for the equal and ratable benefit of the Holders of the Securities issued under this Indenture.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0" w:after="0"/>
        <w:jc w:val="center"/>
        <w:rPr>
          <w:rFonts w:ascii="Times New Roman" w:hAnsi="Times New Roman"/>
          <w:sz w:val="20"/>
        </w:rPr>
      </w:pPr>
      <w:r>
        <w:rPr>
          <w:rFonts w:ascii="Times New Roman" w:hAnsi="Times New Roman"/>
          <w:sz w:val="20"/>
        </w:rPr>
        <w:t xml:space="preserve">DEFINITIONS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Definitions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Affiliate</w:t>
      </w:r>
      <w:r>
        <w:rPr>
          <w:rFonts w:ascii="Times New Roman" w:hAnsi="Times New Roman"/>
          <w:sz w:val="20"/>
        </w:rPr>
        <w:t xml:space="preserve">”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 </w:t>
      </w:r>
    </w:p>
    <w:p>
      <w:pPr>
        <w:pStyle w:val="TextBody"/>
        <w:bidi w:val="0"/>
        <w:spacing w:before="240" w:after="0"/>
        <w:jc w:val="left"/>
        <w:rPr/>
      </w:pPr>
      <w:r>
        <w:rPr/>
        <w:t>“</w:t>
      </w:r>
      <w:r>
        <w:rPr>
          <w:rFonts w:ascii="Times New Roman" w:hAnsi="Times New Roman"/>
          <w:i/>
          <w:sz w:val="20"/>
        </w:rPr>
        <w:t>Agent</w:t>
      </w:r>
      <w:r>
        <w:rPr>
          <w:rFonts w:ascii="Times New Roman" w:hAnsi="Times New Roman"/>
          <w:sz w:val="20"/>
        </w:rPr>
        <w:t xml:space="preserve">” means any Registrar or Paying Agent. </w:t>
      </w:r>
    </w:p>
    <w:p>
      <w:pPr>
        <w:pStyle w:val="TextBody"/>
        <w:bidi w:val="0"/>
        <w:spacing w:before="240" w:after="0"/>
        <w:jc w:val="left"/>
        <w:rPr/>
      </w:pPr>
      <w:r>
        <w:rPr/>
        <w:t>“</w:t>
      </w:r>
      <w:r>
        <w:rPr>
          <w:rFonts w:ascii="Times New Roman" w:hAnsi="Times New Roman"/>
          <w:i/>
          <w:sz w:val="20"/>
        </w:rPr>
        <w:t>Board of Directors</w:t>
      </w:r>
      <w:r>
        <w:rPr>
          <w:rFonts w:ascii="Times New Roman" w:hAnsi="Times New Roman"/>
          <w:sz w:val="20"/>
        </w:rPr>
        <w:t xml:space="preserve">” means the board of directors of the Company or any duly authorized committee thereof. </w:t>
      </w:r>
    </w:p>
    <w:p>
      <w:pPr>
        <w:pStyle w:val="TextBody"/>
        <w:bidi w:val="0"/>
        <w:spacing w:before="240" w:after="0"/>
        <w:jc w:val="left"/>
        <w:rPr/>
      </w:pPr>
      <w:r>
        <w:rPr/>
        <w:t>“</w:t>
      </w:r>
      <w:r>
        <w:rPr>
          <w:rFonts w:ascii="Times New Roman" w:hAnsi="Times New Roman"/>
          <w:i/>
          <w:sz w:val="20"/>
        </w:rPr>
        <w:t>Board Resolution</w:t>
      </w:r>
      <w:r>
        <w:rPr>
          <w:rFonts w:ascii="Times New Roman" w:hAnsi="Times New Roman"/>
          <w:sz w:val="20"/>
        </w:rPr>
        <w:t xml:space="preserve">” means a copy of a resolution certified by the Secretary or an Assistant Secretary of the Company to have been adopted by the Board of Directors or pursuant to authorization by the Board of Directors and to be in full force and effect on the date of the certification and delivered to the Trustee. </w:t>
      </w:r>
    </w:p>
    <w:p>
      <w:pPr>
        <w:pStyle w:val="TextBody"/>
        <w:bidi w:val="0"/>
        <w:spacing w:before="240" w:after="0"/>
        <w:jc w:val="left"/>
        <w:rPr/>
      </w:pPr>
      <w:r>
        <w:rPr/>
        <w:t>“</w:t>
      </w:r>
      <w:r>
        <w:rPr>
          <w:rFonts w:ascii="Times New Roman" w:hAnsi="Times New Roman"/>
          <w:i/>
          <w:sz w:val="20"/>
        </w:rPr>
        <w:t>Business Day</w:t>
      </w:r>
      <w:r>
        <w:rPr>
          <w:rFonts w:ascii="Times New Roman" w:hAnsi="Times New Roman"/>
          <w:sz w:val="20"/>
        </w:rPr>
        <w:t xml:space="preserve">” means, for a particular Series, any day except a Saturday, Sunday or any day, including a legal holiday, on which banking institutions are authorized or required by law, regulation or executive order to close in The City of New York (or in connection with any payment, the place of payment). </w:t>
      </w:r>
    </w:p>
    <w:p>
      <w:pPr>
        <w:pStyle w:val="TextBody"/>
        <w:bidi w:val="0"/>
        <w:spacing w:before="240" w:after="0"/>
        <w:jc w:val="left"/>
        <w:rPr/>
      </w:pPr>
      <w:r>
        <w:rPr/>
        <w:t>“</w:t>
      </w:r>
      <w:r>
        <w:rPr>
          <w:rFonts w:ascii="Times New Roman" w:hAnsi="Times New Roman"/>
          <w:i/>
          <w:sz w:val="20"/>
        </w:rPr>
        <w:t>Capital Stock</w:t>
      </w:r>
      <w:r>
        <w:rPr>
          <w:rFonts w:ascii="Times New Roman" w:hAnsi="Times New Roman"/>
          <w:sz w:val="20"/>
        </w:rPr>
        <w:t xml:space="preserve">” of any person means any and all shares, interests, participations, rights or other equivalents (however designated) of the equity of such person. </w:t>
      </w:r>
    </w:p>
    <w:p>
      <w:pPr>
        <w:pStyle w:val="TextBody"/>
        <w:bidi w:val="0"/>
        <w:spacing w:before="240" w:after="0"/>
        <w:jc w:val="left"/>
        <w:rPr/>
      </w:pPr>
      <w:r>
        <w:rPr/>
        <w:t>“</w:t>
      </w:r>
      <w:r>
        <w:rPr>
          <w:rFonts w:ascii="Times New Roman" w:hAnsi="Times New Roman"/>
          <w:i/>
          <w:sz w:val="20"/>
        </w:rPr>
        <w:t>Certificated Securities</w:t>
      </w:r>
      <w:r>
        <w:rPr>
          <w:rFonts w:ascii="Times New Roman" w:hAnsi="Times New Roman"/>
          <w:sz w:val="20"/>
        </w:rPr>
        <w:t xml:space="preserve">” means definitive Securities in registered non-global certificated form. </w:t>
      </w:r>
    </w:p>
    <w:p>
      <w:pPr>
        <w:pStyle w:val="TextBody"/>
        <w:bidi w:val="0"/>
        <w:spacing w:before="240" w:after="0"/>
        <w:jc w:val="left"/>
        <w:rPr/>
      </w:pPr>
      <w:r>
        <w:rPr/>
        <w:t>“</w:t>
      </w:r>
      <w:r>
        <w:rPr>
          <w:rFonts w:ascii="Times New Roman" w:hAnsi="Times New Roman"/>
          <w:i/>
          <w:sz w:val="20"/>
        </w:rPr>
        <w:t>Company</w:t>
      </w:r>
      <w:r>
        <w:rPr>
          <w:rFonts w:ascii="Times New Roman" w:hAnsi="Times New Roman"/>
          <w:sz w:val="20"/>
        </w:rPr>
        <w:t xml:space="preserve">” means the party named as such above until a successor, which duly assumes the obligations under this Indenture, replaces it and thereafter means the successor. </w:t>
      </w:r>
    </w:p>
    <w:p>
      <w:pPr>
        <w:pStyle w:val="TextBody"/>
        <w:bidi w:val="0"/>
        <w:spacing w:before="240" w:after="0"/>
        <w:jc w:val="left"/>
        <w:rPr/>
      </w:pPr>
      <w:r>
        <w:rPr/>
        <w:t>“</w:t>
      </w:r>
      <w:r>
        <w:rPr>
          <w:rFonts w:ascii="Times New Roman" w:hAnsi="Times New Roman"/>
          <w:i/>
          <w:sz w:val="20"/>
        </w:rPr>
        <w:t>Company Order</w:t>
      </w:r>
      <w:r>
        <w:rPr>
          <w:rFonts w:ascii="Times New Roman" w:hAnsi="Times New Roman"/>
          <w:sz w:val="20"/>
        </w:rPr>
        <w:t xml:space="preserve">” means a written order signed in the name of the Company by an Officer. </w:t>
      </w:r>
    </w:p>
    <w:p>
      <w:pPr>
        <w:pStyle w:val="TextBody"/>
        <w:bidi w:val="0"/>
        <w:spacing w:before="240" w:after="0"/>
        <w:jc w:val="left"/>
        <w:rPr/>
      </w:pPr>
      <w:r>
        <w:rPr/>
        <w:t>“</w:t>
      </w:r>
      <w:r>
        <w:rPr>
          <w:rFonts w:ascii="Times New Roman" w:hAnsi="Times New Roman"/>
          <w:i/>
          <w:sz w:val="20"/>
        </w:rPr>
        <w:t>Corporate Trust Office</w:t>
      </w:r>
      <w:r>
        <w:rPr>
          <w:rFonts w:ascii="Times New Roman" w:hAnsi="Times New Roman"/>
          <w:sz w:val="20"/>
        </w:rPr>
        <w:t xml:space="preserve">” means the office of the Trustee at which at any particular time its corporate trust business related to this Indenture shall be principally administered, which office at the date hereof is located at , ; Attention: , or such other address as the Trustee may designate from time to time by notice to the Holders and the Company, or the corporate trust office of any successor Trustee at which this Indenture shall be administered (or such other address as a successor Trustee may designate from time to time by notice to the Holders of the Company). </w:t>
      </w:r>
    </w:p>
    <w:p>
      <w:pPr>
        <w:pStyle w:val="TextBody"/>
        <w:bidi w:val="0"/>
        <w:spacing w:before="240" w:after="0"/>
        <w:jc w:val="left"/>
        <w:rPr/>
      </w:pPr>
      <w:r>
        <w:rPr/>
        <w:t>“</w:t>
      </w:r>
      <w:r>
        <w:rPr>
          <w:rFonts w:ascii="Times New Roman" w:hAnsi="Times New Roman"/>
          <w:i/>
          <w:sz w:val="20"/>
        </w:rPr>
        <w:t>Default</w:t>
      </w:r>
      <w:r>
        <w:rPr>
          <w:rFonts w:ascii="Times New Roman" w:hAnsi="Times New Roman"/>
          <w:sz w:val="20"/>
        </w:rPr>
        <w:t xml:space="preserve">” means any event which is, or after notice or passage of time or both would be, an Event of Default. </w:t>
      </w:r>
    </w:p>
    <w:p>
      <w:pPr>
        <w:pStyle w:val="TextBody"/>
        <w:bidi w:val="0"/>
        <w:spacing w:before="240" w:after="0"/>
        <w:jc w:val="left"/>
        <w:rPr/>
      </w:pPr>
      <w:r>
        <w:rPr/>
        <w:t>“</w:t>
      </w:r>
      <w:r>
        <w:rPr>
          <w:rFonts w:ascii="Times New Roman" w:hAnsi="Times New Roman"/>
          <w:i/>
          <w:sz w:val="20"/>
        </w:rPr>
        <w:t>Depositary</w:t>
      </w:r>
      <w:r>
        <w:rPr>
          <w:rFonts w:ascii="Times New Roman" w:hAnsi="Times New Roman"/>
          <w:sz w:val="20"/>
        </w:rPr>
        <w:t xml:space="preserve">”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Discount Security</w:t>
      </w:r>
      <w:r>
        <w:rPr>
          <w:rFonts w:ascii="Times New Roman" w:hAnsi="Times New Roman"/>
          <w:sz w:val="20"/>
        </w:rPr>
        <w:t xml:space="preserve">” means any Security that provides for an amount less than the stated principal amount thereof to be due and payable upon declaration of acceleration of the maturity thereof pursuant to Section 6.2. </w:t>
      </w:r>
    </w:p>
    <w:p>
      <w:pPr>
        <w:pStyle w:val="TextBody"/>
        <w:bidi w:val="0"/>
        <w:spacing w:before="240" w:after="0"/>
        <w:jc w:val="left"/>
        <w:rPr/>
      </w:pPr>
      <w:r>
        <w:rPr/>
        <w:t>“</w:t>
      </w:r>
      <w:r>
        <w:rPr>
          <w:rFonts w:ascii="Times New Roman" w:hAnsi="Times New Roman"/>
          <w:i/>
          <w:sz w:val="20"/>
        </w:rPr>
        <w:t>Dollars</w:t>
      </w:r>
      <w:r>
        <w:rPr>
          <w:rFonts w:ascii="Times New Roman" w:hAnsi="Times New Roman"/>
          <w:sz w:val="20"/>
        </w:rPr>
        <w:t>” and “</w:t>
      </w:r>
      <w:r>
        <w:rPr>
          <w:rFonts w:ascii="Times New Roman" w:hAnsi="Times New Roman"/>
          <w:i/>
          <w:sz w:val="20"/>
        </w:rPr>
        <w:t>$</w:t>
      </w:r>
      <w:r>
        <w:rPr>
          <w:rFonts w:ascii="Times New Roman" w:hAnsi="Times New Roman"/>
          <w:sz w:val="20"/>
        </w:rPr>
        <w:t xml:space="preserve">” means the currency of The United States of America. </w:t>
      </w:r>
    </w:p>
    <w:p>
      <w:pPr>
        <w:pStyle w:val="TextBody"/>
        <w:bidi w:val="0"/>
        <w:spacing w:before="240" w:after="0"/>
        <w:jc w:val="left"/>
        <w:rPr/>
      </w:pPr>
      <w:r>
        <w:rPr/>
        <w:t>“</w:t>
      </w:r>
      <w:r>
        <w:rPr>
          <w:rFonts w:ascii="Times New Roman" w:hAnsi="Times New Roman"/>
          <w:i/>
          <w:sz w:val="20"/>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i/>
          <w:sz w:val="20"/>
        </w:rPr>
        <w:t>Foreign Currency</w:t>
      </w:r>
      <w:r>
        <w:rPr>
          <w:rFonts w:ascii="Times New Roman" w:hAnsi="Times New Roman"/>
          <w:sz w:val="20"/>
        </w:rPr>
        <w:t xml:space="preserve">” means any currency or currency unit issued by a government other than the government of The United States of America. </w:t>
      </w:r>
    </w:p>
    <w:p>
      <w:pPr>
        <w:pStyle w:val="TextBody"/>
        <w:bidi w:val="0"/>
        <w:spacing w:before="240" w:after="0"/>
        <w:jc w:val="left"/>
        <w:rPr/>
      </w:pPr>
      <w:r>
        <w:rPr/>
        <w:t>“</w:t>
      </w:r>
      <w:r>
        <w:rPr>
          <w:rFonts w:ascii="Times New Roman" w:hAnsi="Times New Roman"/>
          <w:i/>
          <w:sz w:val="20"/>
        </w:rPr>
        <w:t>Foreign Government Obligations</w:t>
      </w:r>
      <w:r>
        <w:rPr>
          <w:rFonts w:ascii="Times New Roman" w:hAnsi="Times New Roman"/>
          <w:sz w:val="20"/>
        </w:rPr>
        <w:t xml:space="preserve">”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 </w:t>
      </w:r>
    </w:p>
    <w:p>
      <w:pPr>
        <w:pStyle w:val="TextBody"/>
        <w:bidi w:val="0"/>
        <w:spacing w:before="240" w:after="0"/>
        <w:jc w:val="left"/>
        <w:rPr/>
      </w:pPr>
      <w:r>
        <w:rPr/>
        <w:t>“</w:t>
      </w:r>
      <w:r>
        <w:rPr>
          <w:rFonts w:ascii="Times New Roman" w:hAnsi="Times New Roman"/>
          <w:i/>
          <w:sz w:val="20"/>
        </w:rPr>
        <w:t>GAAP</w:t>
      </w:r>
      <w:r>
        <w:rPr>
          <w:rFonts w:ascii="Times New Roman" w:hAnsi="Times New Roman"/>
          <w:sz w:val="20"/>
        </w:rPr>
        <w:t xml:space="preserve">” means accounting principles generally accepted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 </w:t>
      </w:r>
    </w:p>
    <w:p>
      <w:pPr>
        <w:pStyle w:val="TextBody"/>
        <w:bidi w:val="0"/>
        <w:spacing w:before="240" w:after="0"/>
        <w:jc w:val="left"/>
        <w:rPr/>
      </w:pPr>
      <w:r>
        <w:rPr/>
        <w:t>“</w:t>
      </w:r>
      <w:r>
        <w:rPr>
          <w:rFonts w:ascii="Times New Roman" w:hAnsi="Times New Roman"/>
          <w:i/>
          <w:sz w:val="20"/>
        </w:rPr>
        <w:t>Global Security</w:t>
      </w:r>
      <w:r>
        <w:rPr>
          <w:rFonts w:ascii="Times New Roman" w:hAnsi="Times New Roman"/>
          <w:sz w:val="20"/>
        </w:rPr>
        <w:t>” or “</w:t>
      </w:r>
      <w:r>
        <w:rPr>
          <w:rFonts w:ascii="Times New Roman" w:hAnsi="Times New Roman"/>
          <w:i/>
          <w:sz w:val="20"/>
        </w:rPr>
        <w:t>Global Securities</w:t>
      </w:r>
      <w:r>
        <w:rPr>
          <w:rFonts w:ascii="Times New Roman" w:hAnsi="Times New Roman"/>
          <w:sz w:val="20"/>
        </w:rPr>
        <w:t xml:space="preserve">” means a Security or Securities, as the case may be, in the form established pursuant to Section 2.2 evidencing all or part of a Series of Securities, issued to the Depositary for such Series or its nominee, and registered in the name of such Depositary or nominee. </w:t>
      </w:r>
    </w:p>
    <w:p>
      <w:pPr>
        <w:pStyle w:val="TextBody"/>
        <w:bidi w:val="0"/>
        <w:spacing w:before="240" w:after="0"/>
        <w:jc w:val="left"/>
        <w:rPr/>
      </w:pPr>
      <w:r>
        <w:rPr/>
        <w:t>“</w:t>
      </w:r>
      <w:r>
        <w:rPr>
          <w:rFonts w:ascii="Times New Roman" w:hAnsi="Times New Roman"/>
          <w:i/>
          <w:sz w:val="20"/>
        </w:rPr>
        <w:t>Holder</w:t>
      </w:r>
      <w:r>
        <w:rPr>
          <w:rFonts w:ascii="Times New Roman" w:hAnsi="Times New Roman"/>
          <w:sz w:val="20"/>
        </w:rPr>
        <w:t>” or “</w:t>
      </w:r>
      <w:r>
        <w:rPr>
          <w:rFonts w:ascii="Times New Roman" w:hAnsi="Times New Roman"/>
          <w:i/>
          <w:sz w:val="20"/>
        </w:rPr>
        <w:t>Securityholder</w:t>
      </w:r>
      <w:r>
        <w:rPr>
          <w:rFonts w:ascii="Times New Roman" w:hAnsi="Times New Roman"/>
          <w:sz w:val="20"/>
        </w:rPr>
        <w:t xml:space="preserve">” means a person in whose name a Security is registered on the books of the Registrar. </w:t>
      </w:r>
    </w:p>
    <w:p>
      <w:pPr>
        <w:pStyle w:val="TextBody"/>
        <w:bidi w:val="0"/>
        <w:spacing w:before="240" w:after="0"/>
        <w:jc w:val="left"/>
        <w:rPr/>
      </w:pPr>
      <w:r>
        <w:rPr/>
        <w:t>“</w:t>
      </w:r>
      <w:r>
        <w:rPr>
          <w:rFonts w:ascii="Times New Roman" w:hAnsi="Times New Roman"/>
          <w:i/>
          <w:sz w:val="20"/>
        </w:rPr>
        <w:t>Indenture</w:t>
      </w:r>
      <w:r>
        <w:rPr>
          <w:rFonts w:ascii="Times New Roman" w:hAnsi="Times New Roman"/>
          <w:sz w:val="20"/>
        </w:rPr>
        <w:t xml:space="preserve">” means this Indenture as amended or supplemented from time to time and shall include the form and terms of particular Series of Securities established as contemplated hereunder. </w:t>
      </w:r>
    </w:p>
    <w:p>
      <w:pPr>
        <w:pStyle w:val="TextBody"/>
        <w:bidi w:val="0"/>
        <w:spacing w:before="240" w:after="0"/>
        <w:jc w:val="left"/>
        <w:rPr/>
      </w:pPr>
      <w:r>
        <w:rPr/>
        <w:t>“</w:t>
      </w:r>
      <w:r>
        <w:rPr>
          <w:rFonts w:ascii="Times New Roman" w:hAnsi="Times New Roman"/>
          <w:i/>
          <w:sz w:val="20"/>
        </w:rPr>
        <w:t>interest</w:t>
      </w:r>
      <w:r>
        <w:rPr>
          <w:rFonts w:ascii="Times New Roman" w:hAnsi="Times New Roman"/>
          <w:sz w:val="20"/>
        </w:rPr>
        <w:t xml:space="preserve">” means, with respect to any Security, any interest on such Security, and with respect to any Discount Security which by its terms bears interest only after Maturity, interest payable after Maturity. </w:t>
      </w:r>
    </w:p>
    <w:p>
      <w:pPr>
        <w:pStyle w:val="TextBody"/>
        <w:bidi w:val="0"/>
        <w:spacing w:before="240" w:after="0"/>
        <w:jc w:val="left"/>
        <w:rPr/>
      </w:pPr>
      <w:r>
        <w:rPr/>
        <w:t>“</w:t>
      </w:r>
      <w:r>
        <w:rPr>
          <w:rFonts w:ascii="Times New Roman" w:hAnsi="Times New Roman"/>
          <w:i/>
          <w:sz w:val="20"/>
        </w:rPr>
        <w:t>Maturity</w:t>
      </w:r>
      <w:r>
        <w:rPr>
          <w:rFonts w:ascii="Times New Roman" w:hAnsi="Times New Roman"/>
          <w:sz w:val="20"/>
        </w:rPr>
        <w:t xml:space="preserve">,” when used with respect to any Security, means the date on which the principal of such Security becomes due and payable as therein or herein provided, whether at the Stated Maturity or by declaration of acceleration, call for redemption or otherwise. </w:t>
      </w:r>
    </w:p>
    <w:p>
      <w:pPr>
        <w:pStyle w:val="TextBody"/>
        <w:bidi w:val="0"/>
        <w:spacing w:before="240" w:after="0"/>
        <w:jc w:val="left"/>
        <w:rPr/>
      </w:pPr>
      <w:r>
        <w:rPr/>
        <w:t>“</w:t>
      </w:r>
      <w:r>
        <w:rPr>
          <w:rFonts w:ascii="Times New Roman" w:hAnsi="Times New Roman"/>
          <w:i/>
          <w:sz w:val="20"/>
        </w:rPr>
        <w:t>Officer</w:t>
      </w:r>
      <w:r>
        <w:rPr>
          <w:rFonts w:ascii="Times New Roman" w:hAnsi="Times New Roman"/>
          <w:sz w:val="20"/>
        </w:rPr>
        <w:t xml:space="preserve">” means the Chief Executive Officer, President, any Vice President, the Treasurer or Secretary of the Company. </w:t>
      </w:r>
    </w:p>
    <w:p>
      <w:pPr>
        <w:pStyle w:val="TextBody"/>
        <w:bidi w:val="0"/>
        <w:spacing w:before="240" w:after="0"/>
        <w:jc w:val="left"/>
        <w:rPr/>
      </w:pPr>
      <w:r>
        <w:rPr/>
        <w:t>“</w:t>
      </w:r>
      <w:r>
        <w:rPr>
          <w:rFonts w:ascii="Times New Roman" w:hAnsi="Times New Roman"/>
          <w:i/>
          <w:sz w:val="20"/>
        </w:rPr>
        <w:t>Officer’s Certificate</w:t>
      </w:r>
      <w:r>
        <w:rPr>
          <w:rFonts w:ascii="Times New Roman" w:hAnsi="Times New Roman"/>
          <w:sz w:val="20"/>
        </w:rPr>
        <w:t xml:space="preserve">” means a certificate signed by any Officer (or any person designated in writing by an Officer of the Company as authorized to execute and deliver Officer’s Certificates) and delivered to the Trustee. </w:t>
      </w:r>
    </w:p>
    <w:p>
      <w:pPr>
        <w:pStyle w:val="TextBody"/>
        <w:bidi w:val="0"/>
        <w:spacing w:before="240" w:after="0"/>
        <w:jc w:val="left"/>
        <w:rPr/>
      </w:pPr>
      <w:r>
        <w:rPr/>
        <w:t>“</w:t>
      </w:r>
      <w:r>
        <w:rPr>
          <w:rFonts w:ascii="Times New Roman" w:hAnsi="Times New Roman"/>
          <w:i/>
          <w:sz w:val="20"/>
        </w:rPr>
        <w:t>Opinion of Counsel</w:t>
      </w:r>
      <w:r>
        <w:rPr>
          <w:rFonts w:ascii="Times New Roman" w:hAnsi="Times New Roman"/>
          <w:sz w:val="20"/>
        </w:rPr>
        <w:t xml:space="preserve">” means a written opinion of legal counsel. The counsel may be an employee of or counsel to the Company. Opinions of Counsel required to be delivered under this Indenture may have qualifications customary for opinions of the type required. </w:t>
      </w:r>
    </w:p>
    <w:p>
      <w:pPr>
        <w:pStyle w:val="TextBody"/>
        <w:bidi w:val="0"/>
        <w:spacing w:before="240" w:after="0"/>
        <w:jc w:val="left"/>
        <w:rPr/>
      </w:pPr>
      <w:r>
        <w:rPr/>
        <w:t>“</w:t>
      </w:r>
      <w:r>
        <w:rPr>
          <w:rFonts w:ascii="Times New Roman" w:hAnsi="Times New Roman"/>
          <w:i/>
          <w:sz w:val="20"/>
        </w:rPr>
        <w:t>person</w:t>
      </w:r>
      <w:r>
        <w:rPr>
          <w:rFonts w:ascii="Times New Roman" w:hAnsi="Times New Roman"/>
          <w:sz w:val="20"/>
        </w:rPr>
        <w:t xml:space="preserve">” means any individual, corporation, company, voluntary association, partnership, trust, joint venture, limited liability company, unincorporated organization or government or any agency, instrumentality or political subdivision thereof. </w:t>
      </w:r>
    </w:p>
    <w:p>
      <w:pPr>
        <w:pStyle w:val="TextBody"/>
        <w:bidi w:val="0"/>
        <w:spacing w:before="240" w:after="0"/>
        <w:jc w:val="left"/>
        <w:rPr/>
      </w:pPr>
      <w:r>
        <w:rPr/>
        <w:t>“</w:t>
      </w:r>
      <w:r>
        <w:rPr>
          <w:rFonts w:ascii="Times New Roman" w:hAnsi="Times New Roman"/>
          <w:i/>
          <w:sz w:val="20"/>
        </w:rPr>
        <w:t>principal</w:t>
      </w:r>
      <w:r>
        <w:rPr>
          <w:rFonts w:ascii="Times New Roman" w:hAnsi="Times New Roman"/>
          <w:sz w:val="20"/>
        </w:rPr>
        <w:t xml:space="preserve">” of a Security means the principal of the Security plus, when appropriate, the premium, if any, on the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Responsible Officer</w:t>
      </w:r>
      <w:r>
        <w:rPr>
          <w:rFonts w:ascii="Times New Roman" w:hAnsi="Times New Roman"/>
          <w:sz w:val="20"/>
        </w:rPr>
        <w:t xml:space="preserve">” means any officer of the Trustee in its Corporate Trust Office having direct responsibility for administration of this Indenture and also means, with respect to a particular corporate trust matter, any other officer to whom any corporate trust matter is referred because of his or her knowledge of and familiarity with a particular subject and who shall have direct responsibility for the administration of this Indenture. </w:t>
      </w:r>
    </w:p>
    <w:p>
      <w:pPr>
        <w:pStyle w:val="TextBody"/>
        <w:bidi w:val="0"/>
        <w:spacing w:before="240" w:after="0"/>
        <w:jc w:val="left"/>
        <w:rPr/>
      </w:pPr>
      <w:r>
        <w:rPr/>
        <w:t>“</w:t>
      </w:r>
      <w:r>
        <w:rPr>
          <w:rFonts w:ascii="Times New Roman" w:hAnsi="Times New Roman"/>
          <w:i/>
          <w:sz w:val="20"/>
        </w:rPr>
        <w:t>SEC</w:t>
      </w:r>
      <w:r>
        <w:rPr>
          <w:rFonts w:ascii="Times New Roman" w:hAnsi="Times New Roman"/>
          <w:sz w:val="20"/>
        </w:rPr>
        <w:t xml:space="preserve">” means the Securities and Exchange Commission. </w:t>
      </w:r>
    </w:p>
    <w:p>
      <w:pPr>
        <w:pStyle w:val="TextBody"/>
        <w:bidi w:val="0"/>
        <w:spacing w:before="240" w:after="0"/>
        <w:jc w:val="left"/>
        <w:rPr/>
      </w:pPr>
      <w:r>
        <w:rPr/>
        <w:t>“</w:t>
      </w:r>
      <w:r>
        <w:rPr>
          <w:rFonts w:ascii="Times New Roman" w:hAnsi="Times New Roman"/>
          <w:i/>
          <w:sz w:val="20"/>
        </w:rPr>
        <w:t>Securities</w:t>
      </w:r>
      <w:r>
        <w:rPr>
          <w:rFonts w:ascii="Times New Roman" w:hAnsi="Times New Roman"/>
          <w:sz w:val="20"/>
        </w:rPr>
        <w:t xml:space="preserve">” means the debentures, notes or other debt instruments of the Company of any Series authenticated and delivered under this Indenture. </w:t>
      </w:r>
    </w:p>
    <w:p>
      <w:pPr>
        <w:pStyle w:val="TextBody"/>
        <w:bidi w:val="0"/>
        <w:spacing w:before="240" w:after="0"/>
        <w:jc w:val="left"/>
        <w:rPr/>
      </w:pPr>
      <w:r>
        <w:rPr/>
        <w:t>“</w:t>
      </w:r>
      <w:r>
        <w:rPr>
          <w:rFonts w:ascii="Times New Roman" w:hAnsi="Times New Roman"/>
          <w:i/>
          <w:sz w:val="20"/>
        </w:rPr>
        <w:t>Series</w:t>
      </w:r>
      <w:r>
        <w:rPr>
          <w:rFonts w:ascii="Times New Roman" w:hAnsi="Times New Roman"/>
          <w:sz w:val="20"/>
        </w:rPr>
        <w:t>” or “</w:t>
      </w:r>
      <w:r>
        <w:rPr>
          <w:rFonts w:ascii="Times New Roman" w:hAnsi="Times New Roman"/>
          <w:i/>
          <w:sz w:val="20"/>
        </w:rPr>
        <w:t>Series of Securities</w:t>
      </w:r>
      <w:r>
        <w:rPr>
          <w:rFonts w:ascii="Times New Roman" w:hAnsi="Times New Roman"/>
          <w:sz w:val="20"/>
        </w:rPr>
        <w:t xml:space="preserve">” means each series of debentures, notes or other debt instruments of the Company created pursuant to Sections 2.1 and 2.2 hereof. </w:t>
      </w:r>
    </w:p>
    <w:p>
      <w:pPr>
        <w:pStyle w:val="TextBody"/>
        <w:bidi w:val="0"/>
        <w:spacing w:before="240" w:after="0"/>
        <w:jc w:val="left"/>
        <w:rPr/>
      </w:pPr>
      <w:r>
        <w:rPr/>
        <w:t>“</w:t>
      </w:r>
      <w:r>
        <w:rPr>
          <w:rFonts w:ascii="Times New Roman" w:hAnsi="Times New Roman"/>
          <w:i/>
          <w:sz w:val="20"/>
        </w:rPr>
        <w:t>Stated Maturity</w:t>
      </w:r>
      <w:r>
        <w:rPr>
          <w:rFonts w:ascii="Times New Roman" w:hAnsi="Times New Roman"/>
          <w:sz w:val="20"/>
        </w:rPr>
        <w:t xml:space="preserve">” when used with respect to any Security, means the date specified in such Security as the fixed date on which the principal of such Security is due and payable.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means, with respect to any person, any corporation, partnership, joint venture, limited liability company or other business entity of which a majority of the outstanding shares of Capital Stock or other interests having the power to vote in the election of directors, managers or trustees thereof is at the time directly or indirectly owned or controlled by such person or one or more of the other Subsidiaries of such person, or a combination thereof. </w:t>
      </w:r>
    </w:p>
    <w:p>
      <w:pPr>
        <w:pStyle w:val="TextBody"/>
        <w:bidi w:val="0"/>
        <w:spacing w:before="240" w:after="0"/>
        <w:jc w:val="left"/>
        <w:rPr/>
      </w:pPr>
      <w:r>
        <w:rPr/>
        <w:t>“</w:t>
      </w:r>
      <w:r>
        <w:rPr>
          <w:rFonts w:ascii="Times New Roman" w:hAnsi="Times New Roman"/>
          <w:i/>
          <w:sz w:val="20"/>
        </w:rPr>
        <w:t>TIA</w:t>
      </w:r>
      <w:r>
        <w:rPr>
          <w:rFonts w:ascii="Times New Roman" w:hAnsi="Times New Roman"/>
          <w:sz w:val="20"/>
        </w:rPr>
        <w:t xml:space="preserve">” means the Trust Indenture Act of 1939 (15 U.S. Code §§ 77aaa-77bbbb) as in effect on the date of this Indenture;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the Trust Indenture Act of 1939 is amended after such date, “TIA” means, to the extent required by any such amendment, the Trust Indenture Act as so amended. </w:t>
      </w:r>
    </w:p>
    <w:p>
      <w:pPr>
        <w:pStyle w:val="TextBody"/>
        <w:bidi w:val="0"/>
        <w:spacing w:before="240" w:after="0"/>
        <w:jc w:val="left"/>
        <w:rPr/>
      </w:pPr>
      <w:r>
        <w:rPr/>
        <w:t>“</w:t>
      </w:r>
      <w:r>
        <w:rPr>
          <w:rFonts w:ascii="Times New Roman" w:hAnsi="Times New Roman"/>
          <w:i/>
          <w:sz w:val="20"/>
        </w:rPr>
        <w:t>Trustee</w:t>
      </w:r>
      <w:r>
        <w:rPr>
          <w:rFonts w:ascii="Times New Roman" w:hAnsi="Times New Roman"/>
          <w:sz w:val="20"/>
        </w:rPr>
        <w:t xml:space="preserv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 </w:t>
      </w:r>
    </w:p>
    <w:p>
      <w:pPr>
        <w:pStyle w:val="TextBody"/>
        <w:bidi w:val="0"/>
        <w:spacing w:before="240" w:after="0"/>
        <w:jc w:val="left"/>
        <w:rPr/>
      </w:pPr>
      <w:r>
        <w:rPr/>
        <w:t>“</w:t>
      </w:r>
      <w:r>
        <w:rPr>
          <w:rFonts w:ascii="Times New Roman" w:hAnsi="Times New Roman"/>
          <w:i/>
          <w:sz w:val="20"/>
        </w:rPr>
        <w:t>United States</w:t>
      </w:r>
      <w:r>
        <w:rPr>
          <w:rFonts w:ascii="Times New Roman" w:hAnsi="Times New Roman"/>
          <w:sz w:val="20"/>
        </w:rPr>
        <w:t>” or “</w:t>
      </w:r>
      <w:r>
        <w:rPr>
          <w:rFonts w:ascii="Times New Roman" w:hAnsi="Times New Roman"/>
          <w:i/>
          <w:sz w:val="20"/>
        </w:rPr>
        <w:t>U.S.</w:t>
      </w:r>
      <w:r>
        <w:rPr>
          <w:rFonts w:ascii="Times New Roman" w:hAnsi="Times New Roman"/>
          <w:sz w:val="20"/>
        </w:rPr>
        <w:t xml:space="preserve">” means The United States of America (including the states thereof and the District of Columbia), its territories and possessions and other areas subject to its jurisdiction. </w:t>
      </w:r>
    </w:p>
    <w:p>
      <w:pPr>
        <w:pStyle w:val="TextBody"/>
        <w:bidi w:val="0"/>
        <w:spacing w:before="240" w:after="0"/>
        <w:jc w:val="left"/>
        <w:rPr/>
      </w:pPr>
      <w:r>
        <w:rPr/>
        <w:t>“</w:t>
      </w:r>
      <w:r>
        <w:rPr>
          <w:rFonts w:ascii="Times New Roman" w:hAnsi="Times New Roman"/>
          <w:i/>
          <w:sz w:val="20"/>
        </w:rPr>
        <w:t>U.S. Government Obligations</w:t>
      </w:r>
      <w:r>
        <w:rPr>
          <w:rFonts w:ascii="Times New Roman" w:hAnsi="Times New Roman"/>
          <w:sz w:val="20"/>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Other Definitions.</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90"/>
        <w:gridCol w:w="407"/>
        <w:gridCol w:w="103"/>
        <w:gridCol w:w="977"/>
        <w:gridCol w:w="62"/>
      </w:tblGrid>
      <w:tr>
        <w:trPr/>
        <w:tc>
          <w:tcPr>
            <w:tcW w:w="5390" w:type="dxa"/>
            <w:tcBorders/>
            <w:vAlign w:val="center"/>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39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080" w:type="dxa"/>
            <w:gridSpan w:val="2"/>
            <w:tcBorders/>
            <w:vAlign w:val="bottom"/>
          </w:tcPr>
          <w:p>
            <w:pPr>
              <w:pStyle w:val="TableContents"/>
              <w:bidi w:val="0"/>
              <w:spacing w:before="0" w:after="283"/>
              <w:jc w:val="center"/>
              <w:rPr/>
            </w:pPr>
            <w:r>
              <w:rPr/>
              <w:t>DEFINED</w:t>
            </w:r>
          </w:p>
        </w:tc>
        <w:tc>
          <w:tcPr>
            <w:tcW w:w="62" w:type="dxa"/>
            <w:tcBorders/>
            <w:vAlign w:val="bottom"/>
          </w:tcPr>
          <w:p>
            <w:pPr>
              <w:pStyle w:val="TableContents"/>
              <w:bidi w:val="0"/>
              <w:spacing w:before="0" w:after="283"/>
              <w:jc w:val="left"/>
              <w:rPr/>
            </w:pPr>
            <w:r>
              <w:rPr/>
              <w:t> </w:t>
            </w:r>
          </w:p>
        </w:tc>
      </w:tr>
      <w:tr>
        <w:trPr/>
        <w:tc>
          <w:tcPr>
            <w:tcW w:w="539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080" w:type="dxa"/>
            <w:gridSpan w:val="2"/>
            <w:tcBorders/>
            <w:vAlign w:val="bottom"/>
          </w:tcPr>
          <w:p>
            <w:pPr>
              <w:pStyle w:val="TableContents"/>
              <w:bidi w:val="0"/>
              <w:spacing w:before="0" w:after="283"/>
              <w:jc w:val="center"/>
              <w:rPr/>
            </w:pPr>
            <w:r>
              <w:rPr/>
              <w:t>IN</w:t>
            </w:r>
          </w:p>
        </w:tc>
        <w:tc>
          <w:tcPr>
            <w:tcW w:w="62" w:type="dxa"/>
            <w:tcBorders/>
            <w:vAlign w:val="bottom"/>
          </w:tcPr>
          <w:p>
            <w:pPr>
              <w:pStyle w:val="TableContents"/>
              <w:bidi w:val="0"/>
              <w:spacing w:before="0" w:after="283"/>
              <w:jc w:val="left"/>
              <w:rPr/>
            </w:pPr>
            <w:r>
              <w:rPr/>
              <w:t> </w:t>
            </w:r>
          </w:p>
        </w:tc>
      </w:tr>
      <w:tr>
        <w:trPr/>
        <w:tc>
          <w:tcPr>
            <w:tcW w:w="539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TERM</w:t>
            </w:r>
          </w:p>
        </w:tc>
        <w:tc>
          <w:tcPr>
            <w:tcW w:w="407" w:type="dxa"/>
            <w:tcBorders/>
            <w:vAlign w:val="bottom"/>
          </w:tcPr>
          <w:p>
            <w:pPr>
              <w:pStyle w:val="TableContents"/>
              <w:bidi w:val="0"/>
              <w:spacing w:before="0" w:after="283"/>
              <w:jc w:val="left"/>
              <w:rPr/>
            </w:pPr>
            <w:r>
              <w:rPr/>
              <w:t>  </w:t>
            </w:r>
          </w:p>
        </w:tc>
        <w:tc>
          <w:tcPr>
            <w:tcW w:w="1080" w:type="dxa"/>
            <w:gridSpan w:val="2"/>
            <w:tcBorders>
              <w:bottom w:val="single" w:sz="8" w:space="0" w:color="000000"/>
            </w:tcBorders>
            <w:tcMar>
              <w:bottom w:w="28" w:type="dxa"/>
            </w:tcMar>
            <w:vAlign w:val="bottom"/>
          </w:tcPr>
          <w:p>
            <w:pPr>
              <w:pStyle w:val="TableContents"/>
              <w:bidi w:val="0"/>
              <w:spacing w:before="0" w:after="283"/>
              <w:jc w:val="center"/>
              <w:rPr/>
            </w:pPr>
            <w:r>
              <w:rPr/>
              <w:t>SECTION</w:t>
            </w:r>
          </w:p>
        </w:tc>
        <w:tc>
          <w:tcPr>
            <w:tcW w:w="62" w:type="dxa"/>
            <w:tcBorders/>
            <w:vAlign w:val="bottom"/>
          </w:tcPr>
          <w:p>
            <w:pPr>
              <w:pStyle w:val="TableContents"/>
              <w:bidi w:val="0"/>
              <w:spacing w:before="0" w:after="283"/>
              <w:jc w:val="left"/>
              <w:rPr/>
            </w:pPr>
            <w:r>
              <w:rPr/>
              <w:t> </w:t>
            </w:r>
          </w:p>
        </w:tc>
      </w:tr>
      <w:tr>
        <w:trPr/>
        <w:tc>
          <w:tcPr>
            <w:tcW w:w="5390" w:type="dxa"/>
            <w:tcBorders/>
          </w:tcPr>
          <w:p>
            <w:pPr>
              <w:pStyle w:val="TableContents"/>
              <w:bidi w:val="0"/>
              <w:spacing w:before="0" w:after="0"/>
              <w:jc w:val="left"/>
              <w:rPr/>
            </w:pPr>
            <w:r>
              <w:rPr/>
              <w:t>“</w:t>
            </w:r>
            <w:r>
              <w:rPr>
                <w:rFonts w:ascii="Times New Roman" w:hAnsi="Times New Roman"/>
                <w:i/>
                <w:sz w:val="20"/>
              </w:rPr>
              <w:t>Bankruptcy Law”</w:t>
            </w:r>
          </w:p>
        </w:tc>
        <w:tc>
          <w:tcPr>
            <w:tcW w:w="40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6.1</w:t>
            </w:r>
          </w:p>
        </w:tc>
        <w:tc>
          <w:tcPr>
            <w:tcW w:w="62" w:type="dxa"/>
            <w:tcBorders/>
            <w:vAlign w:val="bottom"/>
          </w:tcPr>
          <w:p>
            <w:pPr>
              <w:pStyle w:val="TableContents"/>
              <w:bidi w:val="0"/>
              <w:spacing w:before="0" w:after="283"/>
              <w:jc w:val="left"/>
              <w:rPr/>
            </w:pPr>
            <w:r>
              <w:rPr/>
              <w:t> </w:t>
            </w:r>
          </w:p>
        </w:tc>
      </w:tr>
      <w:tr>
        <w:trPr/>
        <w:tc>
          <w:tcPr>
            <w:tcW w:w="5390" w:type="dxa"/>
            <w:tcBorders/>
          </w:tcPr>
          <w:p>
            <w:pPr>
              <w:pStyle w:val="TableContents"/>
              <w:bidi w:val="0"/>
              <w:spacing w:before="0" w:after="0"/>
              <w:jc w:val="left"/>
              <w:rPr/>
            </w:pPr>
            <w:r>
              <w:rPr/>
              <w:t>“</w:t>
            </w:r>
            <w:r>
              <w:rPr>
                <w:rFonts w:ascii="Times New Roman" w:hAnsi="Times New Roman"/>
                <w:i/>
                <w:sz w:val="20"/>
              </w:rPr>
              <w:t>Custodian”</w:t>
            </w:r>
          </w:p>
        </w:tc>
        <w:tc>
          <w:tcPr>
            <w:tcW w:w="40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6.1</w:t>
            </w:r>
          </w:p>
        </w:tc>
        <w:tc>
          <w:tcPr>
            <w:tcW w:w="62" w:type="dxa"/>
            <w:tcBorders/>
            <w:vAlign w:val="bottom"/>
          </w:tcPr>
          <w:p>
            <w:pPr>
              <w:pStyle w:val="TableContents"/>
              <w:bidi w:val="0"/>
              <w:spacing w:before="0" w:after="283"/>
              <w:jc w:val="left"/>
              <w:rPr/>
            </w:pPr>
            <w:r>
              <w:rPr/>
              <w:t> </w:t>
            </w:r>
          </w:p>
        </w:tc>
      </w:tr>
      <w:tr>
        <w:trPr/>
        <w:tc>
          <w:tcPr>
            <w:tcW w:w="5390" w:type="dxa"/>
            <w:tcBorders/>
          </w:tcPr>
          <w:p>
            <w:pPr>
              <w:pStyle w:val="TableContents"/>
              <w:bidi w:val="0"/>
              <w:spacing w:before="0" w:after="0"/>
              <w:jc w:val="left"/>
              <w:rPr/>
            </w:pPr>
            <w:r>
              <w:rPr/>
              <w:t>“</w:t>
            </w:r>
            <w:r>
              <w:rPr>
                <w:rFonts w:ascii="Times New Roman" w:hAnsi="Times New Roman"/>
                <w:i/>
                <w:sz w:val="20"/>
              </w:rPr>
              <w:t>Event of Default”</w:t>
            </w:r>
          </w:p>
        </w:tc>
        <w:tc>
          <w:tcPr>
            <w:tcW w:w="40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6.1</w:t>
            </w:r>
          </w:p>
        </w:tc>
        <w:tc>
          <w:tcPr>
            <w:tcW w:w="62" w:type="dxa"/>
            <w:tcBorders/>
            <w:vAlign w:val="bottom"/>
          </w:tcPr>
          <w:p>
            <w:pPr>
              <w:pStyle w:val="TableContents"/>
              <w:bidi w:val="0"/>
              <w:spacing w:before="0" w:after="283"/>
              <w:jc w:val="left"/>
              <w:rPr/>
            </w:pPr>
            <w:r>
              <w:rPr/>
              <w:t> </w:t>
            </w:r>
          </w:p>
        </w:tc>
      </w:tr>
      <w:tr>
        <w:trPr/>
        <w:tc>
          <w:tcPr>
            <w:tcW w:w="5390" w:type="dxa"/>
            <w:tcBorders/>
          </w:tcPr>
          <w:p>
            <w:pPr>
              <w:pStyle w:val="TableContents"/>
              <w:bidi w:val="0"/>
              <w:spacing w:before="0" w:after="0"/>
              <w:jc w:val="left"/>
              <w:rPr/>
            </w:pPr>
            <w:r>
              <w:rPr/>
              <w:t>“</w:t>
            </w:r>
            <w:r>
              <w:rPr>
                <w:rFonts w:ascii="Times New Roman" w:hAnsi="Times New Roman"/>
                <w:i/>
                <w:sz w:val="20"/>
              </w:rPr>
              <w:t>Judgment Currency”</w:t>
            </w:r>
          </w:p>
        </w:tc>
        <w:tc>
          <w:tcPr>
            <w:tcW w:w="40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10.16</w:t>
            </w:r>
          </w:p>
        </w:tc>
        <w:tc>
          <w:tcPr>
            <w:tcW w:w="62" w:type="dxa"/>
            <w:tcBorders/>
            <w:vAlign w:val="bottom"/>
          </w:tcPr>
          <w:p>
            <w:pPr>
              <w:pStyle w:val="TableContents"/>
              <w:bidi w:val="0"/>
              <w:spacing w:before="0" w:after="283"/>
              <w:jc w:val="left"/>
              <w:rPr/>
            </w:pPr>
            <w:r>
              <w:rPr/>
              <w:t> </w:t>
            </w:r>
          </w:p>
        </w:tc>
      </w:tr>
      <w:tr>
        <w:trPr/>
        <w:tc>
          <w:tcPr>
            <w:tcW w:w="5390" w:type="dxa"/>
            <w:tcBorders/>
          </w:tcPr>
          <w:p>
            <w:pPr>
              <w:pStyle w:val="TableContents"/>
              <w:bidi w:val="0"/>
              <w:spacing w:before="0" w:after="0"/>
              <w:jc w:val="left"/>
              <w:rPr/>
            </w:pPr>
            <w:r>
              <w:rPr/>
              <w:t>“</w:t>
            </w:r>
            <w:r>
              <w:rPr>
                <w:rFonts w:ascii="Times New Roman" w:hAnsi="Times New Roman"/>
                <w:i/>
                <w:sz w:val="20"/>
              </w:rPr>
              <w:t>Legal Holiday”</w:t>
            </w:r>
          </w:p>
        </w:tc>
        <w:tc>
          <w:tcPr>
            <w:tcW w:w="40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10.7</w:t>
            </w:r>
          </w:p>
        </w:tc>
        <w:tc>
          <w:tcPr>
            <w:tcW w:w="62" w:type="dxa"/>
            <w:tcBorders/>
            <w:vAlign w:val="bottom"/>
          </w:tcPr>
          <w:p>
            <w:pPr>
              <w:pStyle w:val="TableContents"/>
              <w:bidi w:val="0"/>
              <w:spacing w:before="0" w:after="283"/>
              <w:jc w:val="left"/>
              <w:rPr/>
            </w:pPr>
            <w:r>
              <w:rPr/>
              <w:t> </w:t>
            </w:r>
          </w:p>
        </w:tc>
      </w:tr>
      <w:tr>
        <w:trPr/>
        <w:tc>
          <w:tcPr>
            <w:tcW w:w="5390" w:type="dxa"/>
            <w:tcBorders/>
          </w:tcPr>
          <w:p>
            <w:pPr>
              <w:pStyle w:val="TableContents"/>
              <w:bidi w:val="0"/>
              <w:spacing w:before="0" w:after="0"/>
              <w:jc w:val="left"/>
              <w:rPr/>
            </w:pPr>
            <w:r>
              <w:rPr/>
              <w:t>“</w:t>
            </w:r>
            <w:r>
              <w:rPr>
                <w:rFonts w:ascii="Times New Roman" w:hAnsi="Times New Roman"/>
                <w:i/>
                <w:sz w:val="20"/>
              </w:rPr>
              <w:t>mandatory sinking fund payment”</w:t>
            </w:r>
          </w:p>
        </w:tc>
        <w:tc>
          <w:tcPr>
            <w:tcW w:w="40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11.1</w:t>
            </w:r>
          </w:p>
        </w:tc>
        <w:tc>
          <w:tcPr>
            <w:tcW w:w="62" w:type="dxa"/>
            <w:tcBorders/>
            <w:vAlign w:val="bottom"/>
          </w:tcPr>
          <w:p>
            <w:pPr>
              <w:pStyle w:val="TableContents"/>
              <w:bidi w:val="0"/>
              <w:spacing w:before="0" w:after="283"/>
              <w:jc w:val="left"/>
              <w:rPr/>
            </w:pPr>
            <w:r>
              <w:rPr/>
              <w:t> </w:t>
            </w:r>
          </w:p>
        </w:tc>
      </w:tr>
      <w:tr>
        <w:trPr/>
        <w:tc>
          <w:tcPr>
            <w:tcW w:w="5390" w:type="dxa"/>
            <w:tcBorders/>
          </w:tcPr>
          <w:p>
            <w:pPr>
              <w:pStyle w:val="TableContents"/>
              <w:bidi w:val="0"/>
              <w:spacing w:before="0" w:after="0"/>
              <w:jc w:val="left"/>
              <w:rPr/>
            </w:pPr>
            <w:r>
              <w:rPr/>
              <w:t>“</w:t>
            </w:r>
            <w:r>
              <w:rPr>
                <w:rFonts w:ascii="Times New Roman" w:hAnsi="Times New Roman"/>
                <w:i/>
                <w:sz w:val="20"/>
              </w:rPr>
              <w:t>optional sinking fund payment”</w:t>
            </w:r>
          </w:p>
        </w:tc>
        <w:tc>
          <w:tcPr>
            <w:tcW w:w="40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11.1</w:t>
            </w:r>
          </w:p>
        </w:tc>
        <w:tc>
          <w:tcPr>
            <w:tcW w:w="62" w:type="dxa"/>
            <w:tcBorders/>
            <w:vAlign w:val="bottom"/>
          </w:tcPr>
          <w:p>
            <w:pPr>
              <w:pStyle w:val="TableContents"/>
              <w:bidi w:val="0"/>
              <w:spacing w:before="0" w:after="283"/>
              <w:jc w:val="left"/>
              <w:rPr/>
            </w:pPr>
            <w:r>
              <w:rPr/>
              <w:t> </w:t>
            </w:r>
          </w:p>
        </w:tc>
      </w:tr>
      <w:tr>
        <w:trPr/>
        <w:tc>
          <w:tcPr>
            <w:tcW w:w="5390" w:type="dxa"/>
            <w:tcBorders/>
          </w:tcPr>
          <w:p>
            <w:pPr>
              <w:pStyle w:val="TableContents"/>
              <w:bidi w:val="0"/>
              <w:spacing w:before="0" w:after="0"/>
              <w:jc w:val="left"/>
              <w:rPr/>
            </w:pPr>
            <w:r>
              <w:rPr/>
              <w:t>“</w:t>
            </w:r>
            <w:r>
              <w:rPr>
                <w:rFonts w:ascii="Times New Roman" w:hAnsi="Times New Roman"/>
                <w:i/>
                <w:sz w:val="20"/>
              </w:rPr>
              <w:t>Paying Agent”</w:t>
            </w:r>
          </w:p>
        </w:tc>
        <w:tc>
          <w:tcPr>
            <w:tcW w:w="40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5390" w:type="dxa"/>
            <w:tcBorders/>
          </w:tcPr>
          <w:p>
            <w:pPr>
              <w:pStyle w:val="TableContents"/>
              <w:bidi w:val="0"/>
              <w:spacing w:before="0" w:after="0"/>
              <w:jc w:val="left"/>
              <w:rPr/>
            </w:pPr>
            <w:r>
              <w:rPr/>
              <w:t>“</w:t>
            </w:r>
            <w:r>
              <w:rPr>
                <w:rFonts w:ascii="Times New Roman" w:hAnsi="Times New Roman"/>
                <w:i/>
                <w:sz w:val="20"/>
              </w:rPr>
              <w:t>Registrar”</w:t>
            </w:r>
          </w:p>
        </w:tc>
        <w:tc>
          <w:tcPr>
            <w:tcW w:w="40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5390" w:type="dxa"/>
            <w:tcBorders/>
          </w:tcPr>
          <w:p>
            <w:pPr>
              <w:pStyle w:val="TableContents"/>
              <w:bidi w:val="0"/>
              <w:spacing w:before="0" w:after="0"/>
              <w:jc w:val="left"/>
              <w:rPr/>
            </w:pPr>
            <w:r>
              <w:rPr/>
              <w:t>“</w:t>
            </w:r>
            <w:r>
              <w:rPr>
                <w:rFonts w:ascii="Times New Roman" w:hAnsi="Times New Roman"/>
                <w:i/>
                <w:sz w:val="20"/>
              </w:rPr>
              <w:t>Required Currency”</w:t>
            </w:r>
          </w:p>
        </w:tc>
        <w:tc>
          <w:tcPr>
            <w:tcW w:w="40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10.16</w:t>
            </w:r>
          </w:p>
        </w:tc>
        <w:tc>
          <w:tcPr>
            <w:tcW w:w="62" w:type="dxa"/>
            <w:tcBorders/>
            <w:vAlign w:val="bottom"/>
          </w:tcPr>
          <w:p>
            <w:pPr>
              <w:pStyle w:val="TableContents"/>
              <w:bidi w:val="0"/>
              <w:spacing w:before="0" w:after="283"/>
              <w:jc w:val="left"/>
              <w:rPr/>
            </w:pPr>
            <w:r>
              <w:rPr/>
              <w:t> </w:t>
            </w:r>
          </w:p>
        </w:tc>
      </w:tr>
      <w:tr>
        <w:trPr/>
        <w:tc>
          <w:tcPr>
            <w:tcW w:w="5390" w:type="dxa"/>
            <w:tcBorders/>
          </w:tcPr>
          <w:p>
            <w:pPr>
              <w:pStyle w:val="TableContents"/>
              <w:bidi w:val="0"/>
              <w:spacing w:before="0" w:after="0"/>
              <w:jc w:val="left"/>
              <w:rPr/>
            </w:pPr>
            <w:r>
              <w:rPr/>
              <w:t>“</w:t>
            </w:r>
            <w:r>
              <w:rPr>
                <w:rFonts w:ascii="Times New Roman" w:hAnsi="Times New Roman"/>
                <w:i/>
                <w:sz w:val="20"/>
              </w:rPr>
              <w:t>successor person”</w:t>
            </w:r>
          </w:p>
        </w:tc>
        <w:tc>
          <w:tcPr>
            <w:tcW w:w="40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5.1</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Incorporation by Reference of Trust Indenture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Whenever this Indenture refers to a provision of the TIA, the provision is incorporated by reference in and made a part of this Indenture. The following TIA terms used in this Indenture have the following meanings: </w:t>
      </w:r>
    </w:p>
    <w:p>
      <w:pPr>
        <w:pStyle w:val="TextBody"/>
        <w:bidi w:val="0"/>
        <w:spacing w:before="240" w:after="0"/>
        <w:jc w:val="left"/>
        <w:rPr/>
      </w:pPr>
      <w:r>
        <w:rPr/>
        <w:t>“</w:t>
      </w:r>
      <w:r>
        <w:rPr>
          <w:rFonts w:ascii="Times New Roman" w:hAnsi="Times New Roman"/>
          <w:i/>
          <w:sz w:val="20"/>
        </w:rPr>
        <w:t>Commission</w:t>
      </w:r>
      <w:r>
        <w:rPr>
          <w:rFonts w:ascii="Times New Roman" w:hAnsi="Times New Roman"/>
          <w:sz w:val="20"/>
        </w:rPr>
        <w:t xml:space="preserve">” means the SEC. </w:t>
      </w:r>
    </w:p>
    <w:p>
      <w:pPr>
        <w:pStyle w:val="TextBody"/>
        <w:bidi w:val="0"/>
        <w:spacing w:before="240" w:after="0"/>
        <w:jc w:val="left"/>
        <w:rPr/>
      </w:pPr>
      <w:r>
        <w:rPr/>
        <w:t>“</w:t>
      </w:r>
      <w:r>
        <w:rPr>
          <w:rFonts w:ascii="Times New Roman" w:hAnsi="Times New Roman"/>
          <w:i/>
          <w:sz w:val="20"/>
        </w:rPr>
        <w:t>indenture securities</w:t>
      </w:r>
      <w:r>
        <w:rPr>
          <w:rFonts w:ascii="Times New Roman" w:hAnsi="Times New Roman"/>
          <w:sz w:val="20"/>
        </w:rPr>
        <w:t xml:space="preserve">” means the Securities. </w:t>
      </w:r>
    </w:p>
    <w:p>
      <w:pPr>
        <w:pStyle w:val="TextBody"/>
        <w:bidi w:val="0"/>
        <w:spacing w:before="240" w:after="0"/>
        <w:jc w:val="left"/>
        <w:rPr/>
      </w:pPr>
      <w:r>
        <w:rPr/>
        <w:t>“</w:t>
      </w:r>
      <w:r>
        <w:rPr>
          <w:rFonts w:ascii="Times New Roman" w:hAnsi="Times New Roman"/>
          <w:i/>
          <w:sz w:val="20"/>
        </w:rPr>
        <w:t>obligor</w:t>
      </w:r>
      <w:r>
        <w:rPr>
          <w:rFonts w:ascii="Times New Roman" w:hAnsi="Times New Roman"/>
          <w:sz w:val="20"/>
        </w:rPr>
        <w:t xml:space="preserve">” on the indenture securities means the Company and any successor obligor upon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All other terms used in this Indenture that are defined by the TIA, defined by TIA reference to another statute or defined by SEC rule under the TIA and not otherwise defined herein are used herein as so defined.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Rules of Construction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Unless the context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(a) a term has the meaning assigned to it; </w:t>
      </w:r>
    </w:p>
    <w:p>
      <w:pPr>
        <w:pStyle w:val="TextBody"/>
        <w:bidi w:val="0"/>
        <w:spacing w:before="120" w:after="0"/>
        <w:jc w:val="left"/>
        <w:rPr>
          <w:rFonts w:ascii="Times New Roman" w:hAnsi="Times New Roman"/>
          <w:sz w:val="20"/>
        </w:rPr>
      </w:pPr>
      <w:r>
        <w:rPr>
          <w:rFonts w:ascii="Times New Roman" w:hAnsi="Times New Roman"/>
          <w:sz w:val="20"/>
        </w:rPr>
        <w:t xml:space="preserve">(b) an accounting term not otherwise defined has the meaning assigned to it in accordance with GAAP;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i/>
          <w:sz w:val="20"/>
        </w:rPr>
        <w:t>or</w:t>
      </w:r>
      <w:r>
        <w:rPr>
          <w:rFonts w:ascii="Times New Roman" w:hAnsi="Times New Roman"/>
          <w:sz w:val="20"/>
        </w:rPr>
        <w:t xml:space="preserve">” is not exclusive; </w:t>
      </w:r>
    </w:p>
    <w:p>
      <w:pPr>
        <w:pStyle w:val="TextBody"/>
        <w:bidi w:val="0"/>
        <w:spacing w:before="120" w:after="0"/>
        <w:jc w:val="left"/>
        <w:rPr>
          <w:rFonts w:ascii="Times New Roman" w:hAnsi="Times New Roman"/>
          <w:sz w:val="20"/>
        </w:rPr>
      </w:pPr>
      <w:r>
        <w:rPr>
          <w:rFonts w:ascii="Times New Roman" w:hAnsi="Times New Roman"/>
          <w:sz w:val="20"/>
        </w:rPr>
        <w:t xml:space="preserve">(d) words in the singular include the plural, and in the plural include the singular; and </w:t>
      </w:r>
    </w:p>
    <w:p>
      <w:pPr>
        <w:pStyle w:val="TextBody"/>
        <w:bidi w:val="0"/>
        <w:spacing w:before="120" w:after="0"/>
        <w:jc w:val="left"/>
        <w:rPr>
          <w:rFonts w:ascii="Times New Roman" w:hAnsi="Times New Roman"/>
          <w:sz w:val="20"/>
        </w:rPr>
      </w:pPr>
      <w:r>
        <w:rPr>
          <w:rFonts w:ascii="Times New Roman" w:hAnsi="Times New Roman"/>
          <w:sz w:val="20"/>
        </w:rPr>
        <w:t xml:space="preserve">(e) provisions apply to successive events and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II. </w:t>
      </w:r>
    </w:p>
    <w:p>
      <w:pPr>
        <w:pStyle w:val="TextBody"/>
        <w:bidi w:val="0"/>
        <w:spacing w:before="0" w:after="0"/>
        <w:jc w:val="center"/>
        <w:rPr>
          <w:rFonts w:ascii="Times New Roman" w:hAnsi="Times New Roman"/>
          <w:sz w:val="20"/>
        </w:rPr>
      </w:pPr>
      <w:r>
        <w:rPr>
          <w:rFonts w:ascii="Times New Roman" w:hAnsi="Times New Roman"/>
          <w:sz w:val="20"/>
        </w:rPr>
        <w:t xml:space="preserve">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Issuable in Series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supplemental indenture hereto or Officer’s Certificate establishing the terms of such Series. In the case of Securities of a Series to be issued from time to time, the Board Resolution, Officer’s Certificate or supplemental indenture establishing the terms thereof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Establishment of Terms of Series of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 </w:t>
      </w:r>
    </w:p>
    <w:p>
      <w:pPr>
        <w:pStyle w:val="TextBody"/>
        <w:bidi w:val="0"/>
        <w:spacing w:before="120" w:after="0"/>
        <w:jc w:val="left"/>
        <w:rPr>
          <w:rFonts w:ascii="Times New Roman" w:hAnsi="Times New Roman"/>
          <w:sz w:val="20"/>
        </w:rPr>
      </w:pPr>
      <w:r>
        <w:rPr>
          <w:rFonts w:ascii="Times New Roman" w:hAnsi="Times New Roman"/>
          <w:sz w:val="20"/>
        </w:rPr>
        <w:t xml:space="preserve">2.2.1. the title (which shall distinguish the Securities of that particular Series from the Securities of any other Series) of the Series; </w:t>
      </w:r>
    </w:p>
    <w:p>
      <w:pPr>
        <w:pStyle w:val="TextBody"/>
        <w:bidi w:val="0"/>
        <w:spacing w:before="120" w:after="0"/>
        <w:jc w:val="left"/>
        <w:rPr>
          <w:rFonts w:ascii="Times New Roman" w:hAnsi="Times New Roman"/>
          <w:sz w:val="20"/>
        </w:rPr>
      </w:pPr>
      <w:r>
        <w:rPr>
          <w:rFonts w:ascii="Times New Roman" w:hAnsi="Times New Roman"/>
          <w:sz w:val="20"/>
        </w:rPr>
        <w:t xml:space="preserve">2.2.2. the price or prices (expressed as a percentage of the principal amount thereof) at which the Securities of the Series will be issued; </w:t>
      </w:r>
    </w:p>
    <w:p>
      <w:pPr>
        <w:pStyle w:val="TextBody"/>
        <w:bidi w:val="0"/>
        <w:spacing w:before="120" w:after="0"/>
        <w:jc w:val="left"/>
        <w:rPr>
          <w:rFonts w:ascii="Times New Roman" w:hAnsi="Times New Roman"/>
          <w:sz w:val="20"/>
        </w:rPr>
      </w:pPr>
      <w:r>
        <w:rPr>
          <w:rFonts w:ascii="Times New Roman" w:hAnsi="Times New Roman"/>
          <w:sz w:val="20"/>
        </w:rPr>
        <w:t xml:space="preserve">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2.8, 2.9, 2.12, 3.6 or 9.6); </w:t>
      </w:r>
    </w:p>
    <w:p>
      <w:pPr>
        <w:pStyle w:val="TextBody"/>
        <w:bidi w:val="0"/>
        <w:spacing w:before="120" w:after="0"/>
        <w:jc w:val="left"/>
        <w:rPr>
          <w:rFonts w:ascii="Times New Roman" w:hAnsi="Times New Roman"/>
          <w:sz w:val="20"/>
        </w:rPr>
      </w:pPr>
      <w:r>
        <w:rPr>
          <w:rFonts w:ascii="Times New Roman" w:hAnsi="Times New Roman"/>
          <w:sz w:val="20"/>
        </w:rPr>
        <w:t xml:space="preserve">2.2.4. the date or dates on which the principal of the Securities of the Series is payable; </w:t>
      </w:r>
    </w:p>
    <w:p>
      <w:pPr>
        <w:pStyle w:val="TextBody"/>
        <w:bidi w:val="0"/>
        <w:spacing w:before="120" w:after="0"/>
        <w:jc w:val="left"/>
        <w:rPr>
          <w:rFonts w:ascii="Times New Roman" w:hAnsi="Times New Roman"/>
          <w:sz w:val="20"/>
        </w:rPr>
      </w:pPr>
      <w:r>
        <w:rPr>
          <w:rFonts w:ascii="Times New Roman" w:hAnsi="Times New Roman"/>
          <w:sz w:val="20"/>
        </w:rPr>
        <w:t xml:space="preserve">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 </w:t>
      </w:r>
    </w:p>
    <w:p>
      <w:pPr>
        <w:pStyle w:val="TextBody"/>
        <w:bidi w:val="0"/>
        <w:spacing w:before="120" w:after="0"/>
        <w:jc w:val="left"/>
        <w:rPr>
          <w:rFonts w:ascii="Times New Roman" w:hAnsi="Times New Roman"/>
          <w:sz w:val="20"/>
        </w:rPr>
      </w:pPr>
      <w:r>
        <w:rPr>
          <w:rFonts w:ascii="Times New Roman" w:hAnsi="Times New Roman"/>
          <w:sz w:val="20"/>
        </w:rPr>
        <w:t xml:space="preserve">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 </w:t>
      </w:r>
    </w:p>
    <w:p>
      <w:pPr>
        <w:pStyle w:val="TextBody"/>
        <w:bidi w:val="0"/>
        <w:spacing w:before="120" w:after="0"/>
        <w:jc w:val="left"/>
        <w:rPr>
          <w:rFonts w:ascii="Times New Roman" w:hAnsi="Times New Roman"/>
          <w:sz w:val="20"/>
        </w:rPr>
      </w:pPr>
      <w:r>
        <w:rPr>
          <w:rFonts w:ascii="Times New Roman" w:hAnsi="Times New Roman"/>
          <w:sz w:val="20"/>
        </w:rPr>
        <w:t xml:space="preserve">2.2.7. if applicable, the period or periods within which, the price or prices at which and the terms and conditions upon which the Securities of the Series must be redeemed or may be redeemed, in whole or in part, at the option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2.2.9. the dates, if any, on which and the price or prices at which the Securities of the Series will be repurchased by the Company at the option of the Holders thereof and other detailed terms and provisions of such repurchase obligations; </w:t>
      </w:r>
    </w:p>
    <w:p>
      <w:pPr>
        <w:pStyle w:val="TextBody"/>
        <w:bidi w:val="0"/>
        <w:spacing w:before="120" w:after="0"/>
        <w:jc w:val="left"/>
        <w:rPr>
          <w:rFonts w:ascii="Times New Roman" w:hAnsi="Times New Roman"/>
          <w:sz w:val="20"/>
        </w:rPr>
      </w:pPr>
      <w:r>
        <w:rPr>
          <w:rFonts w:ascii="Times New Roman" w:hAnsi="Times New Roman"/>
          <w:sz w:val="20"/>
        </w:rPr>
        <w:t xml:space="preserve">2.2.10. if other than denominations of $1,000 and integral multiples of $1,000 in excess thereof, the denominations in which the Securities of the Series shall be issuable; </w:t>
      </w:r>
    </w:p>
    <w:p>
      <w:pPr>
        <w:pStyle w:val="TextBody"/>
        <w:bidi w:val="0"/>
        <w:spacing w:before="120" w:after="0"/>
        <w:jc w:val="left"/>
        <w:rPr>
          <w:rFonts w:ascii="Times New Roman" w:hAnsi="Times New Roman"/>
          <w:sz w:val="20"/>
        </w:rPr>
      </w:pPr>
      <w:r>
        <w:rPr>
          <w:rFonts w:ascii="Times New Roman" w:hAnsi="Times New Roman"/>
          <w:sz w:val="20"/>
        </w:rPr>
        <w:t xml:space="preserve">2.2.11. the forms of the Securities of the Series and whether the Securities will be issuable as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2.2.12. if other than the principal amount thereof, the portion of the principal amount of the Securities of the Series that shall be payable upon declaration of acceleration of the maturity thereof pursuant to Section 6.2; </w:t>
      </w:r>
    </w:p>
    <w:p>
      <w:pPr>
        <w:pStyle w:val="TextBody"/>
        <w:bidi w:val="0"/>
        <w:spacing w:before="120" w:after="0"/>
        <w:jc w:val="left"/>
        <w:rPr>
          <w:rFonts w:ascii="Times New Roman" w:hAnsi="Times New Roman"/>
          <w:sz w:val="20"/>
        </w:rPr>
      </w:pPr>
      <w:r>
        <w:rPr>
          <w:rFonts w:ascii="Times New Roman" w:hAnsi="Times New Roman"/>
          <w:sz w:val="20"/>
        </w:rPr>
        <w:t xml:space="preserve">2.2.13. the currency of denomination of the Securities of the Series, which may be Dollars or any Foreign Currency, and if such currency of denomination is a composite currency, the agency or organization, if any, responsible for overseeing such composite currency; </w:t>
      </w:r>
    </w:p>
    <w:p>
      <w:pPr>
        <w:pStyle w:val="TextBody"/>
        <w:bidi w:val="0"/>
        <w:spacing w:before="120" w:after="0"/>
        <w:jc w:val="left"/>
        <w:rPr>
          <w:rFonts w:ascii="Times New Roman" w:hAnsi="Times New Roman"/>
          <w:sz w:val="20"/>
        </w:rPr>
      </w:pPr>
      <w:r>
        <w:rPr>
          <w:rFonts w:ascii="Times New Roman" w:hAnsi="Times New Roman"/>
          <w:sz w:val="20"/>
        </w:rPr>
        <w:t xml:space="preserve">2.2.14. the designation of the currency, currencies or currency units in which payment of the principal of and interest, if any, on the Securities of the Series will be made; </w:t>
      </w:r>
    </w:p>
    <w:p>
      <w:pPr>
        <w:pStyle w:val="TextBody"/>
        <w:bidi w:val="0"/>
        <w:spacing w:before="120" w:after="0"/>
        <w:jc w:val="left"/>
        <w:rPr>
          <w:rFonts w:ascii="Times New Roman" w:hAnsi="Times New Roman"/>
          <w:sz w:val="20"/>
        </w:rPr>
      </w:pPr>
      <w:r>
        <w:rPr>
          <w:rFonts w:ascii="Times New Roman" w:hAnsi="Times New Roman"/>
          <w:sz w:val="20"/>
        </w:rPr>
        <w:t xml:space="preserve">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 </w:t>
      </w:r>
    </w:p>
    <w:p>
      <w:pPr>
        <w:pStyle w:val="TextBody"/>
        <w:bidi w:val="0"/>
        <w:spacing w:before="120" w:after="0"/>
        <w:jc w:val="left"/>
        <w:rPr>
          <w:rFonts w:ascii="Times New Roman" w:hAnsi="Times New Roman"/>
          <w:sz w:val="20"/>
        </w:rPr>
      </w:pPr>
      <w:r>
        <w:rPr>
          <w:rFonts w:ascii="Times New Roman" w:hAnsi="Times New Roman"/>
          <w:sz w:val="20"/>
        </w:rPr>
        <w:t xml:space="preserve">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 </w:t>
      </w:r>
    </w:p>
    <w:p>
      <w:pPr>
        <w:pStyle w:val="TextBody"/>
        <w:bidi w:val="0"/>
        <w:spacing w:before="120" w:after="0"/>
        <w:jc w:val="left"/>
        <w:rPr>
          <w:rFonts w:ascii="Times New Roman" w:hAnsi="Times New Roman"/>
          <w:sz w:val="20"/>
        </w:rPr>
      </w:pPr>
      <w:r>
        <w:rPr>
          <w:rFonts w:ascii="Times New Roman" w:hAnsi="Times New Roman"/>
          <w:sz w:val="20"/>
        </w:rPr>
        <w:t xml:space="preserve">2.2.17. the provisions, if any, relating to any security provided for the Securities of the Series; </w:t>
      </w:r>
    </w:p>
    <w:p>
      <w:pPr>
        <w:pStyle w:val="TextBody"/>
        <w:bidi w:val="0"/>
        <w:spacing w:before="120" w:after="0"/>
        <w:jc w:val="left"/>
        <w:rPr>
          <w:rFonts w:ascii="Times New Roman" w:hAnsi="Times New Roman"/>
          <w:sz w:val="20"/>
        </w:rPr>
      </w:pPr>
      <w:r>
        <w:rPr>
          <w:rFonts w:ascii="Times New Roman" w:hAnsi="Times New Roman"/>
          <w:sz w:val="20"/>
        </w:rPr>
        <w:t xml:space="preserve">2.2.18. any addition to, deletion of or change in the Events of Default which applies to any Securities of the Series and any change in the right of the Trustee or the requisite Holders of such Securities to declare the principal amount thereof due and payable pursuant to Section 6.2; </w:t>
      </w:r>
    </w:p>
    <w:p>
      <w:pPr>
        <w:pStyle w:val="TextBody"/>
        <w:bidi w:val="0"/>
        <w:spacing w:before="120" w:after="0"/>
        <w:jc w:val="left"/>
        <w:rPr>
          <w:rFonts w:ascii="Times New Roman" w:hAnsi="Times New Roman"/>
          <w:sz w:val="20"/>
        </w:rPr>
      </w:pPr>
      <w:r>
        <w:rPr>
          <w:rFonts w:ascii="Times New Roman" w:hAnsi="Times New Roman"/>
          <w:sz w:val="20"/>
        </w:rPr>
        <w:t xml:space="preserve">2.2.19. any addition to, deletion of or change in the covenants set forth in Articles IV or V which applies to Securities of the Series; </w:t>
      </w:r>
    </w:p>
    <w:p>
      <w:pPr>
        <w:pStyle w:val="TextBody"/>
        <w:bidi w:val="0"/>
        <w:spacing w:before="120" w:after="0"/>
        <w:jc w:val="left"/>
        <w:rPr>
          <w:rFonts w:ascii="Times New Roman" w:hAnsi="Times New Roman"/>
          <w:sz w:val="20"/>
        </w:rPr>
      </w:pPr>
      <w:r>
        <w:rPr>
          <w:rFonts w:ascii="Times New Roman" w:hAnsi="Times New Roman"/>
          <w:sz w:val="20"/>
        </w:rPr>
        <w:t xml:space="preserve">2.2.20. any Depositaries, trustees, interest rate calculation agents, exchange rate calculation agents or other agents with respect to Securities of such Series if other than those appointed herein; </w:t>
      </w:r>
    </w:p>
    <w:p>
      <w:pPr>
        <w:pStyle w:val="TextBody"/>
        <w:bidi w:val="0"/>
        <w:spacing w:before="120" w:after="0"/>
        <w:jc w:val="left"/>
        <w:rPr>
          <w:rFonts w:ascii="Times New Roman" w:hAnsi="Times New Roman"/>
          <w:sz w:val="20"/>
        </w:rPr>
      </w:pPr>
      <w:r>
        <w:rPr>
          <w:rFonts w:ascii="Times New Roman" w:hAnsi="Times New Roman"/>
          <w:sz w:val="20"/>
        </w:rPr>
        <w:t xml:space="preserve">2.2.21. the provisions, if any, relating to conversion or exchange of any Securities of such Series, including if applicable, the conversion or exchange price, the conversion or exchange period, the securities or other property into which the Securities will be convertible,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 </w:t>
      </w:r>
    </w:p>
    <w:p>
      <w:pPr>
        <w:pStyle w:val="TextBody"/>
        <w:bidi w:val="0"/>
        <w:spacing w:before="120" w:after="0"/>
        <w:jc w:val="left"/>
        <w:rPr>
          <w:rFonts w:ascii="Times New Roman" w:hAnsi="Times New Roman"/>
          <w:sz w:val="20"/>
        </w:rPr>
      </w:pPr>
      <w:r>
        <w:rPr>
          <w:rFonts w:ascii="Times New Roman" w:hAnsi="Times New Roman"/>
          <w:sz w:val="20"/>
        </w:rPr>
        <w:t xml:space="preserve">2.2.22. whether any of the Company’s direct or indirect Subsidiaries will guarantee the Securities of that Series, including the terms of subordination, if any, of such guarantees; and </w:t>
      </w:r>
    </w:p>
    <w:p>
      <w:pPr>
        <w:pStyle w:val="TextBody"/>
        <w:bidi w:val="0"/>
        <w:spacing w:before="120" w:after="0"/>
        <w:jc w:val="left"/>
        <w:rPr>
          <w:rFonts w:ascii="Times New Roman" w:hAnsi="Times New Roman"/>
          <w:sz w:val="20"/>
        </w:rPr>
      </w:pPr>
      <w:r>
        <w:rPr>
          <w:rFonts w:ascii="Times New Roman" w:hAnsi="Times New Roman"/>
          <w:sz w:val="20"/>
        </w:rPr>
        <w:t xml:space="preserve">2.2.23.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Securities of any one Series need not be issued at the same time and may be issued from time to time, consistent with the terms of this Indenture, if so provided by or pursuant to the Board Resolution, supplemental indenture hereto or Officer’s Certificate referred to above.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Denominations; Provision for Payment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of any Series shall be issuable, except as otherwise provided with respect to Securities of any Series pursuant to Section 2.2, as registered Securities in the denominations of one thousand Dollars ($1,000) or any integral multiples of $1,000 in excess thereof. Unless otherwise provided with respect to Securities of any Series pursuant to Section 2.2, the principal of and the interest on the Securities of any Series, if any, thereon, shall by payable in Dollars at the Corporate Trust Office of the Trustee. Unless otherwise specified pursuant to Section 2.2 with respect to any Securities of any Series, interest on the Securities of any Series shall be computed on the basis of a 360-day year consisting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Execution and Authentication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Two Officers shall sign the Securities for the Company by manual or facsimile signature. </w:t>
      </w:r>
    </w:p>
    <w:p>
      <w:pPr>
        <w:pStyle w:val="TextBody"/>
        <w:bidi w:val="0"/>
        <w:spacing w:before="240" w:after="0"/>
        <w:jc w:val="left"/>
        <w:rPr>
          <w:rFonts w:ascii="Times New Roman" w:hAnsi="Times New Roman"/>
          <w:sz w:val="20"/>
        </w:rPr>
      </w:pPr>
      <w:r>
        <w:rPr>
          <w:rFonts w:ascii="Times New Roman" w:hAnsi="Times New Roman"/>
          <w:sz w:val="20"/>
        </w:rPr>
        <w:t xml:space="preserve">If an Officer whose signature is on a Security no longer holds that office at the time the Security is authenticated, the Security shall nevertheless be valid. </w:t>
      </w:r>
    </w:p>
    <w:p>
      <w:pPr>
        <w:pStyle w:val="TextBody"/>
        <w:bidi w:val="0"/>
        <w:spacing w:before="240" w:after="0"/>
        <w:jc w:val="left"/>
        <w:rPr>
          <w:rFonts w:ascii="Times New Roman" w:hAnsi="Times New Roman"/>
          <w:sz w:val="20"/>
        </w:rPr>
      </w:pPr>
      <w:r>
        <w:rPr>
          <w:rFonts w:ascii="Times New Roman" w:hAnsi="Times New Roman"/>
          <w:sz w:val="20"/>
        </w:rPr>
        <w:t xml:space="preserve">A Security shall not be valid until authenticated by the manual signature of the Trustee or an authenticating agent. The signature shall be conclusive evidence that the Security has been authenticated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2.9. </w:t>
      </w:r>
    </w:p>
    <w:p>
      <w:pPr>
        <w:pStyle w:val="TextBody"/>
        <w:bidi w:val="0"/>
        <w:spacing w:before="240" w:after="0"/>
        <w:jc w:val="left"/>
        <w:rPr>
          <w:rFonts w:ascii="Times New Roman" w:hAnsi="Times New Roman"/>
          <w:sz w:val="20"/>
        </w:rPr>
      </w:pPr>
      <w:r>
        <w:rPr>
          <w:rFonts w:ascii="Times New Roman" w:hAnsi="Times New Roman"/>
          <w:sz w:val="20"/>
        </w:rPr>
        <w:t xml:space="preserve">Prior to the issuance of Securities of any Series, the Trustee shall have received and (subject to Section 7.1) shall be fully protected in conclusively relying on: (a) the Board Resolution, supplemental indenture hereto or Officer’s Certificate delivered pursuant to Section 2.2 establishing the form of the Securities of that Series or of Securities within that Series and the terms of the Securities of that Series or of Securities within that Series, (b) an Officer’s Certificate complying with Section 9.7 (with respect to the execution of supplemental indentures) and Section 10.4, and (c) an Opinion of Counsel complying with Section 9.7 (with respect to the execution of supplemental indentures) and Section 10.4.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the right, but not the obligation, to decline to authenticate and deliver any Securities of such Series: (a) if the Trustee, being advised by counsel, determines that such action may not be taken lawfully; or (b) if the Trustee in good faith determines that such action would expose the Trustee to personal liability.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Registrar and Paying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Company shall maintain, with respect to each Series of Securities, at the place or places specified with respect to such Series, an office or agency where Securities of such Series may be presented or surrendered for payment (“</w:t>
      </w:r>
      <w:r>
        <w:rPr>
          <w:rFonts w:ascii="Times New Roman" w:hAnsi="Times New Roman"/>
          <w:i/>
          <w:sz w:val="20"/>
        </w:rPr>
        <w:t>Paying Agent</w:t>
      </w:r>
      <w:r>
        <w:rPr>
          <w:rFonts w:ascii="Times New Roman" w:hAnsi="Times New Roman"/>
          <w:sz w:val="20"/>
        </w:rPr>
        <w:t>”) and where Securities of such Series may be surrendered for registration of transfer or exchange (“</w:t>
      </w:r>
      <w:r>
        <w:rPr>
          <w:rFonts w:ascii="Times New Roman" w:hAnsi="Times New Roman"/>
          <w:i/>
          <w:sz w:val="20"/>
        </w:rPr>
        <w:t>Registrar</w:t>
      </w:r>
      <w:r>
        <w:rPr>
          <w:rFonts w:ascii="Times New Roman" w:hAnsi="Times New Roman"/>
          <w:sz w:val="20"/>
        </w:rPr>
        <w:t>”). The Registrar shall keep a register with respect to each Series of Securities and to their transfer and exchange (the “</w:t>
      </w:r>
      <w:r>
        <w:rPr>
          <w:rFonts w:ascii="Times New Roman" w:hAnsi="Times New Roman"/>
          <w:i/>
          <w:sz w:val="20"/>
        </w:rPr>
        <w:t>Security Register</w:t>
      </w:r>
      <w:r>
        <w:rPr>
          <w:rFonts w:ascii="Times New Roman" w:hAnsi="Times New Roman"/>
          <w:sz w:val="20"/>
        </w:rPr>
        <w:t xml:space="preserve">”). The Company will give prompt written notice to the Trustee of the name and address, and any change in the name or address, of each Registrar or Paying Agent. If at any time the Company shall fail to maintain any such required Registrar or Paying Agent or shall fail to furnish the Trustee with the name and address thereof, such presentations and surrenders may be made or served at the Corporate Trust Office of the Trustee, and the Company hereby appoints the Trustee as its agent to receive all such presentations and surrenders.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also from time to time designate one or more co-registrars or additional paying agents and may from time to time rescind such designations;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no such designation or rescission shall in any manner relieve the Company of its obligations to maintain a Registrar or Paying Agent in each place so specified for Securities of any Series for such purposes. The Company will give prompt written notice to the Trustee of any such designation or rescission and of any change in the name or address of any such co-registrar or additional paying agent. The term “</w:t>
      </w:r>
      <w:r>
        <w:rPr>
          <w:rFonts w:ascii="Times New Roman" w:hAnsi="Times New Roman"/>
          <w:i/>
          <w:sz w:val="20"/>
        </w:rPr>
        <w:t>Registrar</w:t>
      </w:r>
      <w:r>
        <w:rPr>
          <w:rFonts w:ascii="Times New Roman" w:hAnsi="Times New Roman"/>
          <w:sz w:val="20"/>
        </w:rPr>
        <w:t>” includes any co-registrar; and the term “</w:t>
      </w:r>
      <w:r>
        <w:rPr>
          <w:rFonts w:ascii="Times New Roman" w:hAnsi="Times New Roman"/>
          <w:i/>
          <w:sz w:val="20"/>
        </w:rPr>
        <w:t>Paying Agent</w:t>
      </w:r>
      <w:r>
        <w:rPr>
          <w:rFonts w:ascii="Times New Roman" w:hAnsi="Times New Roman"/>
          <w:sz w:val="20"/>
        </w:rPr>
        <w:t xml:space="preserve">” includes any additional paying agent. The Company or any of its Affiliates may serve as Registrar or Paying Agent.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appoints the Trustee as the initial Registrar and Paying Agent for each Series unless another Registrar or Paying Agent, as the case may be, is appointed prior to the time Securities of that Series are first issued.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Paying Agent to Hold Money in Trust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Securities of that Series,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2.7. </w:t>
      </w:r>
      <w:r>
        <w:rPr>
          <w:rFonts w:ascii="Times New Roman" w:hAnsi="Times New Roman"/>
          <w:sz w:val="20"/>
          <w:u w:val="single"/>
        </w:rPr>
        <w:t>Securityholder Lists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within 30 days after receipt by the Company of any such request, a list, in such form and as of such date as the Trustee may reasonably require, of the names and addresses of Securityholders of each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2.8. </w:t>
      </w:r>
      <w:r>
        <w:rPr>
          <w:rFonts w:ascii="Times New Roman" w:hAnsi="Times New Roman"/>
          <w:sz w:val="20"/>
          <w:u w:val="single"/>
        </w:rPr>
        <w:t>Transfer and Exchange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2.12, 3.6 or 9.6).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Neither the Company nor the Registrar shall be required (a) to issue, register the transfer of, or exchange Securities of any Series for the period beginning at the opening of business 15 days immediately preceding the mailing of a notice of redemption of Securities of that Series selected for redemption and ending at the close of business on the day of such mailing, or (b) to register the transfer of or exchange Securities of any Series selected, called or being called for redemption as a whole or the portion being redeemed of any such Securities selected, called or being called for redemption in part. </w:t>
      </w:r>
    </w:p>
    <w:p>
      <w:pPr>
        <w:pStyle w:val="TextBody"/>
        <w:bidi w:val="0"/>
        <w:spacing w:before="240" w:after="0"/>
        <w:jc w:val="left"/>
        <w:rPr>
          <w:rFonts w:ascii="Times New Roman" w:hAnsi="Times New Roman"/>
          <w:sz w:val="20"/>
        </w:rPr>
      </w:pPr>
      <w:r>
        <w:rPr>
          <w:rFonts w:ascii="Times New Roman" w:hAnsi="Times New Roman"/>
          <w:sz w:val="20"/>
        </w:rPr>
        <w:t xml:space="preserve">Section 2.9. </w:t>
      </w:r>
      <w:r>
        <w:rPr>
          <w:rFonts w:ascii="Times New Roman" w:hAnsi="Times New Roman"/>
          <w:sz w:val="20"/>
          <w:u w:val="single"/>
        </w:rPr>
        <w:t>Mutilated, Destroyed, Lost and Stolen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any mutilated Security is surrendered to the Trustee, the Company shall execute and the Trustee shall authenticate and deliver in exchange therefor a new Security of the same Series and of like tenor and principal amount and bearing a number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 xml:space="preserve">If there shall be delivered to the Company and the Trustee (a) evidence to their satisfaction of the destruction, loss or theft of any Security and (b) such security or indemnity bond as may be required by each of them to hold itself and any of its agents harmless, then, in the absence of written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 xml:space="preserve">In case any such mutilated, destroyed, lost or stolen Security has become or is about to become due and payable, the Company in its discretion may, instead of issuing a new Security, pay such Security. </w:t>
      </w:r>
    </w:p>
    <w:p>
      <w:pPr>
        <w:pStyle w:val="TextBody"/>
        <w:bidi w:val="0"/>
        <w:spacing w:before="240" w:after="0"/>
        <w:jc w:val="left"/>
        <w:rPr>
          <w:rFonts w:ascii="Times New Roman" w:hAnsi="Times New Roman"/>
          <w:sz w:val="20"/>
        </w:rPr>
      </w:pPr>
      <w:r>
        <w:rPr>
          <w:rFonts w:ascii="Times New Roman" w:hAnsi="Times New Roman"/>
          <w:sz w:val="20"/>
        </w:rPr>
        <w:t xml:space="preserve">Upon the issuance of any new Security under this Section 2.9, the Company may require the payment of a sum sufficient to cover any tax or other governmental charge that may be imposed in relation thereto and any other expenses (including the fees and expenses of the Trustee) connected therewith. </w:t>
      </w:r>
    </w:p>
    <w:p>
      <w:pPr>
        <w:pStyle w:val="TextBody"/>
        <w:bidi w:val="0"/>
        <w:spacing w:before="240" w:after="0"/>
        <w:jc w:val="left"/>
        <w:rPr>
          <w:rFonts w:ascii="Times New Roman" w:hAnsi="Times New Roman"/>
          <w:sz w:val="20"/>
        </w:rPr>
      </w:pPr>
      <w:r>
        <w:rPr>
          <w:rFonts w:ascii="Times New Roman" w:hAnsi="Times New Roman"/>
          <w:sz w:val="20"/>
        </w:rPr>
        <w:t xml:space="preserve">Every new Security of any Series issued pursuant to this Section 2.9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Section 2.9 are exclusive and shall preclude (to the extent lawful) all other rights and remedies with respect to the replacement or payment of mutilated, destroyed, lost or stolen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Outstanding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outstanding at any time are all the Securities authenticated by the Trustee except for those canceled by the Registrar and those described in this Section 2.10 as not outstanding. </w:t>
      </w:r>
    </w:p>
    <w:p>
      <w:pPr>
        <w:pStyle w:val="TextBody"/>
        <w:bidi w:val="0"/>
        <w:spacing w:before="240" w:after="0"/>
        <w:jc w:val="left"/>
        <w:rPr>
          <w:rFonts w:ascii="Times New Roman" w:hAnsi="Times New Roman"/>
          <w:sz w:val="20"/>
        </w:rPr>
      </w:pPr>
      <w:r>
        <w:rPr>
          <w:rFonts w:ascii="Times New Roman" w:hAnsi="Times New Roman"/>
          <w:sz w:val="20"/>
        </w:rPr>
        <w:t xml:space="preserve">If a Security is replaced pursuant to Section 2.9, it ceases to be outstanding unless the Trustee receives proof satisfactory to it that the replaced Security is held by a bona fide purchaser. </w:t>
      </w:r>
    </w:p>
    <w:p>
      <w:pPr>
        <w:pStyle w:val="TextBody"/>
        <w:bidi w:val="0"/>
        <w:spacing w:before="240" w:after="0"/>
        <w:jc w:val="left"/>
        <w:rPr>
          <w:rFonts w:ascii="Times New Roman" w:hAnsi="Times New Roman"/>
          <w:sz w:val="20"/>
        </w:rPr>
      </w:pPr>
      <w:r>
        <w:rPr>
          <w:rFonts w:ascii="Times New Roman" w:hAnsi="Times New Roman"/>
          <w:sz w:val="20"/>
        </w:rPr>
        <w:t xml:space="preserve">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purchase or otherwise acquire the Securities, whether by open market purchases, negotiated transactions or otherwise. A Security does not cease to be outstanding because the Company or an Affiliate of the Company holds the Security.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Treasury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conclusively relying on any such request, demand, authorization, direction, notice, consent or waiver, only Securities of a Series that a Responsible Officer of the Trustee actually knows are so owned shall be so disregarded. Securities so owned which have been pledged in good faith shall not be disregarded if the pledgee establishes to the satisfaction of the Trustee the pledgee’s right to deliver any such request, demand, authorization, direction, notice, consent or waiver with respect to the Securities and that the pledgee is not the Company or any other obligor upon the Securities or any Affiliate of the Company or of such other obligor.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Temporary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Cancellation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at any time may deliver Securities to the Trustee for cancellation. The Registrar and the Paying Agent, if not the Trustee, shall forward to the Trustee any Securities surrendered to them for registration of transfer, exchange or payment. The Trustee shall cancel all Securities surrendered for transfer, exchange, payment, replacement, conversion or cancellation and shall dispose of such canceled Securities (subject to the record retention requirement of the Exchange Act and the Trustee) in accordance with its customary procedures and deliver a certificate of such cancellation to the Company upon written request of the Company. The Company may not issue new Securities to replace Securities that it has paid or delivered to the Trustee for cancellation. </w:t>
      </w:r>
    </w:p>
    <w:p>
      <w:pPr>
        <w:pStyle w:val="TextBody"/>
        <w:bidi w:val="0"/>
        <w:spacing w:before="240" w:after="0"/>
        <w:jc w:val="left"/>
        <w:rPr>
          <w:rFonts w:ascii="Times New Roman" w:hAnsi="Times New Roman"/>
          <w:sz w:val="20"/>
        </w:rPr>
      </w:pPr>
      <w:r>
        <w:rPr>
          <w:rFonts w:ascii="Times New Roman" w:hAnsi="Times New Roman"/>
          <w:sz w:val="20"/>
        </w:rPr>
        <w:t xml:space="preserve">Section 2.14. </w:t>
      </w:r>
      <w:r>
        <w:rPr>
          <w:rFonts w:ascii="Times New Roman" w:hAnsi="Times New Roman"/>
          <w:sz w:val="20"/>
          <w:u w:val="single"/>
        </w:rPr>
        <w:t>Defaulted 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defaults in a payment of interest on a Series of Securities, it may pay the defaulted interest, plus, to the extent permitted by law, any interest payable on the defaulted interest, to the persons who are Securityholders of the Series on a subsequent special record date. The Company shall fix the record date and payment date. At least ten days before the special record date, the Company shall mail to the Trustee and to each Securityholder of the Series a notice that states the special record date, the payment date and the amount of interest to be paid. The Company may pay defaulted interest in any other lawful manner. </w:t>
      </w:r>
    </w:p>
    <w:p>
      <w:pPr>
        <w:pStyle w:val="TextBody"/>
        <w:bidi w:val="0"/>
        <w:spacing w:before="240" w:after="0"/>
        <w:jc w:val="left"/>
        <w:rPr>
          <w:rFonts w:ascii="Times New Roman" w:hAnsi="Times New Roman"/>
          <w:sz w:val="20"/>
        </w:rPr>
      </w:pPr>
      <w:r>
        <w:rPr>
          <w:rFonts w:ascii="Times New Roman" w:hAnsi="Times New Roman"/>
          <w:sz w:val="20"/>
        </w:rPr>
        <w:t xml:space="preserve">Section 2.15. </w:t>
      </w:r>
      <w:r>
        <w:rPr>
          <w:rFonts w:ascii="Times New Roman" w:hAnsi="Times New Roman"/>
          <w:sz w:val="20"/>
          <w:u w:val="single"/>
        </w:rPr>
        <w:t>Global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2.15.1. </w:t>
      </w:r>
      <w:r>
        <w:rPr>
          <w:rFonts w:ascii="Times New Roman" w:hAnsi="Times New Roman"/>
          <w:sz w:val="20"/>
          <w:u w:val="single"/>
        </w:rPr>
        <w:t>Terms of Securities</w:t>
      </w:r>
      <w:r>
        <w:rPr>
          <w:rFonts w:ascii="Times New Roman" w:hAnsi="Times New Roman"/>
          <w:sz w:val="20"/>
        </w:rPr>
        <w:t xml:space="preserve">. A Board Resolution, a supplemental indenture hereto or an Officer’s Certificate shall establish whether the Securities of a Series shall be issued in whole or in part in the form of one or more Global Securities and the Depositary for such Global Security or Securities. </w:t>
      </w:r>
    </w:p>
    <w:p>
      <w:pPr>
        <w:pStyle w:val="TextBody"/>
        <w:bidi w:val="0"/>
        <w:spacing w:before="120" w:after="0"/>
        <w:jc w:val="left"/>
        <w:rPr>
          <w:rFonts w:ascii="Times New Roman" w:hAnsi="Times New Roman"/>
          <w:sz w:val="20"/>
        </w:rPr>
      </w:pPr>
      <w:r>
        <w:rPr>
          <w:rFonts w:ascii="Times New Roman" w:hAnsi="Times New Roman"/>
          <w:sz w:val="20"/>
        </w:rPr>
        <w:t xml:space="preserve">2.15.2. </w:t>
      </w:r>
      <w:r>
        <w:rPr>
          <w:rFonts w:ascii="Times New Roman" w:hAnsi="Times New Roman"/>
          <w:sz w:val="20"/>
          <w:u w:val="single"/>
        </w:rPr>
        <w:t>Transfer and Exchange</w:t>
      </w:r>
      <w:r>
        <w:rPr>
          <w:rFonts w:ascii="Times New Roman" w:hAnsi="Times New Roman"/>
          <w:sz w:val="20"/>
        </w:rPr>
        <w:t xml:space="preserve">. Notwithstanding any provisions to the contrary contained in Section 2.8 of this Indenture and in addition thereto, any Global Security shall be exchangeable pursuant to Section 2.8 of this Indenture for Securities registered in the names of Holders other than the Depositary for such Security or its nominee only if (a)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Exchange Act within 90 days of such event or (b) the Company determines in its sole discretion not to have such Securities represented by one or more Global Securities and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in this Section 2.15.2,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 </w:t>
      </w:r>
    </w:p>
    <w:p>
      <w:pPr>
        <w:pStyle w:val="TextBody"/>
        <w:bidi w:val="0"/>
        <w:spacing w:before="120" w:after="0"/>
        <w:jc w:val="left"/>
        <w:rPr>
          <w:rFonts w:ascii="Times New Roman" w:hAnsi="Times New Roman"/>
          <w:sz w:val="20"/>
        </w:rPr>
      </w:pPr>
      <w:r>
        <w:rPr>
          <w:rFonts w:ascii="Times New Roman" w:hAnsi="Times New Roman"/>
          <w:sz w:val="20"/>
        </w:rPr>
        <w:t xml:space="preserve">2.15.3. </w:t>
      </w:r>
      <w:r>
        <w:rPr>
          <w:rFonts w:ascii="Times New Roman" w:hAnsi="Times New Roman"/>
          <w:sz w:val="20"/>
          <w:u w:val="single"/>
        </w:rPr>
        <w:t>Legend</w:t>
      </w:r>
      <w:r>
        <w:rPr>
          <w:rFonts w:ascii="Times New Roman" w:hAnsi="Times New Roman"/>
          <w:sz w:val="20"/>
        </w:rPr>
        <w:t xml:space="preserve">. Any Global Security issued hereunder shall bear a legend in substantially the following form: </w:t>
      </w:r>
    </w:p>
    <w:p>
      <w:pPr>
        <w:pStyle w:val="TextBody"/>
        <w:bidi w:val="0"/>
        <w:spacing w:before="240" w:after="0"/>
        <w:jc w:val="left"/>
        <w:rPr/>
      </w:pPr>
      <w:r>
        <w:rPr/>
        <w:t>“</w:t>
      </w:r>
      <w:r>
        <w:rPr>
          <w:rFonts w:ascii="Times New Roman" w:hAnsi="Times New Roman"/>
          <w:sz w:val="20"/>
        </w:rPr>
        <w:t xml:space="preserve">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w:t>
      </w:r>
    </w:p>
    <w:p>
      <w:pPr>
        <w:pStyle w:val="TextBody"/>
        <w:bidi w:val="0"/>
        <w:spacing w:before="120" w:after="0"/>
        <w:jc w:val="left"/>
        <w:rPr>
          <w:rFonts w:ascii="Times New Roman" w:hAnsi="Times New Roman"/>
          <w:sz w:val="20"/>
        </w:rPr>
      </w:pPr>
      <w:r>
        <w:rPr>
          <w:rFonts w:ascii="Times New Roman" w:hAnsi="Times New Roman"/>
          <w:sz w:val="20"/>
        </w:rPr>
        <w:t xml:space="preserve">2.15.4. </w:t>
      </w:r>
      <w:r>
        <w:rPr>
          <w:rFonts w:ascii="Times New Roman" w:hAnsi="Times New Roman"/>
          <w:sz w:val="20"/>
          <w:u w:val="single"/>
        </w:rPr>
        <w:t>Acts of Holders</w:t>
      </w:r>
      <w:r>
        <w:rPr>
          <w:rFonts w:ascii="Times New Roman" w:hAnsi="Times New Roman"/>
          <w:sz w:val="20"/>
        </w:rPr>
        <w:t xml:space="preserve">. The Depositary, as a Holder, may appoint agents and otherwise authorize participants to give or take any request, demand, authorization, direction, notice, consent, waiver or other action which a Holder is entitled to give or take under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2.15.5. </w:t>
      </w:r>
      <w:r>
        <w:rPr>
          <w:rFonts w:ascii="Times New Roman" w:hAnsi="Times New Roman"/>
          <w:sz w:val="20"/>
          <w:u w:val="single"/>
        </w:rPr>
        <w:t>Payments</w:t>
      </w:r>
      <w:r>
        <w:rPr>
          <w:rFonts w:ascii="Times New Roman" w:hAnsi="Times New Roman"/>
          <w:sz w:val="20"/>
        </w:rPr>
        <w:t xml:space="preserve">. Notwithstanding the other provisions of this Indenture, unless otherwise specified as contemplated by Section 2.2, payment of the principal of and interest, if any, on any Global Security shall be made to the Holder thereof, which in the case of a Depositary therefor will be made in accordance with its applicable procedures. </w:t>
      </w:r>
    </w:p>
    <w:p>
      <w:pPr>
        <w:pStyle w:val="TextBody"/>
        <w:bidi w:val="0"/>
        <w:spacing w:before="120" w:after="0"/>
        <w:jc w:val="left"/>
        <w:rPr>
          <w:rFonts w:ascii="Times New Roman" w:hAnsi="Times New Roman"/>
          <w:sz w:val="20"/>
        </w:rPr>
      </w:pPr>
      <w:r>
        <w:rPr>
          <w:rFonts w:ascii="Times New Roman" w:hAnsi="Times New Roman"/>
          <w:sz w:val="20"/>
        </w:rPr>
        <w:t xml:space="preserve">2.15.6. </w:t>
      </w:r>
      <w:r>
        <w:rPr>
          <w:rFonts w:ascii="Times New Roman" w:hAnsi="Times New Roman"/>
          <w:sz w:val="20"/>
          <w:u w:val="single"/>
        </w:rPr>
        <w:t>Consents, Declaration and Directions</w:t>
      </w:r>
      <w:r>
        <w:rPr>
          <w:rFonts w:ascii="Times New Roman" w:hAnsi="Times New Roman"/>
          <w:sz w:val="20"/>
        </w:rPr>
        <w:t xml:space="preserve">. The Company, the Trustee and any Agent shall treat a person as the Holder of such principal amount of outstanding Securities of such Series represented by a Global Security as shall be specified in a written statement of the Depositary or by the applicable procedures of such Depositary with respect to such Global Security, for purposes of obtaining any consents, declarations, waivers or directions required to be given by the Holders pursuant to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2.16. </w:t>
      </w:r>
      <w:r>
        <w:rPr>
          <w:rFonts w:ascii="Times New Roman" w:hAnsi="Times New Roman"/>
          <w:sz w:val="20"/>
          <w:u w:val="single"/>
        </w:rPr>
        <w:t>CUSIP Numbers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Trustee shall have no liability for any defect in the “CUSIP” numbers as they appear on any Security, notice or elsewhere. The Company will promptly notify the Trustee in writing of any change in the “CUSIP” numbers.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2.17. </w:t>
      </w:r>
      <w:r>
        <w:rPr>
          <w:rFonts w:ascii="Times New Roman" w:hAnsi="Times New Roman"/>
          <w:sz w:val="20"/>
          <w:u w:val="single"/>
        </w:rPr>
        <w:t>Evidence of Ownership</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the Trustee and any agent of the Company or the Trustee may deem and treat the person in whose name any registered Security shall be registered upon the Security Register for such series as the absolute owner of such registered Security (whether or not such registered Security shall be overdue and notwithstanding any notation of ownership or other writing thereon) for the purpose of receiving payment of or on account of the principal of and, subject to the provisions of this Indenture, interest on such registered Security and for all other purposes; and neither the Company nor the Trustee nor any agent of the Company or the Trustee shall be affected by any notice to the contrary.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p>
    <w:p>
      <w:pPr>
        <w:pStyle w:val="TextBody"/>
        <w:bidi w:val="0"/>
        <w:spacing w:before="0" w:after="0"/>
        <w:jc w:val="center"/>
        <w:rPr>
          <w:rFonts w:ascii="Times New Roman" w:hAnsi="Times New Roman"/>
          <w:sz w:val="20"/>
        </w:rPr>
      </w:pPr>
      <w:r>
        <w:rPr>
          <w:rFonts w:ascii="Times New Roman" w:hAnsi="Times New Roman"/>
          <w:sz w:val="20"/>
        </w:rPr>
        <w:t xml:space="preserve">REDEMPTION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Notice to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The Company shall give the notice to the Trustee at least 45 days before the redemption date, unless a shorter period is satisfactory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Selection of Securities to be Redeemed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for a particular Series by a Board Resolution, a supplemental indenture hereto or an Officer’s Certificate, if less than all the Securities of a Series are to be redeemed, the Trustee shall select the Securities of the Series to be redeemed in any manner that the Trustee deems fair and appropriate, including selecting by lot or other method, unless otherwise required by law or applicable stock exchange requirements, subject, in the case of Global Securities, to the applicable rules and procedures of the Depositary; </w:t>
      </w:r>
      <w:r>
        <w:rPr>
          <w:rFonts w:ascii="Times New Roman" w:hAnsi="Times New Roman"/>
          <w:i/>
          <w:sz w:val="20"/>
        </w:rPr>
        <w:t xml:space="preserve">provided that </w:t>
      </w:r>
      <w:r>
        <w:rPr>
          <w:rFonts w:ascii="Times New Roman" w:hAnsi="Times New Roman"/>
          <w:sz w:val="20"/>
        </w:rPr>
        <w:t xml:space="preserve">the unredeemed portion of the principal amount of any Security shall be in an authorized denomination (which shall not be less than the minimum authorized denomination) for such Security. The Trustee shall make the selection from Securities of the Series outstanding not previously called for redemption. Provisions of this Indenture that apply to Securities of a Series called for redemption also apply to portions of Securities of that Series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Notice of Redemption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for a particular Series by Board Resolution, a supplemental indenture hereto or an Officer’s Certificate, at least 30 days but not more than 60 days before a redemption date, the Company shall mail a notice of redemption by first-class mail to each Holder whose Securities are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The notice shall identify the Securities of the Series to be redeemed and shall state: </w:t>
      </w:r>
    </w:p>
    <w:p>
      <w:pPr>
        <w:pStyle w:val="TextBody"/>
        <w:bidi w:val="0"/>
        <w:spacing w:before="120" w:after="0"/>
        <w:jc w:val="left"/>
        <w:rPr>
          <w:rFonts w:ascii="Times New Roman" w:hAnsi="Times New Roman"/>
          <w:sz w:val="20"/>
        </w:rPr>
      </w:pPr>
      <w:r>
        <w:rPr>
          <w:rFonts w:ascii="Times New Roman" w:hAnsi="Times New Roman"/>
          <w:sz w:val="20"/>
        </w:rPr>
        <w:t xml:space="preserve">(a)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(b) the redemption price and the amount of accrued interest, if any, to be paid; </w:t>
      </w:r>
    </w:p>
    <w:p>
      <w:pPr>
        <w:pStyle w:val="TextBody"/>
        <w:bidi w:val="0"/>
        <w:spacing w:before="120" w:after="0"/>
        <w:jc w:val="left"/>
        <w:rPr>
          <w:rFonts w:ascii="Times New Roman" w:hAnsi="Times New Roman"/>
          <w:sz w:val="20"/>
        </w:rPr>
      </w:pPr>
      <w:r>
        <w:rPr>
          <w:rFonts w:ascii="Times New Roman" w:hAnsi="Times New Roman"/>
          <w:sz w:val="20"/>
        </w:rPr>
        <w:t xml:space="preserve">(c) the name and address of the Paying Agent and, if applicable, the conversion Agent; </w:t>
      </w:r>
    </w:p>
    <w:p>
      <w:pPr>
        <w:pStyle w:val="TextBody"/>
        <w:bidi w:val="0"/>
        <w:spacing w:before="120" w:after="0"/>
        <w:jc w:val="left"/>
        <w:rPr>
          <w:rFonts w:ascii="Times New Roman" w:hAnsi="Times New Roman"/>
          <w:sz w:val="20"/>
        </w:rPr>
      </w:pPr>
      <w:r>
        <w:rPr>
          <w:rFonts w:ascii="Times New Roman" w:hAnsi="Times New Roman"/>
          <w:sz w:val="20"/>
        </w:rPr>
        <w:t xml:space="preserve">(d) for convertible Securities, the conversion price; </w:t>
      </w:r>
    </w:p>
    <w:p>
      <w:pPr>
        <w:pStyle w:val="TextBody"/>
        <w:bidi w:val="0"/>
        <w:spacing w:before="120" w:after="0"/>
        <w:jc w:val="left"/>
        <w:rPr>
          <w:rFonts w:ascii="Times New Roman" w:hAnsi="Times New Roman"/>
          <w:sz w:val="20"/>
        </w:rPr>
      </w:pPr>
      <w:r>
        <w:rPr>
          <w:rFonts w:ascii="Times New Roman" w:hAnsi="Times New Roman"/>
          <w:sz w:val="20"/>
        </w:rPr>
        <w:t xml:space="preserve">(e) if any Global Security is being redeemed in part, the portion of the principal amount of such Global Security to be redeemed and that, after the redemption date upon surrender of such Global Security, the principal amount thereof will be decreased by the portion thereof redeemed pursuant thereto; </w:t>
      </w:r>
    </w:p>
    <w:p>
      <w:pPr>
        <w:pStyle w:val="TextBody"/>
        <w:bidi w:val="0"/>
        <w:spacing w:before="120" w:after="0"/>
        <w:jc w:val="left"/>
        <w:rPr>
          <w:rFonts w:ascii="Times New Roman" w:hAnsi="Times New Roman"/>
          <w:sz w:val="20"/>
        </w:rPr>
      </w:pPr>
      <w:r>
        <w:rPr>
          <w:rFonts w:ascii="Times New Roman" w:hAnsi="Times New Roman"/>
          <w:sz w:val="20"/>
        </w:rPr>
        <w:t xml:space="preserve">(f) if any Certificated Security is being redeemed in part, the portion of the principal amount of such Security to be redeemed, and that, after the redemption date, upon surrender of such Security, a new Certificated Security in principal amount equal to the unredeemed portion thereof will be issued in the name of the Holder thereof upon cancellation of the original Certificated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that Securities of the Series (or portion thereof) called for redemption must be surrendered to the Paying Agent to collect the 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(h) that interest on Securities of the Series called for redemption ceases to accrue on and after the redemption date unless the Company defaults in the deposit of the 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(i) the CUSIP number, if any, and state that no representation is made as to the correctness or accuracy of the CUSIP number, if any, listed in the SEC’s notice or printed on the Securities; and </w:t>
      </w:r>
    </w:p>
    <w:p>
      <w:pPr>
        <w:pStyle w:val="TextBody"/>
        <w:bidi w:val="0"/>
        <w:spacing w:before="120" w:after="0"/>
        <w:jc w:val="left"/>
        <w:rPr>
          <w:rFonts w:ascii="Times New Roman" w:hAnsi="Times New Roman"/>
          <w:sz w:val="20"/>
        </w:rPr>
      </w:pPr>
      <w:r>
        <w:rPr>
          <w:rFonts w:ascii="Times New Roman" w:hAnsi="Times New Roman"/>
          <w:sz w:val="20"/>
        </w:rPr>
        <w:t xml:space="preserve">(j) any other information as may be required by the terms of the particular Series or the Securities of a Series being redeemed. </w:t>
      </w:r>
    </w:p>
    <w:p>
      <w:pPr>
        <w:pStyle w:val="TextBody"/>
        <w:bidi w:val="0"/>
        <w:spacing w:before="240" w:after="0"/>
        <w:jc w:val="left"/>
        <w:rPr>
          <w:rFonts w:ascii="Times New Roman" w:hAnsi="Times New Roman"/>
          <w:sz w:val="20"/>
        </w:rPr>
      </w:pPr>
      <w:r>
        <w:rPr>
          <w:rFonts w:ascii="Times New Roman" w:hAnsi="Times New Roman"/>
          <w:sz w:val="20"/>
        </w:rPr>
        <w:t xml:space="preserve">At the Company’s request, the Trustee shall give the notice of redemption in the Company’s name and at its expense,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has delivered to the Trustee, at least 15 days (unless a shorter time shall be acceptable to the Trustee) prior to the notice date, an Officer’s Certificate requesting that the Trustee give such notice and setting forth the information to be stated in such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Effect of Notice of Redemption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Once notice of redemption is mailed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 other than Securities or portions of Securities called for redemption which have been delivered by the Company to the Registrar for cancellation. The Paying Agent shall return to the Company any money not required for that purpose. </w:t>
      </w:r>
    </w:p>
    <w:p>
      <w:pPr>
        <w:pStyle w:val="TextBody"/>
        <w:bidi w:val="0"/>
        <w:spacing w:before="240" w:after="0"/>
        <w:jc w:val="left"/>
        <w:rPr>
          <w:rFonts w:ascii="Times New Roman" w:hAnsi="Times New Roman"/>
          <w:sz w:val="20"/>
        </w:rPr>
      </w:pPr>
      <w:r>
        <w:rPr>
          <w:rFonts w:ascii="Times New Roman" w:hAnsi="Times New Roman"/>
          <w:sz w:val="20"/>
        </w:rPr>
        <w:t xml:space="preserve">Unless the Company shall default in the payment of Securities (and accrued interest) called for redemption, interest on such Securities shall cease to accrue after the redemption date. Convertible Securities called for redemption shall cease to be convertible after the close of business on the Business Day immediately preceding the redemption date, unless the Company shall default in the payment of such Securities on the redemption date, in which event the Securities shall remain convertible until paid (together with accrued interest). </w:t>
      </w:r>
    </w:p>
    <w:p>
      <w:pPr>
        <w:pStyle w:val="TextBody"/>
        <w:bidi w:val="0"/>
        <w:spacing w:before="240" w:after="0"/>
        <w:jc w:val="left"/>
        <w:rPr>
          <w:rFonts w:ascii="Times New Roman" w:hAnsi="Times New Roman"/>
          <w:sz w:val="20"/>
        </w:rPr>
      </w:pPr>
      <w:r>
        <w:rPr>
          <w:rFonts w:ascii="Times New Roman" w:hAnsi="Times New Roman"/>
          <w:sz w:val="20"/>
        </w:rPr>
        <w:t xml:space="preserve">Failure to give notice of redemption, or any defect in such notice to the Holder of any Security of a Series designated for redemption, in whole or in part, shall not affect the sufficiency of any notice of redemption with respect to the Holder of any other Security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Deposit of Redemption Price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On or before 10:00 a.m., New York City time, on the redemption date, the Company shall deposit with the Paying Agent money sufficient to pay the redemption price of and accrued interest, if any, on all Securities to be redeemed on that date. </w:t>
      </w:r>
    </w:p>
    <w:p>
      <w:pPr>
        <w:pStyle w:val="TextBody"/>
        <w:bidi w:val="0"/>
        <w:spacing w:before="240" w:after="0"/>
        <w:jc w:val="left"/>
        <w:rPr>
          <w:rFonts w:ascii="Times New Roman" w:hAnsi="Times New Roman"/>
          <w:sz w:val="20"/>
        </w:rPr>
      </w:pPr>
      <w:r>
        <w:rPr>
          <w:rFonts w:ascii="Times New Roman" w:hAnsi="Times New Roman"/>
          <w:sz w:val="20"/>
        </w:rPr>
        <w:t xml:space="preserve">Section 3.6. </w:t>
      </w:r>
      <w:r>
        <w:rPr>
          <w:rFonts w:ascii="Times New Roman" w:hAnsi="Times New Roman"/>
          <w:sz w:val="20"/>
          <w:u w:val="single"/>
        </w:rPr>
        <w:t>Securities Redeemed in Part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surrender of a Certificated Security that is redeemed in part, the Trustee shall authenticate for the Holder a new Certificated Security of the same Series and the same maturity equal in principal amount to the unredeemed portion of the Security surrendered and concurrently cancel the surrendered Certificated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IV. </w:t>
      </w:r>
    </w:p>
    <w:p>
      <w:pPr>
        <w:pStyle w:val="TextBody"/>
        <w:bidi w:val="0"/>
        <w:spacing w:before="0" w:after="0"/>
        <w:jc w:val="center"/>
        <w:rPr>
          <w:rFonts w:ascii="Times New Roman" w:hAnsi="Times New Roman"/>
          <w:sz w:val="20"/>
        </w:rPr>
      </w:pPr>
      <w:r>
        <w:rPr>
          <w:rFonts w:ascii="Times New Roman" w:hAnsi="Times New Roman"/>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Payment of Principal and 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10:00 a.m., New York City time, on the applicable payment date, the Company shall deposit with the Paying Agent money sufficient to pay the principal of and interest, if any, on the Securities of each Series in accordance with the terms of such Securities and this Indenture. Principal and interest shall be considered paid on the date due if the Paying Agent holds in accordance with this Indenture on that date money sufficient to pay all principal and interest then due and the Paying Agent is not prohibited from paying such money to the Holders on such date pursuant to the terms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Reports by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As long as any Securities are outstanding, the Company shall file with the Trustee, and transmit to the Holders, such information, documents and other reports, and such summaries thereof, as may be required pursuant to TIA § 314(a). All reports, information and documents referred to in this Section 4.2 will be deemed to be filed with the Trustee and transmitted to the Holders at the time such reports, information or documents are publicly filed with the SEC via the SEC’s EDGAR filing system (or any successor system), it being understood that the Trustee shall have no responsibility whatsoever to determine if such filings have been made. </w:t>
      </w:r>
    </w:p>
    <w:p>
      <w:pPr>
        <w:pStyle w:val="TextBody"/>
        <w:bidi w:val="0"/>
        <w:spacing w:before="120" w:after="0"/>
        <w:jc w:val="left"/>
        <w:rPr>
          <w:rFonts w:ascii="Times New Roman" w:hAnsi="Times New Roman"/>
          <w:sz w:val="20"/>
        </w:rPr>
      </w:pPr>
      <w:r>
        <w:rPr>
          <w:rFonts w:ascii="Times New Roman" w:hAnsi="Times New Roman"/>
          <w:sz w:val="20"/>
        </w:rPr>
        <w:t xml:space="preserve">(b) Delivery of reports, information and documents to the Trustee under this Section 4.2 are for informational purposes only and shall not constitute a representation or warranty as to the accuracy or completeness of the reports, information and documents. The Trustee’s receipt of the foregoing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Compliance Certificate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To the extent any Securities of a Series are outstanding, the Company shall deliver to the Trustee, within 120 days after the end of each fiscal year of the Company, an Officer’s Certificate (which need not contain the statements provided for in Section 10.4) from its principal executive officer, principal financial officer or principal accounting officer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such Officer signing such certificate, that to his or her knowledge the Company is not in default in the performance or observance of any of the terms, provisions and conditions hereof (or, if a Default or Event of Default shall have occurred, describing all such Defaults or Events of Default of which the Officer has knowledge). Such Officer’s Certificate need not include a reference to any non-compliance that has been fully cured prior to the date as of which such certificate speaks.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Stay, Extension and Usury 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 </w:t>
      </w:r>
    </w:p>
    <w:p>
      <w:pPr>
        <w:pStyle w:val="TextBody"/>
        <w:bidi w:val="0"/>
        <w:spacing w:before="240" w:after="0"/>
        <w:jc w:val="left"/>
        <w:rPr>
          <w:rFonts w:ascii="Times New Roman" w:hAnsi="Times New Roman"/>
          <w:sz w:val="20"/>
        </w:rPr>
      </w:pPr>
      <w:r>
        <w:rPr>
          <w:rFonts w:ascii="Times New Roman" w:hAnsi="Times New Roman"/>
          <w:sz w:val="20"/>
        </w:rPr>
        <w:t xml:space="preserve">Section 4.5. </w:t>
      </w:r>
      <w:r>
        <w:rPr>
          <w:rFonts w:ascii="Times New Roman" w:hAnsi="Times New Roman"/>
          <w:sz w:val="20"/>
          <w:u w:val="single"/>
        </w:rPr>
        <w:t>Corporate Existence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Subject to Article V, the Company will do or cause to be done all things necessary to preserve and keep in full force and effect its corporate existence and rights (charter and statutory);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be required to preserve any such right if the Board of Directors shall determine that the preservation thereof is no longer desirable in the conduct of the business of the Company and its Subsidiaries taken as a whole and that the loss thereof is not adverse in any material respect to the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 </w:t>
      </w:r>
    </w:p>
    <w:p>
      <w:pPr>
        <w:pStyle w:val="TextBody"/>
        <w:bidi w:val="0"/>
        <w:spacing w:before="0" w:after="0"/>
        <w:jc w:val="center"/>
        <w:rPr>
          <w:rFonts w:ascii="Times New Roman" w:hAnsi="Times New Roman"/>
          <w:sz w:val="20"/>
        </w:rPr>
      </w:pPr>
      <w:r>
        <w:rPr>
          <w:rFonts w:ascii="Times New Roman" w:hAnsi="Times New Roman"/>
          <w:sz w:val="20"/>
        </w:rPr>
        <w:t xml:space="preserve">SUCCESSORS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Consolidation, Merger and Sale of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Company may not consolidate with or merge with or into, sell, convey, transfer or dispose of all or substantially all of its assets to any other person (a “</w:t>
      </w:r>
      <w:r>
        <w:rPr>
          <w:rFonts w:ascii="Times New Roman" w:hAnsi="Times New Roman"/>
          <w:i/>
          <w:sz w:val="20"/>
        </w:rPr>
        <w:t>successor person</w:t>
      </w:r>
      <w:r>
        <w:rPr>
          <w:rFonts w:ascii="Times New Roman" w:hAnsi="Times New Roman"/>
          <w:sz w:val="20"/>
        </w:rPr>
        <w:t xml:space="preserve">”), whether in one transaction or a series of related transactions, unless: </w:t>
      </w:r>
    </w:p>
    <w:p>
      <w:pPr>
        <w:pStyle w:val="TextBody"/>
        <w:bidi w:val="0"/>
        <w:spacing w:before="120" w:after="0"/>
        <w:jc w:val="left"/>
        <w:rPr>
          <w:rFonts w:ascii="Times New Roman" w:hAnsi="Times New Roman"/>
          <w:sz w:val="20"/>
        </w:rPr>
      </w:pPr>
      <w:r>
        <w:rPr>
          <w:rFonts w:ascii="Times New Roman" w:hAnsi="Times New Roman"/>
          <w:sz w:val="20"/>
        </w:rPr>
        <w:t xml:space="preserve">(a) (i) the Company is the surviving corporation or (ii) the successor person (if other than the Company) (A) is a corporation, limited liability corporation, partnership or trust organized under the laws of the United States; and (B) expressly assumes, by an indenture supplemental hereto, the Company’s obligations on the Securities and under this Indenture; and </w:t>
      </w:r>
    </w:p>
    <w:p>
      <w:pPr>
        <w:pStyle w:val="TextBody"/>
        <w:bidi w:val="0"/>
        <w:spacing w:before="120" w:after="0"/>
        <w:jc w:val="left"/>
        <w:rPr>
          <w:rFonts w:ascii="Times New Roman" w:hAnsi="Times New Roman"/>
          <w:sz w:val="20"/>
        </w:rPr>
      </w:pPr>
      <w:r>
        <w:rPr>
          <w:rFonts w:ascii="Times New Roman" w:hAnsi="Times New Roman"/>
          <w:sz w:val="20"/>
        </w:rPr>
        <w:t xml:space="preserve">(b) immediately after giving effect to the transaction, no Default or Event of Default shall have happened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deliver to the Trustee prior to the consummation of the proposed transaction an Officer’s Certificate to the foregoing effect and an Opinion of Counsel stating that the proposed transaction and any supplemental indenture comply with Section 5.1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any Subsidiary of the Company may consolidate with, merge into or transfer all or part of its properties to the Company. Neither an Officer’s Certificate nor an Opinion of Counsel shall be required to be delivered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Successor Person Substituted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any consolidation or merger, or any sale, conveyance, transfer, or lease of all or substantially all of the assets of the Company and its Subsidiaries in accordance with Section 5.1, the successor person formed by such consolidation or into or with which the Company is merged or to which such sale, conveyance, transfer, or lease is made shall succeed to, and be substituted for, and may exercise every right and power of, the Company under this Indenture and the Securities with the same effect as if such successor person has been named as the Company herein; and, thereafter, the predecessor Company, in the case of a sale, conveyance or transfer (other than a lease), shall be released from all obligations and covenants under this Indenture and the Securities.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p>
    <w:p>
      <w:pPr>
        <w:pStyle w:val="TextBody"/>
        <w:bidi w:val="0"/>
        <w:spacing w:before="0" w:after="0"/>
        <w:jc w:val="center"/>
        <w:rPr>
          <w:rFonts w:ascii="Times New Roman" w:hAnsi="Times New Roman"/>
          <w:sz w:val="20"/>
        </w:rPr>
      </w:pPr>
      <w:r>
        <w:rPr>
          <w:rFonts w:ascii="Times New Roman" w:hAnsi="Times New Roman"/>
          <w:sz w:val="20"/>
        </w:rPr>
        <w:t xml:space="preserve">DEFAULTS AND REMEDIES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Events of Default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Event of Default</w:t>
      </w:r>
      <w:r>
        <w:rPr>
          <w:rFonts w:ascii="Times New Roman" w:hAnsi="Times New Roman"/>
          <w:sz w:val="20"/>
        </w:rPr>
        <w:t xml:space="preserve">,” wherever used herein with respect to Securities of any Series, means any one of the following events, unless in the establishing Board Resolution, supplemental indenture or Officer’s Certificate, it is provided that such Series shall not have the benefit of said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(a) failure to pay any interest on any Security of that Series when it becomes due and payable, and continuance of such default for a period of 30 days (unless the entire amount of such payment is deposited by the Company with the Trustee or with a Paying Agent prior to 10:00 a.m., New York City time, on the 30th day of such period); </w:t>
      </w:r>
    </w:p>
    <w:p>
      <w:pPr>
        <w:pStyle w:val="TextBody"/>
        <w:bidi w:val="0"/>
        <w:spacing w:before="120" w:after="0"/>
        <w:jc w:val="left"/>
        <w:rPr>
          <w:rFonts w:ascii="Times New Roman" w:hAnsi="Times New Roman"/>
          <w:sz w:val="20"/>
        </w:rPr>
      </w:pPr>
      <w:r>
        <w:rPr>
          <w:rFonts w:ascii="Times New Roman" w:hAnsi="Times New Roman"/>
          <w:sz w:val="20"/>
        </w:rPr>
        <w:t xml:space="preserve">(b) failure to pay principal of any Security of that Series at its Maturity;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default in the performance or breach of any covenant of the Company in this Indenture (other than defaults pursuant to sub-clauses (a) through (c) above or defaults related to a covenant that has been included in this Indenture solely for the benefit of a Series of Securities other than that Series), which default continues uncured for a period of 90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w:t>
      </w:r>
    </w:p>
    <w:p>
      <w:pPr>
        <w:pStyle w:val="TextBody"/>
        <w:bidi w:val="0"/>
        <w:spacing w:before="120" w:after="0"/>
        <w:jc w:val="left"/>
        <w:rPr>
          <w:rFonts w:ascii="Times New Roman" w:hAnsi="Times New Roman"/>
          <w:sz w:val="20"/>
        </w:rPr>
      </w:pPr>
      <w:r>
        <w:rPr>
          <w:rFonts w:ascii="Times New Roman" w:hAnsi="Times New Roman"/>
          <w:sz w:val="20"/>
        </w:rPr>
        <w:t xml:space="preserve">(d) the Company pursuant to or within the meaning of any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(i) commences a voluntary case, </w:t>
      </w:r>
    </w:p>
    <w:p>
      <w:pPr>
        <w:pStyle w:val="TextBody"/>
        <w:bidi w:val="0"/>
        <w:spacing w:before="120" w:after="0"/>
        <w:jc w:val="left"/>
        <w:rPr>
          <w:rFonts w:ascii="Times New Roman" w:hAnsi="Times New Roman"/>
          <w:sz w:val="20"/>
        </w:rPr>
      </w:pPr>
      <w:r>
        <w:rPr>
          <w:rFonts w:ascii="Times New Roman" w:hAnsi="Times New Roman"/>
          <w:sz w:val="20"/>
        </w:rPr>
        <w:t xml:space="preserve">(ii) consents to the entry of an order for relief against it in an involuntary case, </w:t>
      </w:r>
    </w:p>
    <w:p>
      <w:pPr>
        <w:pStyle w:val="TextBody"/>
        <w:bidi w:val="0"/>
        <w:spacing w:before="120" w:after="0"/>
        <w:jc w:val="left"/>
        <w:rPr>
          <w:rFonts w:ascii="Times New Roman" w:hAnsi="Times New Roman"/>
          <w:sz w:val="20"/>
        </w:rPr>
      </w:pPr>
      <w:r>
        <w:rPr>
          <w:rFonts w:ascii="Times New Roman" w:hAnsi="Times New Roman"/>
          <w:sz w:val="20"/>
        </w:rPr>
        <w:t xml:space="preserve">(iii) consents to the appointment of a Custodian of it or for all or substantially all of its property, or </w:t>
      </w:r>
    </w:p>
    <w:p>
      <w:pPr>
        <w:pStyle w:val="TextBody"/>
        <w:bidi w:val="0"/>
        <w:spacing w:before="120" w:after="0"/>
        <w:jc w:val="left"/>
        <w:rPr>
          <w:rFonts w:ascii="Times New Roman" w:hAnsi="Times New Roman"/>
          <w:sz w:val="20"/>
        </w:rPr>
      </w:pPr>
      <w:r>
        <w:rPr>
          <w:rFonts w:ascii="Times New Roman" w:hAnsi="Times New Roman"/>
          <w:sz w:val="20"/>
        </w:rPr>
        <w:t xml:space="preserve">(iv) makes a general assignment for the benefit of its creditors; </w:t>
      </w:r>
    </w:p>
    <w:p>
      <w:pPr>
        <w:pStyle w:val="TextBody"/>
        <w:bidi w:val="0"/>
        <w:spacing w:before="120" w:after="0"/>
        <w:jc w:val="left"/>
        <w:rPr>
          <w:rFonts w:ascii="Times New Roman" w:hAnsi="Times New Roman"/>
          <w:sz w:val="20"/>
        </w:rPr>
      </w:pPr>
      <w:r>
        <w:rPr>
          <w:rFonts w:ascii="Times New Roman" w:hAnsi="Times New Roman"/>
          <w:sz w:val="20"/>
        </w:rPr>
        <w:t xml:space="preserve">(e) a court of competent jurisdiction enters an order or decree under any Bankruptcy Law that: </w:t>
      </w:r>
    </w:p>
    <w:p>
      <w:pPr>
        <w:pStyle w:val="TextBody"/>
        <w:bidi w:val="0"/>
        <w:spacing w:before="120" w:after="0"/>
        <w:jc w:val="left"/>
        <w:rPr>
          <w:rFonts w:ascii="Times New Roman" w:hAnsi="Times New Roman"/>
          <w:sz w:val="20"/>
        </w:rPr>
      </w:pPr>
      <w:r>
        <w:rPr>
          <w:rFonts w:ascii="Times New Roman" w:hAnsi="Times New Roman"/>
          <w:sz w:val="20"/>
        </w:rPr>
        <w:t xml:space="preserve">(i) is for relief against the Company in an involuntary case, </w:t>
      </w:r>
    </w:p>
    <w:p>
      <w:pPr>
        <w:pStyle w:val="TextBody"/>
        <w:bidi w:val="0"/>
        <w:spacing w:before="120" w:after="0"/>
        <w:jc w:val="left"/>
        <w:rPr>
          <w:rFonts w:ascii="Times New Roman" w:hAnsi="Times New Roman"/>
          <w:sz w:val="20"/>
        </w:rPr>
      </w:pPr>
      <w:r>
        <w:rPr>
          <w:rFonts w:ascii="Times New Roman" w:hAnsi="Times New Roman"/>
          <w:sz w:val="20"/>
        </w:rPr>
        <w:t xml:space="preserve">(ii) appoints a Custodian of the Company or for all or substantially all of its property, or </w:t>
      </w:r>
    </w:p>
    <w:p>
      <w:pPr>
        <w:pStyle w:val="TextBody"/>
        <w:bidi w:val="0"/>
        <w:spacing w:before="120" w:after="0"/>
        <w:jc w:val="left"/>
        <w:rPr>
          <w:rFonts w:ascii="Times New Roman" w:hAnsi="Times New Roman"/>
          <w:sz w:val="20"/>
        </w:rPr>
      </w:pPr>
      <w:r>
        <w:rPr>
          <w:rFonts w:ascii="Times New Roman" w:hAnsi="Times New Roman"/>
          <w:sz w:val="20"/>
        </w:rPr>
        <w:t xml:space="preserve">(iii) orders the liquidation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and the order or decree remains unstayed and in effect for 60 days; or </w:t>
      </w:r>
    </w:p>
    <w:p>
      <w:pPr>
        <w:pStyle w:val="TextBody"/>
        <w:bidi w:val="0"/>
        <w:spacing w:before="120" w:after="0"/>
        <w:jc w:val="left"/>
        <w:rPr>
          <w:rFonts w:ascii="Times New Roman" w:hAnsi="Times New Roman"/>
          <w:sz w:val="20"/>
        </w:rPr>
      </w:pPr>
      <w:r>
        <w:rPr>
          <w:rFonts w:ascii="Times New Roman" w:hAnsi="Times New Roman"/>
          <w:sz w:val="20"/>
        </w:rPr>
        <w:t xml:space="preserve">(f) any other Event of Default provided with respect to Securities of that Series, which is specified in a Board Resolution, a supplemental indenture hereto or an Officer’s Certificate, in accordance with Section 2.2.18.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i/>
          <w:sz w:val="20"/>
        </w:rPr>
        <w:t>Bankruptcy Law</w:t>
      </w:r>
      <w:r>
        <w:rPr>
          <w:rFonts w:ascii="Times New Roman" w:hAnsi="Times New Roman"/>
          <w:sz w:val="20"/>
        </w:rPr>
        <w:t>” means title 11, U.S. Code or any similar federal or state law for the relief of debtors. The term “</w:t>
      </w:r>
      <w:r>
        <w:rPr>
          <w:rFonts w:ascii="Times New Roman" w:hAnsi="Times New Roman"/>
          <w:i/>
          <w:sz w:val="20"/>
        </w:rPr>
        <w:t>Custodian</w:t>
      </w:r>
      <w:r>
        <w:rPr>
          <w:rFonts w:ascii="Times New Roman" w:hAnsi="Times New Roman"/>
          <w:sz w:val="20"/>
        </w:rPr>
        <w:t xml:space="preserve">” means any receiver, trustee, assignee, liquidator or similar official under any Bankruptcy Law. </w:t>
      </w:r>
    </w:p>
    <w:p>
      <w:pPr>
        <w:pStyle w:val="TextBody"/>
        <w:bidi w:val="0"/>
        <w:spacing w:before="240" w:after="0"/>
        <w:jc w:val="left"/>
        <w:rPr>
          <w:rFonts w:ascii="Times New Roman" w:hAnsi="Times New Roman"/>
          <w:sz w:val="20"/>
        </w:rPr>
      </w:pPr>
      <w:r>
        <w:rPr>
          <w:rFonts w:ascii="Times New Roman" w:hAnsi="Times New Roman"/>
          <w:sz w:val="20"/>
        </w:rPr>
        <w:t xml:space="preserve">A Default under one Series of Securities issued under this Indenture will not necessarily be a default under another Series of Securities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so long as any of the Securities are outstanding, deliver to the Trustee, within 30 days of becoming aware of any Default or Event of Default, an Officer’s Certificate specifying such Default or Event of Default and what action the Company is taking or proposes to take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Acceleration of Maturity; Rescission and Annulment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Times New Roman" w:hAnsi="Times New Roman"/>
          <w:i/>
          <w:sz w:val="20"/>
        </w:rPr>
        <w:t xml:space="preserve">ipso facto </w:t>
      </w:r>
      <w:r>
        <w:rPr>
          <w:rFonts w:ascii="Times New Roman" w:hAnsi="Times New Roman"/>
          <w:sz w:val="20"/>
        </w:rPr>
        <w:t xml:space="preserve">become and be immediately due and payable without any declaration or other act on the part of the Trustee or any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 </w:t>
      </w:r>
    </w:p>
    <w:p>
      <w:pPr>
        <w:pStyle w:val="TextBody"/>
        <w:bidi w:val="0"/>
        <w:spacing w:before="240" w:after="0"/>
        <w:jc w:val="left"/>
        <w:rPr>
          <w:rFonts w:ascii="Times New Roman" w:hAnsi="Times New Roman"/>
          <w:sz w:val="20"/>
        </w:rPr>
      </w:pPr>
      <w:r>
        <w:rPr>
          <w:rFonts w:ascii="Times New Roman" w:hAnsi="Times New Roman"/>
          <w:sz w:val="20"/>
        </w:rPr>
        <w:t xml:space="preserve">No such rescission shall affect any subsequent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Collection of Indebtedness and Suits for Enforcement by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covenants that if </w:t>
      </w:r>
    </w:p>
    <w:p>
      <w:pPr>
        <w:pStyle w:val="TextBody"/>
        <w:bidi w:val="0"/>
        <w:spacing w:before="120" w:after="0"/>
        <w:jc w:val="left"/>
        <w:rPr>
          <w:rFonts w:ascii="Times New Roman" w:hAnsi="Times New Roman"/>
          <w:sz w:val="20"/>
        </w:rPr>
      </w:pPr>
      <w:r>
        <w:rPr>
          <w:rFonts w:ascii="Times New Roman" w:hAnsi="Times New Roman"/>
          <w:sz w:val="20"/>
        </w:rPr>
        <w:t xml:space="preserve">(a) default is made in the payment of any interest on any Security when such interest becomes due and payable and such default continues for a period of 30 days, or </w:t>
      </w:r>
    </w:p>
    <w:p>
      <w:pPr>
        <w:pStyle w:val="TextBody"/>
        <w:bidi w:val="0"/>
        <w:spacing w:before="120" w:after="0"/>
        <w:jc w:val="left"/>
        <w:rPr>
          <w:rFonts w:ascii="Times New Roman" w:hAnsi="Times New Roman"/>
          <w:sz w:val="20"/>
        </w:rPr>
      </w:pPr>
      <w:r>
        <w:rPr>
          <w:rFonts w:ascii="Times New Roman" w:hAnsi="Times New Roman"/>
          <w:sz w:val="20"/>
        </w:rPr>
        <w:t xml:space="preserve">(b) default is made in the payment of principal of any Security at the Maturity thereof, or </w:t>
      </w:r>
    </w:p>
    <w:p>
      <w:pPr>
        <w:pStyle w:val="TextBody"/>
        <w:bidi w:val="0"/>
        <w:spacing w:before="120" w:after="0"/>
        <w:jc w:val="left"/>
        <w:rPr>
          <w:rFonts w:ascii="Times New Roman" w:hAnsi="Times New Roman"/>
          <w:sz w:val="20"/>
        </w:rPr>
      </w:pPr>
      <w:r>
        <w:rPr>
          <w:rFonts w:ascii="Times New Roman" w:hAnsi="Times New Roman"/>
          <w:sz w:val="20"/>
        </w:rPr>
        <w:t xml:space="preserve">(c) default is made in the deposit of any sinking fund payment, if any, when and as due by the terms of a Security, </w:t>
      </w:r>
    </w:p>
    <w:p>
      <w:pPr>
        <w:pStyle w:val="TextBody"/>
        <w:bidi w:val="0"/>
        <w:spacing w:before="240" w:after="0"/>
        <w:jc w:val="left"/>
        <w:rPr>
          <w:rFonts w:ascii="Times New Roman" w:hAnsi="Times New Roman"/>
          <w:sz w:val="20"/>
        </w:rPr>
      </w:pPr>
      <w:r>
        <w:rPr>
          <w:rFonts w:ascii="Times New Roman" w:hAnsi="Times New Roman"/>
          <w:i/>
          <w:sz w:val="20"/>
        </w:rPr>
        <w:t xml:space="preserve">then, </w:t>
      </w:r>
      <w:r>
        <w:rPr>
          <w:rFonts w:ascii="Times New Roman" w:hAnsi="Times New Roman"/>
          <w:sz w:val="20"/>
        </w:rPr>
        <w:t xml:space="preserve">the Company will, upon demand of the Trustee, pay to it, for the benefit of the Holders of such Securities, the whole amount then due and 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 </w:t>
      </w:r>
    </w:p>
    <w:p>
      <w:pPr>
        <w:pStyle w:val="TextBody"/>
        <w:bidi w:val="0"/>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Trustee May File Proofs of Claim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case of the pendency of any receivership, insolvency, liquidation, bankruptcy, reorganization, arrangement, adjustment, composition or other judicial proceeding relating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 </w:t>
      </w:r>
    </w:p>
    <w:p>
      <w:pPr>
        <w:pStyle w:val="TextBody"/>
        <w:bidi w:val="0"/>
        <w:spacing w:before="120" w:after="0"/>
        <w:jc w:val="left"/>
        <w:rPr>
          <w:rFonts w:ascii="Times New Roman" w:hAnsi="Times New Roman"/>
          <w:sz w:val="20"/>
        </w:rPr>
      </w:pPr>
      <w:r>
        <w:rPr>
          <w:rFonts w:ascii="Times New Roman" w:hAnsi="Times New Roman"/>
          <w:sz w:val="20"/>
        </w:rPr>
        <w:t xml:space="preserve">(b) to collect and receive any moneys or other property payable or deliverable on any such claims and to distribute the same, </w:t>
      </w:r>
    </w:p>
    <w:p>
      <w:pPr>
        <w:pStyle w:val="TextBody"/>
        <w:bidi w:val="0"/>
        <w:spacing w:before="240" w:after="0"/>
        <w:jc w:val="left"/>
        <w:rPr>
          <w:rFonts w:ascii="Times New Roman" w:hAnsi="Times New Roman"/>
          <w:sz w:val="20"/>
        </w:rPr>
      </w:pPr>
      <w:r>
        <w:rPr>
          <w:rFonts w:ascii="Times New Roman" w:hAnsi="Times New Roman"/>
          <w:sz w:val="20"/>
        </w:rPr>
        <w:t xml:space="preserve">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7.7. </w:t>
      </w:r>
    </w:p>
    <w:p>
      <w:pPr>
        <w:pStyle w:val="TextBody"/>
        <w:bidi w:val="0"/>
        <w:spacing w:before="240" w:after="0"/>
        <w:jc w:val="left"/>
        <w:rPr>
          <w:rFonts w:ascii="Times New Roman" w:hAnsi="Times New Roman"/>
          <w:sz w:val="20"/>
        </w:rPr>
      </w:pPr>
      <w:r>
        <w:rPr>
          <w:rFonts w:ascii="Times New Roman" w:hAnsi="Times New Roman"/>
          <w:sz w:val="20"/>
        </w:rPr>
        <w:t xml:space="preserve">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Trustee May Enforce Claims Without Possession of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 </w:t>
      </w:r>
    </w:p>
    <w:p>
      <w:pPr>
        <w:pStyle w:val="TextBody"/>
        <w:bidi w:val="0"/>
        <w:spacing w:before="240" w:after="0"/>
        <w:jc w:val="left"/>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Application of Money Collected.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 </w:t>
      </w:r>
    </w:p>
    <w:p>
      <w:pPr>
        <w:pStyle w:val="TextBody"/>
        <w:bidi w:val="0"/>
        <w:spacing w:before="240" w:after="0"/>
        <w:jc w:val="left"/>
        <w:rPr>
          <w:rFonts w:ascii="Times New Roman" w:hAnsi="Times New Roman"/>
          <w:sz w:val="20"/>
        </w:rPr>
      </w:pPr>
      <w:r>
        <w:rPr>
          <w:rFonts w:ascii="Times New Roman" w:hAnsi="Times New Roman"/>
          <w:sz w:val="20"/>
        </w:rPr>
        <w:t xml:space="preserve">First: To the payment of all amounts due to the Trustee under this Indenture; and </w:t>
      </w:r>
    </w:p>
    <w:p>
      <w:pPr>
        <w:pStyle w:val="TextBody"/>
        <w:bidi w:val="0"/>
        <w:spacing w:before="240" w:after="0"/>
        <w:jc w:val="left"/>
        <w:rPr>
          <w:rFonts w:ascii="Times New Roman" w:hAnsi="Times New Roman"/>
          <w:sz w:val="20"/>
        </w:rPr>
      </w:pPr>
      <w:r>
        <w:rPr>
          <w:rFonts w:ascii="Times New Roman" w:hAnsi="Times New Roman"/>
          <w:sz w:val="20"/>
        </w:rPr>
        <w:t xml:space="preserve">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 </w:t>
      </w:r>
    </w:p>
    <w:p>
      <w:pPr>
        <w:pStyle w:val="TextBody"/>
        <w:bidi w:val="0"/>
        <w:spacing w:before="240" w:after="0"/>
        <w:jc w:val="left"/>
        <w:rPr>
          <w:rFonts w:ascii="Times New Roman" w:hAnsi="Times New Roman"/>
          <w:sz w:val="20"/>
        </w:rPr>
      </w:pPr>
      <w:r>
        <w:rPr>
          <w:rFonts w:ascii="Times New Roman" w:hAnsi="Times New Roman"/>
          <w:sz w:val="20"/>
        </w:rPr>
        <w:t xml:space="preserve">Third: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6.7. </w:t>
      </w:r>
      <w:r>
        <w:rPr>
          <w:rFonts w:ascii="Times New Roman" w:hAnsi="Times New Roman"/>
          <w:sz w:val="20"/>
          <w:u w:val="single"/>
        </w:rPr>
        <w:t>Limitation on Suits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 Holder of any Security of any Series shall have any right to institute any proceeding, judicial or otherwise, with respect to this Indenture, or for the appointment of a receiver or trustee, or for any other remedy hereunder, unless: </w:t>
      </w:r>
    </w:p>
    <w:p>
      <w:pPr>
        <w:pStyle w:val="TextBody"/>
        <w:bidi w:val="0"/>
        <w:spacing w:before="120" w:after="0"/>
        <w:jc w:val="left"/>
        <w:rPr>
          <w:rFonts w:ascii="Times New Roman" w:hAnsi="Times New Roman"/>
          <w:sz w:val="20"/>
        </w:rPr>
      </w:pPr>
      <w:r>
        <w:rPr>
          <w:rFonts w:ascii="Times New Roman" w:hAnsi="Times New Roman"/>
          <w:sz w:val="20"/>
        </w:rPr>
        <w:t xml:space="preserve">(a) such Holder has previously given written notice to the Trustee of a continuing Event of Default with respect to the Securities of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Holders of not less than 25% in principal amount of the outstanding Securities of that Series have made written request to the Trustee to institute proceedings in respect of such Event of Default in its own name as Trustee hereunder; </w:t>
      </w:r>
    </w:p>
    <w:p>
      <w:pPr>
        <w:pStyle w:val="TextBody"/>
        <w:bidi w:val="0"/>
        <w:spacing w:before="120" w:after="0"/>
        <w:jc w:val="left"/>
        <w:rPr>
          <w:rFonts w:ascii="Times New Roman" w:hAnsi="Times New Roman"/>
          <w:sz w:val="20"/>
        </w:rPr>
      </w:pPr>
      <w:r>
        <w:rPr>
          <w:rFonts w:ascii="Times New Roman" w:hAnsi="Times New Roman"/>
          <w:sz w:val="20"/>
        </w:rPr>
        <w:t xml:space="preserve">(c) such Holder or Holders have offered to the Trustee indemnity or security satisfactory to the Trustee against the costs, expenses and liabilities which might be incurred by the Trustee in compliance with such request; </w:t>
      </w:r>
    </w:p>
    <w:p>
      <w:pPr>
        <w:pStyle w:val="TextBody"/>
        <w:bidi w:val="0"/>
        <w:spacing w:before="120" w:after="0"/>
        <w:jc w:val="left"/>
        <w:rPr>
          <w:rFonts w:ascii="Times New Roman" w:hAnsi="Times New Roman"/>
          <w:sz w:val="20"/>
        </w:rPr>
      </w:pPr>
      <w:r>
        <w:rPr>
          <w:rFonts w:ascii="Times New Roman" w:hAnsi="Times New Roman"/>
          <w:sz w:val="20"/>
        </w:rPr>
        <w:t xml:space="preserve">(d) the Trustee has failed to institute any such proceeding for 60 days after its receipt of such notice, request and offer of indemnity; and </w:t>
      </w:r>
    </w:p>
    <w:p>
      <w:pPr>
        <w:pStyle w:val="TextBody"/>
        <w:bidi w:val="0"/>
        <w:spacing w:before="120" w:after="0"/>
        <w:jc w:val="left"/>
        <w:rPr>
          <w:rFonts w:ascii="Times New Roman" w:hAnsi="Times New Roman"/>
          <w:sz w:val="20"/>
        </w:rPr>
      </w:pPr>
      <w:r>
        <w:rPr>
          <w:rFonts w:ascii="Times New Roman" w:hAnsi="Times New Roman"/>
          <w:sz w:val="20"/>
        </w:rPr>
        <w:t xml:space="preserve">(e) no direction inconsistent with such written request has been given to the Trustee during such 60-day period by the Holders of a majority in principal amount of the outstanding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Trustee does not have an affirmative duty to ascertain whether or not such actions or forbearances are unduly prejudicial to such 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6.8. </w:t>
      </w:r>
      <w:r>
        <w:rPr>
          <w:rFonts w:ascii="Times New Roman" w:hAnsi="Times New Roman"/>
          <w:sz w:val="20"/>
          <w:u w:val="single"/>
        </w:rPr>
        <w:t>Unconditional Right of Holders to Receive Principal and 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other provision in this Indenture, the Holder of any Security has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6.9. </w:t>
      </w:r>
      <w:r>
        <w:rPr>
          <w:rFonts w:ascii="Times New Roman" w:hAnsi="Times New Roman"/>
          <w:sz w:val="20"/>
          <w:u w:val="single"/>
        </w:rPr>
        <w:t>Restoration of Rights and Remedies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Rights and Remedies Cumulative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with respect to the replacement or payment of mutilated, destroyed, lost or stolen Securities in Section 2.9,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Delay or Omission Not Waiver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Control by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 </w:t>
      </w:r>
    </w:p>
    <w:p>
      <w:pPr>
        <w:pStyle w:val="TextBody"/>
        <w:bidi w:val="0"/>
        <w:spacing w:before="120" w:after="0"/>
        <w:jc w:val="left"/>
        <w:rPr>
          <w:rFonts w:ascii="Times New Roman" w:hAnsi="Times New Roman"/>
          <w:sz w:val="20"/>
        </w:rPr>
      </w:pPr>
      <w:r>
        <w:rPr>
          <w:rFonts w:ascii="Times New Roman" w:hAnsi="Times New Roman"/>
          <w:sz w:val="20"/>
        </w:rPr>
        <w:t xml:space="preserve">(a) such direction shall not be in conflict with any rule of law or with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(b) the Trustee may take any other action deemed proper by the Trustee which is not inconsistent with such direction; </w:t>
      </w:r>
    </w:p>
    <w:p>
      <w:pPr>
        <w:pStyle w:val="TextBody"/>
        <w:bidi w:val="0"/>
        <w:spacing w:before="120" w:after="0"/>
        <w:jc w:val="left"/>
        <w:rPr>
          <w:rFonts w:ascii="Times New Roman" w:hAnsi="Times New Roman"/>
          <w:sz w:val="20"/>
        </w:rPr>
      </w:pPr>
      <w:r>
        <w:rPr>
          <w:rFonts w:ascii="Times New Roman" w:hAnsi="Times New Roman"/>
          <w:sz w:val="20"/>
        </w:rPr>
        <w:t xml:space="preserve">(c) 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 </w:t>
      </w:r>
    </w:p>
    <w:p>
      <w:pPr>
        <w:pStyle w:val="TextBody"/>
        <w:bidi w:val="0"/>
        <w:spacing w:before="120" w:after="0"/>
        <w:jc w:val="left"/>
        <w:rPr>
          <w:rFonts w:ascii="Times New Roman" w:hAnsi="Times New Roman"/>
          <w:sz w:val="20"/>
        </w:rPr>
      </w:pPr>
      <w:r>
        <w:rPr>
          <w:rFonts w:ascii="Times New Roman" w:hAnsi="Times New Roman"/>
          <w:sz w:val="20"/>
        </w:rPr>
        <w:t xml:space="preserve">(d) prior to taking any action as directed under this Section 6.12, the Trustee shall be entitled to indemnity satisfactory to it against the costs, expenses and liabilities which might be incurred by it in compliance with such request or direction. </w:t>
      </w:r>
    </w:p>
    <w:p>
      <w:pPr>
        <w:pStyle w:val="TextBody"/>
        <w:bidi w:val="0"/>
        <w:spacing w:before="240" w:after="0"/>
        <w:jc w:val="left"/>
        <w:rPr>
          <w:rFonts w:ascii="Times New Roman" w:hAnsi="Times New Roman"/>
          <w:sz w:val="20"/>
        </w:rPr>
      </w:pPr>
      <w:r>
        <w:rPr>
          <w:rFonts w:ascii="Times New Roman" w:hAnsi="Times New Roman"/>
          <w:sz w:val="20"/>
        </w:rPr>
        <w:t xml:space="preserve">Section 6.13. </w:t>
      </w:r>
      <w:r>
        <w:rPr>
          <w:rFonts w:ascii="Times New Roman" w:hAnsi="Times New Roman"/>
          <w:sz w:val="20"/>
          <w:u w:val="single"/>
        </w:rPr>
        <w:t>Waiver of Past Defaults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Holders of not less than a majority in principal amount of the outstanding Securities of any Series may on behalf of the Holders of all the Securities of such Series waive any past Default hereunder with respect to such Series and its consequences, except a Default in the payment of the principal of or interest on any Security of such Series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6.14. </w:t>
      </w:r>
      <w:r>
        <w:rPr>
          <w:rFonts w:ascii="Times New Roman" w:hAnsi="Times New Roman"/>
          <w:sz w:val="20"/>
          <w:u w:val="single"/>
        </w:rPr>
        <w:t>Undertaking for Costs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6.14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 </w:t>
      </w:r>
    </w:p>
    <w:p>
      <w:pPr>
        <w:pStyle w:val="TextBody"/>
        <w:bidi w:val="0"/>
        <w:spacing w:before="480" w:after="0"/>
        <w:jc w:val="center"/>
        <w:rPr>
          <w:rFonts w:ascii="Times New Roman" w:hAnsi="Times New Roman"/>
          <w:sz w:val="20"/>
        </w:rPr>
      </w:pPr>
      <w:r>
        <w:rPr>
          <w:rFonts w:ascii="Times New Roman" w:hAnsi="Times New Roman"/>
          <w:sz w:val="20"/>
        </w:rPr>
        <w:t xml:space="preserve">ARTICLE VII. </w:t>
      </w:r>
    </w:p>
    <w:p>
      <w:pPr>
        <w:pStyle w:val="TextBody"/>
        <w:bidi w:val="0"/>
        <w:spacing w:before="0" w:after="0"/>
        <w:jc w:val="center"/>
        <w:rPr>
          <w:rFonts w:ascii="Times New Roman" w:hAnsi="Times New Roman"/>
          <w:sz w:val="20"/>
        </w:rPr>
      </w:pPr>
      <w:r>
        <w:rPr>
          <w:rFonts w:ascii="Times New Roman" w:hAnsi="Times New Roman"/>
          <w:sz w:val="20"/>
        </w:rPr>
        <w:t xml:space="preserve">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Duties of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Except during the continuance of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(i) The Trustee need perform only those duties that are specifically set forth in this Indenture and no others. </w:t>
      </w:r>
    </w:p>
    <w:p>
      <w:pPr>
        <w:pStyle w:val="TextBody"/>
        <w:bidi w:val="0"/>
        <w:spacing w:before="120" w:after="0"/>
        <w:jc w:val="left"/>
        <w:rPr>
          <w:rFonts w:ascii="Times New Roman" w:hAnsi="Times New Roman"/>
          <w:sz w:val="20"/>
        </w:rPr>
      </w:pPr>
      <w:r>
        <w:rPr>
          <w:rFonts w:ascii="Times New Roman" w:hAnsi="Times New Roman"/>
          <w:sz w:val="20"/>
        </w:rPr>
        <w:t xml:space="preserve">(ii) 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Times New Roman" w:hAnsi="Times New Roman"/>
          <w:sz w:val="20"/>
          <w:u w:val="single"/>
        </w:rPr>
        <w:t>however</w:t>
      </w:r>
      <w:r>
        <w:rPr>
          <w:rFonts w:ascii="Times New Roman" w:hAnsi="Times New Roman"/>
          <w:sz w:val="20"/>
        </w:rPr>
        <w:t xml:space="preserve">,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requirements of this Indenture (but need not confirm or investigate the accuracy of mathematical calculations or other facts stated therein). </w:t>
      </w:r>
    </w:p>
    <w:p>
      <w:pPr>
        <w:pStyle w:val="TextBody"/>
        <w:bidi w:val="0"/>
        <w:spacing w:before="120" w:after="0"/>
        <w:jc w:val="left"/>
        <w:rPr>
          <w:rFonts w:ascii="Times New Roman" w:hAnsi="Times New Roman"/>
          <w:sz w:val="20"/>
        </w:rPr>
      </w:pPr>
      <w:r>
        <w:rPr>
          <w:rFonts w:ascii="Times New Roman" w:hAnsi="Times New Roman"/>
          <w:sz w:val="20"/>
        </w:rPr>
        <w:t xml:space="preserve">(c) The Trustee may not be relieved from liability for its own negligent action, its own negligent failure to act or its own willful misconduct, except that: </w:t>
      </w:r>
    </w:p>
    <w:p>
      <w:pPr>
        <w:pStyle w:val="TextBody"/>
        <w:bidi w:val="0"/>
        <w:spacing w:before="120" w:after="0"/>
        <w:jc w:val="left"/>
        <w:rPr>
          <w:rFonts w:ascii="Times New Roman" w:hAnsi="Times New Roman"/>
          <w:sz w:val="20"/>
        </w:rPr>
      </w:pPr>
      <w:r>
        <w:rPr>
          <w:rFonts w:ascii="Times New Roman" w:hAnsi="Times New Roman"/>
          <w:sz w:val="20"/>
        </w:rPr>
        <w:t xml:space="preserve">(i) This sub-clause (c) does not limit the effect of sub-clause (b) of this Section 7.1. </w:t>
      </w:r>
    </w:p>
    <w:p>
      <w:pPr>
        <w:pStyle w:val="TextBody"/>
        <w:bidi w:val="0"/>
        <w:spacing w:before="120" w:after="0"/>
        <w:jc w:val="left"/>
        <w:rPr>
          <w:rFonts w:ascii="Times New Roman" w:hAnsi="Times New Roman"/>
          <w:sz w:val="20"/>
        </w:rPr>
      </w:pPr>
      <w:r>
        <w:rPr>
          <w:rFonts w:ascii="Times New Roman" w:hAnsi="Times New Roman"/>
          <w:sz w:val="20"/>
        </w:rPr>
        <w:t xml:space="preserve">(ii) The Trustee shall not be liable for any error of judgment made in good faith by a Responsible Officer, unless it is proved that the Trustee was negligent in ascertaining the pertinent facts. </w:t>
      </w:r>
    </w:p>
    <w:p>
      <w:pPr>
        <w:pStyle w:val="TextBody"/>
        <w:bidi w:val="0"/>
        <w:spacing w:before="120" w:after="0"/>
        <w:jc w:val="left"/>
        <w:rPr>
          <w:rFonts w:ascii="Times New Roman" w:hAnsi="Times New Roman"/>
          <w:sz w:val="20"/>
        </w:rPr>
      </w:pPr>
      <w:r>
        <w:rPr>
          <w:rFonts w:ascii="Times New Roman" w:hAnsi="Times New Roman"/>
          <w:sz w:val="20"/>
        </w:rPr>
        <w:t xml:space="preserve">(iii) 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 </w:t>
      </w:r>
    </w:p>
    <w:p>
      <w:pPr>
        <w:pStyle w:val="TextBody"/>
        <w:bidi w:val="0"/>
        <w:spacing w:before="120" w:after="0"/>
        <w:jc w:val="left"/>
        <w:rPr>
          <w:rFonts w:ascii="Times New Roman" w:hAnsi="Times New Roman"/>
          <w:sz w:val="20"/>
        </w:rPr>
      </w:pPr>
      <w:r>
        <w:rPr>
          <w:rFonts w:ascii="Times New Roman" w:hAnsi="Times New Roman"/>
          <w:sz w:val="20"/>
        </w:rPr>
        <w:t xml:space="preserve">(d) Every provision of this Indenture that in any way relates to the Trustee is subject to sub-clauses (a), (b) and (c) of this Section 7.1. </w:t>
      </w:r>
    </w:p>
    <w:p>
      <w:pPr>
        <w:pStyle w:val="TextBody"/>
        <w:bidi w:val="0"/>
        <w:spacing w:before="120" w:after="0"/>
        <w:jc w:val="left"/>
        <w:rPr>
          <w:rFonts w:ascii="Times New Roman" w:hAnsi="Times New Roman"/>
          <w:sz w:val="20"/>
        </w:rPr>
      </w:pPr>
      <w:r>
        <w:rPr>
          <w:rFonts w:ascii="Times New Roman" w:hAnsi="Times New Roman"/>
          <w:sz w:val="20"/>
        </w:rPr>
        <w:t xml:space="preserve">(e) The Trustee may refuse to perform any duty or exercise any right or power unless it receives indemnity satisfactory to it against the costs, expenses and liabilities which might be incurred by it in performing such duty or exercising such right or power. </w:t>
      </w:r>
    </w:p>
    <w:p>
      <w:pPr>
        <w:pStyle w:val="TextBody"/>
        <w:bidi w:val="0"/>
        <w:spacing w:before="120" w:after="0"/>
        <w:jc w:val="left"/>
        <w:rPr>
          <w:rFonts w:ascii="Times New Roman" w:hAnsi="Times New Roman"/>
          <w:sz w:val="20"/>
        </w:rPr>
      </w:pPr>
      <w:r>
        <w:rPr>
          <w:rFonts w:ascii="Times New Roman" w:hAnsi="Times New Roman"/>
          <w:sz w:val="20"/>
        </w:rPr>
        <w:t xml:space="preserve">(f) The Trustee shall not be liable for interest on any money received by it, except as the Trustee may agree in writing with the Company. Money held in trust by the Trustee need not be segregated from other funds except to the extent required by law. </w:t>
      </w:r>
    </w:p>
    <w:p>
      <w:pPr>
        <w:pStyle w:val="TextBody"/>
        <w:bidi w:val="0"/>
        <w:spacing w:before="120" w:after="0"/>
        <w:jc w:val="left"/>
        <w:rPr>
          <w:rFonts w:ascii="Times New Roman" w:hAnsi="Times New Roman"/>
          <w:sz w:val="20"/>
        </w:rPr>
      </w:pPr>
      <w:r>
        <w:rPr>
          <w:rFonts w:ascii="Times New Roman" w:hAnsi="Times New Roman"/>
          <w:sz w:val="20"/>
        </w:rPr>
        <w:t xml:space="preserve">(g) No provision of this Indenture shall require the Trustee to risk its own funds or otherwise incur any financial liability in the performance of any of its duties, or in the exercise of any of its rights or powers, if adequate indemnity against such risk is not assured to the Trustee in its satisfaction. </w:t>
      </w:r>
    </w:p>
    <w:p>
      <w:pPr>
        <w:pStyle w:val="TextBody"/>
        <w:bidi w:val="0"/>
        <w:spacing w:before="120" w:after="0"/>
        <w:jc w:val="left"/>
        <w:rPr>
          <w:rFonts w:ascii="Times New Roman" w:hAnsi="Times New Roman"/>
          <w:sz w:val="20"/>
        </w:rPr>
      </w:pPr>
      <w:r>
        <w:rPr>
          <w:rFonts w:ascii="Times New Roman" w:hAnsi="Times New Roman"/>
          <w:sz w:val="20"/>
        </w:rPr>
        <w:t xml:space="preserve">(h) The Paying Agent, the Registrar and any authenticating agent shall be entitled to the protections and immunities as are set forth in sub-clauses (e), (f) and (g) of this Section 7.1 and in Section 7.2, each with respect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Rights of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Trustee may conclusively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Before the Trustee acts or refrains from acting, it shall be entitled to receive an Officer’s Certificate or an Opinion of Counsel or both. The Trustee shall not be liable for any action it takes or omits to take in good faith in conclusive reliance on such Officer’s Certificate or Opinion of Counsel. </w:t>
      </w:r>
    </w:p>
    <w:p>
      <w:pPr>
        <w:pStyle w:val="TextBody"/>
        <w:bidi w:val="0"/>
        <w:spacing w:before="120" w:after="0"/>
        <w:jc w:val="left"/>
        <w:rPr>
          <w:rFonts w:ascii="Times New Roman" w:hAnsi="Times New Roman"/>
          <w:sz w:val="20"/>
        </w:rPr>
      </w:pPr>
      <w:r>
        <w:rPr>
          <w:rFonts w:ascii="Times New Roman" w:hAnsi="Times New Roman"/>
          <w:sz w:val="20"/>
        </w:rPr>
        <w:t xml:space="preserve">(c) The Trustee may act through agents and shall not be responsible for the misconduct or negligence of any agent appointed with due care. No Depositary shall be deemed an agent of the Trustee and the Trustee shall not be responsible for any act or omission by any Depositary. </w:t>
      </w:r>
    </w:p>
    <w:p>
      <w:pPr>
        <w:pStyle w:val="TextBody"/>
        <w:bidi w:val="0"/>
        <w:spacing w:before="120" w:after="0"/>
        <w:jc w:val="left"/>
        <w:rPr>
          <w:rFonts w:ascii="Times New Roman" w:hAnsi="Times New Roman"/>
          <w:sz w:val="20"/>
        </w:rPr>
      </w:pPr>
      <w:r>
        <w:rPr>
          <w:rFonts w:ascii="Times New Roman" w:hAnsi="Times New Roman"/>
          <w:sz w:val="20"/>
        </w:rPr>
        <w:t xml:space="preserve">(d) The Trustee shall not be liable for any action it takes or omits to take in good faith which it believes to be authorized or within its rights or powers, provided that the Trustee’s conduct does not constitute willful misconduct or negligence. </w:t>
      </w:r>
    </w:p>
    <w:p>
      <w:pPr>
        <w:pStyle w:val="TextBody"/>
        <w:bidi w:val="0"/>
        <w:spacing w:before="120" w:after="0"/>
        <w:jc w:val="left"/>
        <w:rPr>
          <w:rFonts w:ascii="Times New Roman" w:hAnsi="Times New Roman"/>
          <w:sz w:val="20"/>
        </w:rPr>
      </w:pPr>
      <w:r>
        <w:rPr>
          <w:rFonts w:ascii="Times New Roman" w:hAnsi="Times New Roman"/>
          <w:sz w:val="20"/>
        </w:rPr>
        <w:t xml:space="preserve">(e) The Trustee may consult with counsel of its selection and the advice of such counsel or any Opinion of Counsel shall be full and complete authorization and protection in respect of any action taken, suffered or omitted by it hereunder in good faith and in reliance thereon. </w:t>
      </w:r>
    </w:p>
    <w:p>
      <w:pPr>
        <w:pStyle w:val="TextBody"/>
        <w:bidi w:val="0"/>
        <w:spacing w:before="120" w:after="0"/>
        <w:jc w:val="left"/>
        <w:rPr>
          <w:rFonts w:ascii="Times New Roman" w:hAnsi="Times New Roman"/>
          <w:sz w:val="20"/>
        </w:rPr>
      </w:pPr>
      <w:r>
        <w:rPr>
          <w:rFonts w:ascii="Times New Roman" w:hAnsi="Times New Roman"/>
          <w:sz w:val="20"/>
        </w:rPr>
        <w:t xml:space="preserve">(f) The Trustee shall be under no obligation to exercise any of the rights or powers vested in it by this Indenture at the request or direction of any of the Holders of Securities unless such Holders shall have offered to the Trustee security or indemnity reasonably satisfactory to it against the costs, expenses and liabilities which might be incurred by it in compliance with such request or direction. </w:t>
      </w:r>
    </w:p>
    <w:p>
      <w:pPr>
        <w:pStyle w:val="TextBody"/>
        <w:bidi w:val="0"/>
        <w:spacing w:before="120" w:after="0"/>
        <w:jc w:val="left"/>
        <w:rPr>
          <w:rFonts w:ascii="Times New Roman" w:hAnsi="Times New Roman"/>
          <w:sz w:val="20"/>
        </w:rPr>
      </w:pPr>
      <w:r>
        <w:rPr>
          <w:rFonts w:ascii="Times New Roman" w:hAnsi="Times New Roman"/>
          <w:sz w:val="20"/>
        </w:rPr>
        <w:t xml:space="preserve">(g)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shall incur no liability or additional liability of any kind by reason of such inquiry or investigation. </w:t>
      </w:r>
    </w:p>
    <w:p>
      <w:pPr>
        <w:pStyle w:val="TextBody"/>
        <w:bidi w:val="0"/>
        <w:spacing w:before="120" w:after="0"/>
        <w:jc w:val="left"/>
        <w:rPr>
          <w:rFonts w:ascii="Times New Roman" w:hAnsi="Times New Roman"/>
          <w:sz w:val="20"/>
        </w:rPr>
      </w:pPr>
      <w:r>
        <w:rPr>
          <w:rFonts w:ascii="Times New Roman" w:hAnsi="Times New Roman"/>
          <w:sz w:val="20"/>
        </w:rPr>
        <w:t xml:space="preserve">(h) The Trustee shall not be deemed to have notice of any Default or Event of Default unless a Responsible Officer of the Trustee has actual knowledge thereof or unless written notice of any event which is in fact such a default is received by a Responsible Officer of the Trustee at the Corporate Trust Office of the Trustee, and such notice references the Securities generally or the Securities of a particular Series and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(i) In no event shall the Trustee be liable to any person for special, punitive, indirect, consequential or incidental loss or damage of any kind whatsoever (including but not limited to lost profits), even if the Trustee has been advised of the likelihood of such loss or damage. </w:t>
      </w:r>
    </w:p>
    <w:p>
      <w:pPr>
        <w:pStyle w:val="TextBody"/>
        <w:bidi w:val="0"/>
        <w:spacing w:before="120" w:after="0"/>
        <w:jc w:val="left"/>
        <w:rPr>
          <w:rFonts w:ascii="Times New Roman" w:hAnsi="Times New Roman"/>
          <w:sz w:val="20"/>
        </w:rPr>
      </w:pPr>
      <w:r>
        <w:rPr>
          <w:rFonts w:ascii="Times New Roman" w:hAnsi="Times New Roman"/>
          <w:sz w:val="20"/>
        </w:rPr>
        <w:t xml:space="preserve">(j) The permissive right of the Trustee to take the actions permitted by this Indenture shall not be construed as an obligation or duty to do so. </w:t>
      </w:r>
    </w:p>
    <w:p>
      <w:pPr>
        <w:pStyle w:val="TextBody"/>
        <w:bidi w:val="0"/>
        <w:spacing w:before="120" w:after="0"/>
        <w:jc w:val="left"/>
        <w:rPr>
          <w:rFonts w:ascii="Times New Roman" w:hAnsi="Times New Roman"/>
          <w:sz w:val="20"/>
        </w:rPr>
      </w:pPr>
      <w:r>
        <w:rPr>
          <w:rFonts w:ascii="Times New Roman" w:hAnsi="Times New Roman"/>
          <w:sz w:val="20"/>
        </w:rPr>
        <w:t xml:space="preserve">(k)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 </w:t>
      </w:r>
    </w:p>
    <w:p>
      <w:pPr>
        <w:pStyle w:val="TextBody"/>
        <w:bidi w:val="0"/>
        <w:spacing w:before="120" w:after="0"/>
        <w:jc w:val="left"/>
        <w:rPr>
          <w:rFonts w:ascii="Times New Roman" w:hAnsi="Times New Roman"/>
          <w:sz w:val="20"/>
        </w:rPr>
      </w:pPr>
      <w:r>
        <w:rPr>
          <w:rFonts w:ascii="Times New Roman" w:hAnsi="Times New Roman"/>
          <w:sz w:val="20"/>
        </w:rPr>
        <w:t xml:space="preserve">(l) The Trustee shall not be required to give any bond or surety in respect of the performance of its powers and duties hereunder. </w:t>
      </w:r>
    </w:p>
    <w:p>
      <w:pPr>
        <w:pStyle w:val="TextBody"/>
        <w:bidi w:val="0"/>
        <w:spacing w:before="120" w:after="0"/>
        <w:jc w:val="left"/>
        <w:rPr>
          <w:rFonts w:ascii="Times New Roman" w:hAnsi="Times New Roman"/>
          <w:sz w:val="20"/>
        </w:rPr>
      </w:pPr>
      <w:r>
        <w:rPr>
          <w:rFonts w:ascii="Times New Roman" w:hAnsi="Times New Roman"/>
          <w:sz w:val="20"/>
        </w:rPr>
        <w:t xml:space="preserve">(m) The Trustee may request that the Company deliver a certificate setting forth the names of individuals and/or titles of officers authorized at such time to take specified actions pursuant to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Individual Rights of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in its individual or any other capacity may become the owner or pledgee of Securities and may otherwise deal with the Company or an Affiliate of the Company with the same rights it would have if it were not Trustee. Any Agent may do the same with like rights. However, the Trustee is also subject to Sections 7.10 and 7.11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Trustee’s Disclaimer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makes no representation as to the validity or adequacy of this Indenture or the Securities, it shall not be accountable for the Company’s use of the proceeds from the Securities, and it shall not be responsible for any statement in the Securities other than its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Notice of Defaults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 Default or Event of Default occurs and is continuing with respect to the Securities of any Series and if it is actually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 in good faith determines that withholding the notice is in the interests of Securityholders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7.6. </w:t>
      </w:r>
      <w:r>
        <w:rPr>
          <w:rFonts w:ascii="Times New Roman" w:hAnsi="Times New Roman"/>
          <w:sz w:val="20"/>
          <w:u w:val="single"/>
        </w:rPr>
        <w:t>Reports by Trustee to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Within 60 days after each anniversary of the date of this Indenture, the Trustee shall transmit by mail to all Securityholders, as their names and addresses appear on the register kept by the Registrar, a brief report dated as of such reporting date, in accordance with, and to the extent required under, TIA § 313. </w:t>
      </w:r>
    </w:p>
    <w:p>
      <w:pPr>
        <w:pStyle w:val="TextBody"/>
        <w:bidi w:val="0"/>
        <w:spacing w:before="240" w:after="0"/>
        <w:jc w:val="left"/>
        <w:rPr>
          <w:rFonts w:ascii="Times New Roman" w:hAnsi="Times New Roman"/>
          <w:sz w:val="20"/>
        </w:rPr>
      </w:pPr>
      <w:r>
        <w:rPr>
          <w:rFonts w:ascii="Times New Roman" w:hAnsi="Times New Roman"/>
          <w:sz w:val="20"/>
        </w:rPr>
        <w:t xml:space="preserve">A copy of each report at the time of its mailing to Securityholders of any Series shall be filed with the SEC and each national securities exchange on which the Securities of that Series are listed. The Company shall promptly notify the Trustee in writing when Securities of any Series are listed on any national securities exchange or of any delisting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7.7. </w:t>
      </w:r>
      <w:r>
        <w:rPr>
          <w:rFonts w:ascii="Times New Roman" w:hAnsi="Times New Roman"/>
          <w:sz w:val="20"/>
          <w:u w:val="single"/>
        </w:rPr>
        <w:t>Compensation and Indemnity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indemnify each of the Trustee and any predecessor Trustee against any cost, expense, claim (whether asserted by the Company, a Holder or any other person) or liability (including the cost of defending itself), including taxes (other than taxes based upon, measured by or determined by the income of the Trustee), incurred by it except as set forth in the next paragraph in the performance of its duties under this Indenture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Company need not reimburse any expense or indemnify against any loss or liability incurred by the Trustee or by any officer, director, employee or shareholder of the Trustee through willful misconduct or negligence.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secure the Company’s payment obligations in this Section 7.7, the Trustee shall have a lien prior to the Securities of any Series on all money or property held or collected by the Trustee, except that held in trust to pay principal of and interest on particular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When the Trustee incurs expenses or renders services after an Event of Default specified in Section 6.1(f) or (g) occurs, the expenses and the compensation for the services are intended to constitute expenses of administration under any Bankruptcy Law.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Section 7.7 shall survive the termination of this Indenture or the resignation or removal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7.8. </w:t>
      </w:r>
      <w:r>
        <w:rPr>
          <w:rFonts w:ascii="Times New Roman" w:hAnsi="Times New Roman"/>
          <w:sz w:val="20"/>
          <w:u w:val="single"/>
        </w:rPr>
        <w:t>Replacement of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resignation or removal of the Trustee and appointment of a successor Trustee shall become effective only upon the successor Trustee’s acceptance of appointment as provided in this Section 7.8.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resign at any time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in writing. The Company may remove the Trustee with respect to Securities of one or more Series if: </w:t>
      </w:r>
    </w:p>
    <w:p>
      <w:pPr>
        <w:pStyle w:val="TextBody"/>
        <w:bidi w:val="0"/>
        <w:spacing w:before="120" w:after="0"/>
        <w:jc w:val="left"/>
        <w:rPr>
          <w:rFonts w:ascii="Times New Roman" w:hAnsi="Times New Roman"/>
          <w:sz w:val="20"/>
        </w:rPr>
      </w:pPr>
      <w:r>
        <w:rPr>
          <w:rFonts w:ascii="Times New Roman" w:hAnsi="Times New Roman"/>
          <w:sz w:val="20"/>
        </w:rPr>
        <w:t xml:space="preserve">(a) the Trustee fails to comply with Section 7.10; </w:t>
      </w:r>
    </w:p>
    <w:p>
      <w:pPr>
        <w:pStyle w:val="TextBody"/>
        <w:bidi w:val="0"/>
        <w:spacing w:before="120" w:after="0"/>
        <w:jc w:val="left"/>
        <w:rPr>
          <w:rFonts w:ascii="Times New Roman" w:hAnsi="Times New Roman"/>
          <w:sz w:val="20"/>
        </w:rPr>
      </w:pPr>
      <w:r>
        <w:rPr>
          <w:rFonts w:ascii="Times New Roman" w:hAnsi="Times New Roman"/>
          <w:sz w:val="20"/>
        </w:rPr>
        <w:t xml:space="preserve">(b) the Trustee is adjudged a bankrupt or an insolvent or an order for relief is entered with respect to the Trustee under any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(c) a Custodian or public officer takes charge of the Trustee or its property; or </w:t>
      </w:r>
    </w:p>
    <w:p>
      <w:pPr>
        <w:pStyle w:val="TextBody"/>
        <w:bidi w:val="0"/>
        <w:spacing w:before="120" w:after="0"/>
        <w:jc w:val="left"/>
        <w:rPr>
          <w:rFonts w:ascii="Times New Roman" w:hAnsi="Times New Roman"/>
          <w:sz w:val="20"/>
        </w:rPr>
      </w:pPr>
      <w:r>
        <w:rPr>
          <w:rFonts w:ascii="Times New Roman" w:hAnsi="Times New Roman"/>
          <w:sz w:val="20"/>
        </w:rPr>
        <w:t xml:space="preserve">(d) the Trustee becomes incapable of acting.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If a successor Trustee with respect to the Securities of any one or more Series does not take office within 30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 at the expense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 Securityholder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7.9. </w:t>
      </w:r>
      <w:r>
        <w:rPr>
          <w:rFonts w:ascii="Times New Roman" w:hAnsi="Times New Roman"/>
          <w:sz w:val="20"/>
          <w:u w:val="single"/>
        </w:rPr>
        <w:t>Successor Trustee by Merger,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Trustee consolidates with, merges or converts into, or transfers all or substantially all of its corporate trust business to, another corporation, the successor corporation without any further act shall be the successor Trustee, if such successor corporation is eligible and qualified under Section 7.10.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Eligibility; Disqualification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Indenture shall always have a Trustee who satisfies the requirements of TIA § 310(a)(1), (2) and (5). The Trustee shall always have a combined capital and surplus of at least $25,000,000 as set forth in its most recent published annual report of condition. The Trustee shall comply with TIA § 310(b). </w:t>
      </w:r>
    </w:p>
    <w:p>
      <w:pPr>
        <w:pStyle w:val="TextBody"/>
        <w:bidi w:val="0"/>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Preferential Collection of Claims Against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is subject to TIA § 311(a), excluding any creditor relationship listed in TIA § 311(b). A Trustee who has resigned or been removed shall be subject to TIA § 311(a) to the extent indicated.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0" w:after="0"/>
        <w:jc w:val="center"/>
        <w:rPr>
          <w:rFonts w:ascii="Times New Roman" w:hAnsi="Times New Roman"/>
          <w:sz w:val="20"/>
        </w:rPr>
      </w:pPr>
      <w:r>
        <w:rPr>
          <w:rFonts w:ascii="Times New Roman" w:hAnsi="Times New Roman"/>
          <w:sz w:val="20"/>
        </w:rPr>
        <w:t xml:space="preserve">SATISFACTION AND DISCHARGE; DEFEASANCE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Satisfaction and Discharge of Indenture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Indenture shall upon Company Order cease to be of further effect (except as hereinafter provided in this Section 8.1), and the Trustee, at the expense of the Company, shall execute instruments acknowledging satisfaction and discharge of this Indenture, when </w:t>
      </w:r>
    </w:p>
    <w:p>
      <w:pPr>
        <w:pStyle w:val="TextBody"/>
        <w:bidi w:val="0"/>
        <w:spacing w:before="120" w:after="0"/>
        <w:jc w:val="left"/>
        <w:rPr>
          <w:rFonts w:ascii="Times New Roman" w:hAnsi="Times New Roman"/>
          <w:sz w:val="20"/>
        </w:rPr>
      </w:pPr>
      <w:r>
        <w:rPr>
          <w:rFonts w:ascii="Times New Roman" w:hAnsi="Times New Roman"/>
          <w:sz w:val="20"/>
        </w:rPr>
        <w:t xml:space="preserve">(a) either </w:t>
      </w:r>
    </w:p>
    <w:p>
      <w:pPr>
        <w:pStyle w:val="TextBody"/>
        <w:bidi w:val="0"/>
        <w:spacing w:before="120" w:after="0"/>
        <w:jc w:val="left"/>
        <w:rPr>
          <w:rFonts w:ascii="Times New Roman" w:hAnsi="Times New Roman"/>
          <w:sz w:val="20"/>
        </w:rPr>
      </w:pPr>
      <w:r>
        <w:rPr>
          <w:rFonts w:ascii="Times New Roman" w:hAnsi="Times New Roman"/>
          <w:sz w:val="20"/>
        </w:rPr>
        <w:t xml:space="preserve">(i) all Securities theretofore authenticated and delivered (other than Securities that have been destroyed, lost or stolen and that have been replaced or paid as provided in Section 2.9) have been delivered to the Trustee for cancellation; or </w:t>
      </w:r>
    </w:p>
    <w:p>
      <w:pPr>
        <w:pStyle w:val="TextBody"/>
        <w:bidi w:val="0"/>
        <w:spacing w:before="120" w:after="0"/>
        <w:jc w:val="left"/>
        <w:rPr>
          <w:rFonts w:ascii="Times New Roman" w:hAnsi="Times New Roman"/>
          <w:sz w:val="20"/>
        </w:rPr>
      </w:pPr>
      <w:r>
        <w:rPr>
          <w:rFonts w:ascii="Times New Roman" w:hAnsi="Times New Roman"/>
          <w:sz w:val="20"/>
        </w:rPr>
        <w:t xml:space="preserve">(ii) all such Securities not theretofore delivered to the Trustee for cancellation: </w:t>
      </w:r>
    </w:p>
    <w:p>
      <w:pPr>
        <w:pStyle w:val="TextBody"/>
        <w:bidi w:val="0"/>
        <w:spacing w:before="120" w:after="0"/>
        <w:jc w:val="left"/>
        <w:rPr>
          <w:rFonts w:ascii="Times New Roman" w:hAnsi="Times New Roman"/>
          <w:sz w:val="20"/>
        </w:rPr>
      </w:pPr>
      <w:r>
        <w:rPr>
          <w:rFonts w:ascii="Times New Roman" w:hAnsi="Times New Roman"/>
          <w:sz w:val="20"/>
        </w:rPr>
        <w:t xml:space="preserve">(1) have become due and payable, or </w:t>
      </w:r>
    </w:p>
    <w:p>
      <w:pPr>
        <w:pStyle w:val="TextBody"/>
        <w:bidi w:val="0"/>
        <w:spacing w:before="120" w:after="0"/>
        <w:jc w:val="left"/>
        <w:rPr>
          <w:rFonts w:ascii="Times New Roman" w:hAnsi="Times New Roman"/>
          <w:sz w:val="20"/>
        </w:rPr>
      </w:pPr>
      <w:r>
        <w:rPr>
          <w:rFonts w:ascii="Times New Roman" w:hAnsi="Times New Roman"/>
          <w:sz w:val="20"/>
        </w:rPr>
        <w:t xml:space="preserve">(2) will become due and payable at their Stated Maturity within one year, or </w:t>
      </w:r>
    </w:p>
    <w:p>
      <w:pPr>
        <w:pStyle w:val="TextBody"/>
        <w:bidi w:val="0"/>
        <w:spacing w:before="120" w:after="0"/>
        <w:jc w:val="left"/>
        <w:rPr>
          <w:rFonts w:ascii="Times New Roman" w:hAnsi="Times New Roman"/>
          <w:sz w:val="20"/>
        </w:rPr>
      </w:pPr>
      <w:r>
        <w:rPr>
          <w:rFonts w:ascii="Times New Roman" w:hAnsi="Times New Roman"/>
          <w:sz w:val="20"/>
        </w:rPr>
        <w:t xml:space="preserve">(3) have been called for redemption or are to be called for redemption within one year under arrangements satisfactory to the Trustee for the giving of notice of redemption by the Trustee in the name, and at the expense,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and the Company, in the case of (1), (2) or (3) above, has irrevocably deposited or caused to be deposited with the Trustee as trust funds in trust an amount of money or U.S. Government Obligations sufficient for the purpose of paying and discharging the entire indebtedness on such Securities not theretofore delivered to the Trustee for cancellation, for principal and interest to the date of such deposit (in the case of Securities which have become due and payable on or prior to the date of such deposit) or to the Stated Maturity or redemption date,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(b) the Company has paid or caused to be paid all other sums payable hereunder by the Company; and </w:t>
      </w:r>
    </w:p>
    <w:p>
      <w:pPr>
        <w:pStyle w:val="TextBody"/>
        <w:bidi w:val="0"/>
        <w:spacing w:before="120" w:after="0"/>
        <w:jc w:val="left"/>
        <w:rPr>
          <w:rFonts w:ascii="Times New Roman" w:hAnsi="Times New Roman"/>
          <w:sz w:val="20"/>
        </w:rPr>
      </w:pPr>
      <w:r>
        <w:rPr>
          <w:rFonts w:ascii="Times New Roman" w:hAnsi="Times New Roman"/>
          <w:sz w:val="20"/>
        </w:rPr>
        <w:t xml:space="preserve">(c) the Company has delivered to the Trustee an Officer’s Certificate and an Opinion of Counsel, each stating that all conditions precedent herein provided for relating to the satisfaction and discharge of this Indenture have been complied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satisfaction and discharge of this Indenture, the obligations of the Company to the Trustee under Section 7.7, and, if money shall have been deposited with the Trustee pursuant to sub-clause (a) of this Section 8.1, the provisions of Sections 2.5, 2.8, 2.9, 8.2 and 8.5 shall survive.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Application of Trust Funds; Indemnification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provisions of Section 8.5, all money or U.S. Government Obligations deposited with the Trustee pursuant to Section 8.1, all money and U.S. Government Obligations or Foreign Government Obligations deposited with the Trustee pursuant to Section 8.3 or 8.4 and all money received by the Trustee in respect of U.S. Government Obligations or Foreign Government Obligations deposited with the Trustee pursuant to Section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8.3 or 8.4. </w:t>
      </w:r>
    </w:p>
    <w:p>
      <w:pPr>
        <w:pStyle w:val="TextBody"/>
        <w:bidi w:val="0"/>
        <w:spacing w:before="120" w:after="0"/>
        <w:jc w:val="left"/>
        <w:rPr>
          <w:rFonts w:ascii="Times New Roman" w:hAnsi="Times New Roman"/>
          <w:sz w:val="20"/>
        </w:rPr>
      </w:pPr>
      <w:r>
        <w:rPr>
          <w:rFonts w:ascii="Times New Roman" w:hAnsi="Times New Roman"/>
          <w:sz w:val="20"/>
        </w:rPr>
        <w:t xml:space="preserve">(b) The Company shall pay and shall indemnify the Trustee against any tax, fee or other charge imposed on or assessed against U.S. Government Obligations or Foreign Government Obligations deposited pursuant to Sections 8.3 or 8.4 or the interest and principal received in respect of such obligations other than any payable by or on behalf of Holders. </w:t>
      </w:r>
    </w:p>
    <w:p>
      <w:pPr>
        <w:pStyle w:val="TextBody"/>
        <w:bidi w:val="0"/>
        <w:spacing w:before="120" w:after="0"/>
        <w:jc w:val="left"/>
        <w:rPr>
          <w:rFonts w:ascii="Times New Roman" w:hAnsi="Times New Roman"/>
          <w:sz w:val="20"/>
        </w:rPr>
      </w:pPr>
      <w:r>
        <w:rPr>
          <w:rFonts w:ascii="Times New Roman" w:hAnsi="Times New Roman"/>
          <w:sz w:val="20"/>
        </w:rPr>
        <w:t xml:space="preserve">(c) 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8.3. </w:t>
      </w:r>
      <w:r>
        <w:rPr>
          <w:rFonts w:ascii="Times New Roman" w:hAnsi="Times New Roman"/>
          <w:sz w:val="20"/>
          <w:u w:val="single"/>
        </w:rPr>
        <w:t>Legal Defeasance of Securities of any Series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sub-clause (d) hereof, and the provisions of this Indenture, as it relates to such outstanding Securities of such Series, shall no longer be in effect (and the Trustee, at the expense of the Company, shall, upon receipt of a Company Order, execute instruments acknowledging the same), except as to: </w:t>
      </w:r>
    </w:p>
    <w:p>
      <w:pPr>
        <w:pStyle w:val="TextBody"/>
        <w:bidi w:val="0"/>
        <w:spacing w:before="120" w:after="0"/>
        <w:jc w:val="left"/>
        <w:rPr>
          <w:rFonts w:ascii="Times New Roman" w:hAnsi="Times New Roman"/>
          <w:sz w:val="20"/>
        </w:rPr>
      </w:pPr>
      <w:r>
        <w:rPr>
          <w:rFonts w:ascii="Times New Roman" w:hAnsi="Times New Roman"/>
          <w:sz w:val="20"/>
        </w:rPr>
        <w:t xml:space="preserve">(a) the rights of Holders of Securities of such Series to receive, from the trust funds described in sub-clause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 </w:t>
      </w:r>
    </w:p>
    <w:p>
      <w:pPr>
        <w:pStyle w:val="TextBody"/>
        <w:bidi w:val="0"/>
        <w:spacing w:before="120" w:after="0"/>
        <w:jc w:val="left"/>
        <w:rPr>
          <w:rFonts w:ascii="Times New Roman" w:hAnsi="Times New Roman"/>
          <w:sz w:val="20"/>
        </w:rPr>
      </w:pPr>
      <w:r>
        <w:rPr>
          <w:rFonts w:ascii="Times New Roman" w:hAnsi="Times New Roman"/>
          <w:sz w:val="20"/>
        </w:rPr>
        <w:t xml:space="preserve">(b) the provisions of Sections 2.5, 2.8, 2.9, 8.2, 8.3 and 8.5; and </w:t>
      </w:r>
    </w:p>
    <w:p>
      <w:pPr>
        <w:pStyle w:val="TextBody"/>
        <w:bidi w:val="0"/>
        <w:spacing w:before="120" w:after="0"/>
        <w:jc w:val="left"/>
        <w:rPr>
          <w:rFonts w:ascii="Times New Roman" w:hAnsi="Times New Roman"/>
          <w:sz w:val="20"/>
        </w:rPr>
      </w:pPr>
      <w:r>
        <w:rPr>
          <w:rFonts w:ascii="Times New Roman" w:hAnsi="Times New Roman"/>
          <w:sz w:val="20"/>
        </w:rPr>
        <w:t xml:space="preserve">(c) the rights, powers, trust and immunities of the Trustee hereunder and the Company’s obligations in connection therewith;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provided that, the following conditions shall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(d) the Company shall have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(and without reinvestment), will provide,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if any, on and any mandatory sinking fund payments in respect of all the Securities of such Series on the dates such installments of interest or principal and such sinking fund payments are due; </w:t>
      </w:r>
    </w:p>
    <w:p>
      <w:pPr>
        <w:pStyle w:val="TextBody"/>
        <w:bidi w:val="0"/>
        <w:spacing w:before="120" w:after="0"/>
        <w:jc w:val="left"/>
        <w:rPr>
          <w:rFonts w:ascii="Times New Roman" w:hAnsi="Times New Roman"/>
          <w:sz w:val="20"/>
        </w:rPr>
      </w:pPr>
      <w:r>
        <w:rPr>
          <w:rFonts w:ascii="Times New Roman" w:hAnsi="Times New Roman"/>
          <w:sz w:val="20"/>
        </w:rPr>
        <w:t xml:space="preserve">(e) such deposit will not result in a breach or violation of, or constitute a default under, this Indenture or any other agreement or instrument to which the Company is a party or by which it is bound; </w:t>
      </w:r>
    </w:p>
    <w:p>
      <w:pPr>
        <w:pStyle w:val="TextBody"/>
        <w:bidi w:val="0"/>
        <w:spacing w:before="120" w:after="0"/>
        <w:jc w:val="left"/>
        <w:rPr>
          <w:rFonts w:ascii="Times New Roman" w:hAnsi="Times New Roman"/>
          <w:sz w:val="20"/>
        </w:rPr>
      </w:pPr>
      <w:r>
        <w:rPr>
          <w:rFonts w:ascii="Times New Roman" w:hAnsi="Times New Roman"/>
          <w:sz w:val="20"/>
        </w:rPr>
        <w:t xml:space="preserve">(f) no Default or Event of Default with respect to the Securities of such Series shall have occurred and be continuing on the date of such deposit or during the period ending on the 91st day after such date; </w:t>
      </w:r>
    </w:p>
    <w:p>
      <w:pPr>
        <w:pStyle w:val="TextBody"/>
        <w:bidi w:val="0"/>
        <w:spacing w:before="120" w:after="0"/>
        <w:jc w:val="left"/>
        <w:rPr>
          <w:rFonts w:ascii="Times New Roman" w:hAnsi="Times New Roman"/>
          <w:sz w:val="20"/>
        </w:rPr>
      </w:pPr>
      <w:r>
        <w:rPr>
          <w:rFonts w:ascii="Times New Roman" w:hAnsi="Times New Roman"/>
          <w:sz w:val="20"/>
        </w:rPr>
        <w:t xml:space="preserve">(g) 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U.S. federal income tax law, in either case to the effect that, and based thereon such Opinion of Counsel shall confirm that, the Holders of the Securities of such Series will not recognize income, gain or loss for U.S. federal income tax purposes as a result of such deposit, defeasance and discharge and will be subject to U.S. federal income tax on the same amount and in the same manner and at the same times as would have been the case if such deposit, defeasance and discharge had not occurred; </w:t>
      </w:r>
    </w:p>
    <w:p>
      <w:pPr>
        <w:pStyle w:val="TextBody"/>
        <w:bidi w:val="0"/>
        <w:spacing w:before="120" w:after="0"/>
        <w:jc w:val="left"/>
        <w:rPr>
          <w:rFonts w:ascii="Times New Roman" w:hAnsi="Times New Roman"/>
          <w:sz w:val="20"/>
        </w:rPr>
      </w:pPr>
      <w:r>
        <w:rPr>
          <w:rFonts w:ascii="Times New Roman" w:hAnsi="Times New Roman"/>
          <w:sz w:val="20"/>
        </w:rPr>
        <w:t xml:space="preserve">(h) the Company shall have delivered to the Trustee an Officer’s Certificate stating that the deposit was not made by the Company with the intent of defeating, hindering, delaying or defrauding any other creditors of the Company; and </w:t>
      </w:r>
    </w:p>
    <w:p>
      <w:pPr>
        <w:pStyle w:val="TextBody"/>
        <w:bidi w:val="0"/>
        <w:spacing w:before="120" w:after="0"/>
        <w:jc w:val="left"/>
        <w:rPr>
          <w:rFonts w:ascii="Times New Roman" w:hAnsi="Times New Roman"/>
          <w:sz w:val="20"/>
        </w:rPr>
      </w:pPr>
      <w:r>
        <w:rPr>
          <w:rFonts w:ascii="Times New Roman" w:hAnsi="Times New Roman"/>
          <w:sz w:val="20"/>
        </w:rPr>
        <w:t xml:space="preserve">(i) the Company shall have delivered to the Trustee an Officer’s Certificate and an Opinion of Counsel, each stating that all conditions precedent provided for relating to the defeasance contemplated by this Section 8.3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8.4. </w:t>
      </w:r>
      <w:r>
        <w:rPr>
          <w:rFonts w:ascii="Times New Roman" w:hAnsi="Times New Roman"/>
          <w:sz w:val="20"/>
          <w:u w:val="single"/>
        </w:rPr>
        <w:t>Covenant Defeasance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Unless this Section 8.4 is otherwise specified pursuant to Section 2.2 to be inapplicable to Securities of any Series, the Company may omit to comply with respect to the Securities of any Series with any term, provision or condition set forth under Sections 4.2 and 4.3, 4.4 and 5.1as well as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2.2.18 and designated as an Event of Default shall not constitute a Default or Event of Default hereunder, with respect to the Securities of such Series, provided that the following conditions shall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(a) With reference to this Section 8.4, the Company has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(and without reinvestment), will provide,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of and interest, if any, on and any mandatory sinking fund payments in respect of the Securities of such Series on the dates such installments of interest or principal and such sinking fund payments are due;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Such deposit will not result in a breach or violation of, or constitute a default under, this Indenture or any other agreement or instrument to which the Company is a party or by which it is bound; </w:t>
      </w:r>
    </w:p>
    <w:p>
      <w:pPr>
        <w:pStyle w:val="TextBody"/>
        <w:bidi w:val="0"/>
        <w:spacing w:before="120" w:after="0"/>
        <w:jc w:val="left"/>
        <w:rPr>
          <w:rFonts w:ascii="Times New Roman" w:hAnsi="Times New Roman"/>
          <w:sz w:val="20"/>
        </w:rPr>
      </w:pPr>
      <w:r>
        <w:rPr>
          <w:rFonts w:ascii="Times New Roman" w:hAnsi="Times New Roman"/>
          <w:sz w:val="20"/>
        </w:rPr>
        <w:t xml:space="preserve">(c) No Default or Event of Default with respect to the Securities of such Series shall have occurred and be continuing on the date of such deposit; </w:t>
      </w:r>
    </w:p>
    <w:p>
      <w:pPr>
        <w:pStyle w:val="TextBody"/>
        <w:bidi w:val="0"/>
        <w:spacing w:before="120" w:after="0"/>
        <w:jc w:val="left"/>
        <w:rPr>
          <w:rFonts w:ascii="Times New Roman" w:hAnsi="Times New Roman"/>
          <w:sz w:val="20"/>
        </w:rPr>
      </w:pPr>
      <w:r>
        <w:rPr>
          <w:rFonts w:ascii="Times New Roman" w:hAnsi="Times New Roman"/>
          <w:sz w:val="20"/>
        </w:rPr>
        <w:t xml:space="preserve">(d) The Company shall have delivered to the Trustee an Opinion of Counsel to the effect that Holders of the Securities of such Series will not recognize income, gain or loss for U.S. federal income tax purposes as a result of such deposit and covenant defeasance and will be subject to U.S. federal income tax on the same amounts, in the same manner and at the same times as would have been the case if such deposit and covenant defeasance had not occurred; </w:t>
      </w:r>
    </w:p>
    <w:p>
      <w:pPr>
        <w:pStyle w:val="TextBody"/>
        <w:bidi w:val="0"/>
        <w:spacing w:before="120" w:after="0"/>
        <w:jc w:val="left"/>
        <w:rPr>
          <w:rFonts w:ascii="Times New Roman" w:hAnsi="Times New Roman"/>
          <w:sz w:val="20"/>
        </w:rPr>
      </w:pPr>
      <w:r>
        <w:rPr>
          <w:rFonts w:ascii="Times New Roman" w:hAnsi="Times New Roman"/>
          <w:sz w:val="20"/>
        </w:rPr>
        <w:t xml:space="preserve">(e) The Company shall have delivered to the Trustee an Officer’s Certificate stating the deposit was not made by the Company with the intent of defeating, hindering, delaying or defrauding any other creditors of the Company; and </w:t>
      </w:r>
    </w:p>
    <w:p>
      <w:pPr>
        <w:pStyle w:val="TextBody"/>
        <w:bidi w:val="0"/>
        <w:spacing w:before="120" w:after="0"/>
        <w:jc w:val="left"/>
        <w:rPr>
          <w:rFonts w:ascii="Times New Roman" w:hAnsi="Times New Roman"/>
          <w:sz w:val="20"/>
        </w:rPr>
      </w:pPr>
      <w:r>
        <w:rPr>
          <w:rFonts w:ascii="Times New Roman" w:hAnsi="Times New Roman"/>
          <w:sz w:val="20"/>
        </w:rPr>
        <w:t xml:space="preserve">(f) The Company shall have delivered to the Trustee an Officer’s Certificate and an Opinion of Counsel, each stating that all conditions precedent herein provided for relating to the covenant defeasance contemplated by this Section 8.4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8.5. </w:t>
      </w:r>
      <w:r>
        <w:rPr>
          <w:rFonts w:ascii="Times New Roman" w:hAnsi="Times New Roman"/>
          <w:sz w:val="20"/>
          <w:u w:val="single"/>
        </w:rPr>
        <w:t>Repayment to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abandoned property law, the Trustee and the Paying Agent shall pay to the Company upon request any money held by them for the payment of principal or interest that remains unclaimed for two years after such principal or interest has become due and payable. After that, Securityholders entitled to the money must look to the Company for payment as general creditors unless an applicable abandoned property law designates another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8.6. </w:t>
      </w:r>
      <w:r>
        <w:rPr>
          <w:rFonts w:ascii="Times New Roman" w:hAnsi="Times New Roman"/>
          <w:sz w:val="20"/>
          <w:u w:val="single"/>
        </w:rPr>
        <w:t>Reinstatement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Company has made any payment of principal of or interest on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 </w:t>
      </w:r>
    </w:p>
    <w:p>
      <w:pPr>
        <w:pStyle w:val="TextBody"/>
        <w:bidi w:val="0"/>
        <w:spacing w:before="480" w:after="0"/>
        <w:jc w:val="center"/>
        <w:rPr>
          <w:rFonts w:ascii="Times New Roman" w:hAnsi="Times New Roman"/>
          <w:sz w:val="20"/>
        </w:rPr>
      </w:pPr>
      <w:r>
        <w:rPr>
          <w:rFonts w:ascii="Times New Roman" w:hAnsi="Times New Roman"/>
          <w:sz w:val="20"/>
        </w:rPr>
        <w:t xml:space="preserve">ARTICLE IX. </w:t>
      </w:r>
    </w:p>
    <w:p>
      <w:pPr>
        <w:pStyle w:val="TextBody"/>
        <w:bidi w:val="0"/>
        <w:spacing w:before="0" w:after="0"/>
        <w:jc w:val="center"/>
        <w:rPr>
          <w:rFonts w:ascii="Times New Roman" w:hAnsi="Times New Roman"/>
          <w:sz w:val="20"/>
        </w:rPr>
      </w:pPr>
      <w:r>
        <w:rPr>
          <w:rFonts w:ascii="Times New Roman" w:hAnsi="Times New Roman"/>
          <w:sz w:val="20"/>
        </w:rPr>
        <w:t xml:space="preserve">AMENDMENTS AND WAIVERS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Without Consent of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the Trustee may amend or supplement this Indenture or the Securities of one or more Series without the consent of any Securityholder: </w:t>
      </w:r>
    </w:p>
    <w:p>
      <w:pPr>
        <w:pStyle w:val="TextBody"/>
        <w:bidi w:val="0"/>
        <w:spacing w:before="120" w:after="0"/>
        <w:jc w:val="left"/>
        <w:rPr>
          <w:rFonts w:ascii="Times New Roman" w:hAnsi="Times New Roman"/>
          <w:sz w:val="20"/>
        </w:rPr>
      </w:pPr>
      <w:r>
        <w:rPr>
          <w:rFonts w:ascii="Times New Roman" w:hAnsi="Times New Roman"/>
          <w:sz w:val="20"/>
        </w:rPr>
        <w:t xml:space="preserve">(a) to add guarantees with respect to any Series of Securities or secure any Series of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to surrender any of the Company’s rights or powers under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(c) to add covenants or Events of Default for the benefit of the Securityholders of any Series of Securities; </w:t>
      </w:r>
    </w:p>
    <w:p>
      <w:pPr>
        <w:pStyle w:val="TextBody"/>
        <w:bidi w:val="0"/>
        <w:spacing w:before="120" w:after="0"/>
        <w:jc w:val="left"/>
        <w:rPr>
          <w:rFonts w:ascii="Times New Roman" w:hAnsi="Times New Roman"/>
          <w:sz w:val="20"/>
        </w:rPr>
      </w:pPr>
      <w:r>
        <w:rPr>
          <w:rFonts w:ascii="Times New Roman" w:hAnsi="Times New Roman"/>
          <w:sz w:val="20"/>
        </w:rPr>
        <w:t xml:space="preserve">(d) to comply with the applicable rules or procedures of the Depositary; </w:t>
      </w:r>
    </w:p>
    <w:p>
      <w:pPr>
        <w:pStyle w:val="TextBody"/>
        <w:bidi w:val="0"/>
        <w:spacing w:before="120" w:after="0"/>
        <w:jc w:val="left"/>
        <w:rPr>
          <w:rFonts w:ascii="Times New Roman" w:hAnsi="Times New Roman"/>
          <w:sz w:val="20"/>
        </w:rPr>
      </w:pPr>
      <w:r>
        <w:rPr>
          <w:rFonts w:ascii="Times New Roman" w:hAnsi="Times New Roman"/>
          <w:sz w:val="20"/>
        </w:rPr>
        <w:t xml:space="preserve">(e) to cure any ambiguity, defect or inconsistency, as described in the Officer’s Certificate delivered pursuant to Section 10.4; </w:t>
      </w:r>
    </w:p>
    <w:p>
      <w:pPr>
        <w:pStyle w:val="TextBody"/>
        <w:bidi w:val="0"/>
        <w:spacing w:before="120" w:after="0"/>
        <w:jc w:val="left"/>
        <w:rPr>
          <w:rFonts w:ascii="Times New Roman" w:hAnsi="Times New Roman"/>
          <w:sz w:val="20"/>
        </w:rPr>
      </w:pPr>
      <w:r>
        <w:rPr>
          <w:rFonts w:ascii="Times New Roman" w:hAnsi="Times New Roman"/>
          <w:sz w:val="20"/>
        </w:rPr>
        <w:t xml:space="preserve">(f) to comply with Article V; </w:t>
      </w:r>
    </w:p>
    <w:p>
      <w:pPr>
        <w:pStyle w:val="TextBody"/>
        <w:bidi w:val="0"/>
        <w:spacing w:before="120" w:after="0"/>
        <w:jc w:val="left"/>
        <w:rPr>
          <w:rFonts w:ascii="Times New Roman" w:hAnsi="Times New Roman"/>
          <w:sz w:val="20"/>
        </w:rPr>
      </w:pPr>
      <w:r>
        <w:rPr>
          <w:rFonts w:ascii="Times New Roman" w:hAnsi="Times New Roman"/>
          <w:sz w:val="20"/>
        </w:rPr>
        <w:t xml:space="preserve">(g) to provide for uncertificated Securities in addition to or in place of certificated Securities; </w:t>
      </w:r>
    </w:p>
    <w:p>
      <w:pPr>
        <w:pStyle w:val="TextBody"/>
        <w:bidi w:val="0"/>
        <w:spacing w:before="120" w:after="0"/>
        <w:jc w:val="left"/>
        <w:rPr>
          <w:rFonts w:ascii="Times New Roman" w:hAnsi="Times New Roman"/>
          <w:sz w:val="20"/>
        </w:rPr>
      </w:pPr>
      <w:r>
        <w:rPr>
          <w:rFonts w:ascii="Times New Roman" w:hAnsi="Times New Roman"/>
          <w:sz w:val="20"/>
        </w:rPr>
        <w:t xml:space="preserve">(h) to make any change that does not materially adversely affect the rights of any Securityholder; </w:t>
      </w:r>
    </w:p>
    <w:p>
      <w:pPr>
        <w:pStyle w:val="TextBody"/>
        <w:bidi w:val="0"/>
        <w:spacing w:before="120" w:after="0"/>
        <w:jc w:val="left"/>
        <w:rPr>
          <w:rFonts w:ascii="Times New Roman" w:hAnsi="Times New Roman"/>
          <w:sz w:val="20"/>
        </w:rPr>
      </w:pPr>
      <w:r>
        <w:rPr>
          <w:rFonts w:ascii="Times New Roman" w:hAnsi="Times New Roman"/>
          <w:sz w:val="20"/>
        </w:rPr>
        <w:t xml:space="preserve">(i) to provide for the issuance of and establish the form and terms and conditions of Securities of any Series as permitted by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(j)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w:t>
      </w:r>
    </w:p>
    <w:p>
      <w:pPr>
        <w:pStyle w:val="TextBody"/>
        <w:bidi w:val="0"/>
        <w:spacing w:before="120" w:after="0"/>
        <w:jc w:val="left"/>
        <w:rPr>
          <w:rFonts w:ascii="Times New Roman" w:hAnsi="Times New Roman"/>
          <w:sz w:val="20"/>
        </w:rPr>
      </w:pPr>
      <w:r>
        <w:rPr>
          <w:rFonts w:ascii="Times New Roman" w:hAnsi="Times New Roman"/>
          <w:sz w:val="20"/>
        </w:rPr>
        <w:t xml:space="preserve">(k) to comply with requirements of the SEC in order to effect or maintain the qualification of this Indenture under the TIA; </w:t>
      </w:r>
    </w:p>
    <w:p>
      <w:pPr>
        <w:pStyle w:val="TextBody"/>
        <w:bidi w:val="0"/>
        <w:spacing w:before="120" w:after="0"/>
        <w:jc w:val="left"/>
        <w:rPr>
          <w:rFonts w:ascii="Times New Roman" w:hAnsi="Times New Roman"/>
          <w:sz w:val="20"/>
        </w:rPr>
      </w:pPr>
      <w:r>
        <w:rPr>
          <w:rFonts w:ascii="Times New Roman" w:hAnsi="Times New Roman"/>
          <w:sz w:val="20"/>
        </w:rPr>
        <w:t xml:space="preserve">(l) to comply with the rules or regulations of any securities exchange or automated quotation system on which any of the Securities may be listed or traded; and </w:t>
      </w:r>
    </w:p>
    <w:p>
      <w:pPr>
        <w:pStyle w:val="TextBody"/>
        <w:bidi w:val="0"/>
        <w:spacing w:before="120" w:after="0"/>
        <w:jc w:val="left"/>
        <w:rPr>
          <w:rFonts w:ascii="Times New Roman" w:hAnsi="Times New Roman"/>
          <w:sz w:val="20"/>
        </w:rPr>
      </w:pPr>
      <w:r>
        <w:rPr>
          <w:rFonts w:ascii="Times New Roman" w:hAnsi="Times New Roman"/>
          <w:sz w:val="20"/>
        </w:rPr>
        <w:t xml:space="preserve">(m) to change or eliminate any of the provisions of this Indenture, </w:t>
      </w:r>
      <w:r>
        <w:rPr>
          <w:rFonts w:ascii="Times New Roman" w:hAnsi="Times New Roman"/>
          <w:i/>
          <w:sz w:val="20"/>
        </w:rPr>
        <w:t xml:space="preserve">provided </w:t>
      </w:r>
      <w:r>
        <w:rPr>
          <w:rFonts w:ascii="Times New Roman" w:hAnsi="Times New Roman"/>
          <w:sz w:val="20"/>
        </w:rPr>
        <w:t xml:space="preserve">that any such change or elimination shall not be effective with respect to any outstanding Securities of any Series created prior to the execution of such supplemental indenture which is entitled to the benefit of such provision. </w:t>
      </w:r>
    </w:p>
    <w:p>
      <w:pPr>
        <w:pStyle w:val="TextBody"/>
        <w:bidi w:val="0"/>
        <w:spacing w:before="240" w:after="0"/>
        <w:jc w:val="left"/>
        <w:rPr>
          <w:rFonts w:ascii="Times New Roman" w:hAnsi="Times New Roman"/>
          <w:sz w:val="20"/>
        </w:rPr>
      </w:pPr>
      <w:r>
        <w:rPr>
          <w:rFonts w:ascii="Times New Roman" w:hAnsi="Times New Roman"/>
          <w:sz w:val="20"/>
        </w:rPr>
        <w:t xml:space="preserve">Section 9.2. </w:t>
      </w:r>
      <w:r>
        <w:rPr>
          <w:rFonts w:ascii="Times New Roman" w:hAnsi="Times New Roman"/>
          <w:sz w:val="20"/>
          <w:u w:val="single"/>
        </w:rPr>
        <w:t>With Consent of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principal amount of the outstanding Securities of any Series by written notice to the Trustee (including consents obtained in connection with a tender offer or exchange offer for the Securities of such Series) may waive compliance by the Company with any provision of this Indenture or the Securities with respect to such Series. </w:t>
      </w:r>
    </w:p>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9.2 becomes effective, the Company shall mail to the Holders of Securities affected thereby, a notice briefly describing the supplemental indenture or waiver. Any failure by the Company to mail or publish such notice, or any defect therein, shall not, however, in any way impair or affect the validity of any such supplemental indenture or waiver.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9.3. </w:t>
      </w:r>
      <w:r>
        <w:rPr>
          <w:rFonts w:ascii="Times New Roman" w:hAnsi="Times New Roman"/>
          <w:sz w:val="20"/>
          <w:u w:val="single"/>
        </w:rPr>
        <w:t>Limitations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Without the consent of each Securityholder affected, an amendment or waiver may not: </w:t>
      </w:r>
    </w:p>
    <w:p>
      <w:pPr>
        <w:pStyle w:val="TextBody"/>
        <w:bidi w:val="0"/>
        <w:spacing w:before="120" w:after="0"/>
        <w:jc w:val="left"/>
        <w:rPr>
          <w:rFonts w:ascii="Times New Roman" w:hAnsi="Times New Roman"/>
          <w:sz w:val="20"/>
        </w:rPr>
      </w:pPr>
      <w:r>
        <w:rPr>
          <w:rFonts w:ascii="Times New Roman" w:hAnsi="Times New Roman"/>
          <w:sz w:val="20"/>
        </w:rPr>
        <w:t xml:space="preserve">(a) reduce the principal amount of Securities whose Holders must consent to an amendment, supplement or waiver; </w:t>
      </w:r>
    </w:p>
    <w:p>
      <w:pPr>
        <w:pStyle w:val="TextBody"/>
        <w:bidi w:val="0"/>
        <w:spacing w:before="120" w:after="0"/>
        <w:jc w:val="left"/>
        <w:rPr>
          <w:rFonts w:ascii="Times New Roman" w:hAnsi="Times New Roman"/>
          <w:sz w:val="20"/>
        </w:rPr>
      </w:pPr>
      <w:r>
        <w:rPr>
          <w:rFonts w:ascii="Times New Roman" w:hAnsi="Times New Roman"/>
          <w:sz w:val="20"/>
        </w:rPr>
        <w:t xml:space="preserve">(b) reduce the rate of or extend the time for payment of interest (including default interest) on any Security or that Series; </w:t>
      </w:r>
    </w:p>
    <w:p>
      <w:pPr>
        <w:pStyle w:val="TextBody"/>
        <w:bidi w:val="0"/>
        <w:spacing w:before="120" w:after="0"/>
        <w:jc w:val="left"/>
        <w:rPr>
          <w:rFonts w:ascii="Times New Roman" w:hAnsi="Times New Roman"/>
          <w:sz w:val="20"/>
        </w:rPr>
      </w:pPr>
      <w:r>
        <w:rPr>
          <w:rFonts w:ascii="Times New Roman" w:hAnsi="Times New Roman"/>
          <w:sz w:val="20"/>
        </w:rPr>
        <w:t xml:space="preserve">(c) reduce the principal of, or change the Stated Maturity of, any Security or reduce the amount of, or postpone the date fixed for, the payment of any sinking fund or analogous obligation; </w:t>
      </w:r>
    </w:p>
    <w:p>
      <w:pPr>
        <w:pStyle w:val="TextBody"/>
        <w:bidi w:val="0"/>
        <w:spacing w:before="120" w:after="0"/>
        <w:jc w:val="left"/>
        <w:rPr>
          <w:rFonts w:ascii="Times New Roman" w:hAnsi="Times New Roman"/>
          <w:sz w:val="20"/>
        </w:rPr>
      </w:pPr>
      <w:r>
        <w:rPr>
          <w:rFonts w:ascii="Times New Roman" w:hAnsi="Times New Roman"/>
          <w:sz w:val="20"/>
        </w:rPr>
        <w:t xml:space="preserve">(d) reduce the principal amount of Discount Securities payable upon acceleration of the maturity thereof; </w:t>
      </w:r>
    </w:p>
    <w:p>
      <w:pPr>
        <w:pStyle w:val="TextBody"/>
        <w:bidi w:val="0"/>
        <w:spacing w:before="120" w:after="0"/>
        <w:jc w:val="left"/>
        <w:rPr>
          <w:rFonts w:ascii="Times New Roman" w:hAnsi="Times New Roman"/>
          <w:sz w:val="20"/>
        </w:rPr>
      </w:pPr>
      <w:r>
        <w:rPr>
          <w:rFonts w:ascii="Times New Roman" w:hAnsi="Times New Roman"/>
          <w:sz w:val="20"/>
        </w:rPr>
        <w:t xml:space="preserve">(e) waive a Default or Event of Default in the payment of the principal of or interest, if any, on any Security (except a rescission of acceleration of the Securities of any Series by the Holders of at least a majority in principal amount of the then outstanding Securities of such Series and a waiver of the payment default that resulted from such acceleration); </w:t>
      </w:r>
    </w:p>
    <w:p>
      <w:pPr>
        <w:pStyle w:val="TextBody"/>
        <w:bidi w:val="0"/>
        <w:spacing w:before="120" w:after="0"/>
        <w:jc w:val="left"/>
        <w:rPr>
          <w:rFonts w:ascii="Times New Roman" w:hAnsi="Times New Roman"/>
          <w:sz w:val="20"/>
        </w:rPr>
      </w:pPr>
      <w:r>
        <w:rPr>
          <w:rFonts w:ascii="Times New Roman" w:hAnsi="Times New Roman"/>
          <w:sz w:val="20"/>
        </w:rPr>
        <w:t xml:space="preserve">(f) make the principal of or interest, if any, on any Security payable in any currency other than that stated in the Security; </w:t>
      </w:r>
    </w:p>
    <w:p>
      <w:pPr>
        <w:pStyle w:val="TextBody"/>
        <w:bidi w:val="0"/>
        <w:spacing w:before="120" w:after="0"/>
        <w:jc w:val="left"/>
        <w:rPr>
          <w:rFonts w:ascii="Times New Roman" w:hAnsi="Times New Roman"/>
          <w:sz w:val="20"/>
        </w:rPr>
      </w:pPr>
      <w:r>
        <w:rPr>
          <w:rFonts w:ascii="Times New Roman" w:hAnsi="Times New Roman"/>
          <w:sz w:val="20"/>
        </w:rPr>
        <w:t xml:space="preserve">(g) make any change in Sections 6.8 or 6.13 or this Section 9.3; or </w:t>
      </w:r>
    </w:p>
    <w:p>
      <w:pPr>
        <w:pStyle w:val="TextBody"/>
        <w:bidi w:val="0"/>
        <w:spacing w:before="120" w:after="0"/>
        <w:jc w:val="left"/>
        <w:rPr>
          <w:rFonts w:ascii="Times New Roman" w:hAnsi="Times New Roman"/>
          <w:sz w:val="20"/>
        </w:rPr>
      </w:pPr>
      <w:r>
        <w:rPr>
          <w:rFonts w:ascii="Times New Roman" w:hAnsi="Times New Roman"/>
          <w:sz w:val="20"/>
        </w:rPr>
        <w:t xml:space="preserve">(h) waive a redemption payment with respect to any Security. </w:t>
      </w:r>
    </w:p>
    <w:p>
      <w:pPr>
        <w:pStyle w:val="TextBody"/>
        <w:bidi w:val="0"/>
        <w:spacing w:before="240" w:after="0"/>
        <w:jc w:val="left"/>
        <w:rPr>
          <w:rFonts w:ascii="Times New Roman" w:hAnsi="Times New Roman"/>
          <w:sz w:val="20"/>
        </w:rPr>
      </w:pPr>
      <w:r>
        <w:rPr>
          <w:rFonts w:ascii="Times New Roman" w:hAnsi="Times New Roman"/>
          <w:sz w:val="20"/>
        </w:rPr>
        <w:t xml:space="preserve">Section 9.4. </w:t>
      </w:r>
      <w:r>
        <w:rPr>
          <w:rFonts w:ascii="Times New Roman" w:hAnsi="Times New Roman"/>
          <w:sz w:val="20"/>
          <w:u w:val="single"/>
        </w:rPr>
        <w:t>Compliance with Trust Indenture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Every amendment to this Indenture or the Securities of one or more Series shall be set forth in a supplemental indenture hereto that complies with the TIA as then in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9.5. </w:t>
      </w:r>
      <w:r>
        <w:rPr>
          <w:rFonts w:ascii="Times New Roman" w:hAnsi="Times New Roman"/>
          <w:sz w:val="20"/>
          <w:u w:val="single"/>
        </w:rPr>
        <w:t>Revocation and Effect of Consents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w:t>
      </w:r>
    </w:p>
    <w:p>
      <w:pPr>
        <w:pStyle w:val="TextBody"/>
        <w:bidi w:val="0"/>
        <w:spacing w:before="240" w:after="0"/>
        <w:jc w:val="left"/>
        <w:rPr>
          <w:rFonts w:ascii="Times New Roman" w:hAnsi="Times New Roman"/>
          <w:sz w:val="20"/>
        </w:rPr>
      </w:pPr>
      <w:r>
        <w:rPr>
          <w:rFonts w:ascii="Times New Roman" w:hAnsi="Times New Roman"/>
          <w:sz w:val="20"/>
        </w:rPr>
        <w:t xml:space="preserve">Any amendment or waiver once effective shall bind every Securityholder of each Series affected by such amendment or waiver unless it is of the type described in any of sub-clauses (a) through (h) of Section 9.3. In that case, the amendment or waiver shall bind each Holder of a Security who has consented to it and every subsequent Holder of a Security or portion of a Security that evidences the same debt as the consenting Holder’s Security.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9.6. </w:t>
      </w:r>
      <w:r>
        <w:rPr>
          <w:rFonts w:ascii="Times New Roman" w:hAnsi="Times New Roman"/>
          <w:sz w:val="20"/>
          <w:u w:val="single"/>
        </w:rPr>
        <w:t>Notation on or Exchange of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or the Trustee may place an appropriate notation about an amendment or waiver on any Security of any Series thereafter authenticated. The Company in exchange for Securities of that Series may issue and the Trustee shall authenticate upon request new Securities of that Series that reflect the amendment or waiver. </w:t>
      </w:r>
    </w:p>
    <w:p>
      <w:pPr>
        <w:pStyle w:val="TextBody"/>
        <w:bidi w:val="0"/>
        <w:spacing w:before="240" w:after="0"/>
        <w:jc w:val="left"/>
        <w:rPr>
          <w:rFonts w:ascii="Times New Roman" w:hAnsi="Times New Roman"/>
          <w:sz w:val="20"/>
        </w:rPr>
      </w:pPr>
      <w:r>
        <w:rPr>
          <w:rFonts w:ascii="Times New Roman" w:hAnsi="Times New Roman"/>
          <w:sz w:val="20"/>
        </w:rPr>
        <w:t xml:space="preserve">Section 9.7. </w:t>
      </w:r>
      <w:r>
        <w:rPr>
          <w:rFonts w:ascii="Times New Roman" w:hAnsi="Times New Roman"/>
          <w:sz w:val="20"/>
          <w:u w:val="single"/>
        </w:rPr>
        <w:t>Trustee Protected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executing, or accepting the additional trusts created by, any supplemental indenture permitted by this Article or the modifications thereby of the trusts created by this Indenture, the Trustee shall receive, and (subject to Section 7.1) shall be fully protected in conclusively relying upon, an Officer’s Certificate or an Opinion of Counsel or both complying with Section 10.4 and stating that the supplemental indenture is the legal, valid and binding obligation of the Company, enforceable against the Company in accordance with its terms, subject to customary exceptions. The Trustee shall sign all supplemental indentures upon delivery of such an Officer’s Certificate or Opinion of Counsel or both, except that the Trustee need not sign any supplemental indenture that, in its sole discretion, adversely affects its rights. </w:t>
      </w:r>
    </w:p>
    <w:p>
      <w:pPr>
        <w:pStyle w:val="TextBody"/>
        <w:bidi w:val="0"/>
        <w:spacing w:before="480" w:after="0"/>
        <w:jc w:val="center"/>
        <w:rPr>
          <w:rFonts w:ascii="Times New Roman" w:hAnsi="Times New Roman"/>
          <w:sz w:val="20"/>
        </w:rPr>
      </w:pPr>
      <w:r>
        <w:rPr>
          <w:rFonts w:ascii="Times New Roman" w:hAnsi="Times New Roman"/>
          <w:sz w:val="20"/>
        </w:rPr>
        <w:t xml:space="preserve">ARTICLE X. </w:t>
      </w:r>
    </w:p>
    <w:p>
      <w:pPr>
        <w:pStyle w:val="TextBody"/>
        <w:bidi w:val="0"/>
        <w:spacing w:before="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Trust Indenture Act Controls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any provision of this Indenture limits, qualifies, or conflicts with another provision which is required or deemed to be included in this Indenture by the TIA, such required or deemed provision shall control.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Notices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Any request, demand, notice or communication by the Company or the Trustee to the other, or by a Holder to the Company or the Trustee, is duly given if in writing and delivered in person or mailed by first-class mail: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Eledon Pharmaceuticals, Inc. </w:t>
      </w:r>
    </w:p>
    <w:p>
      <w:pPr>
        <w:pStyle w:val="TextBody"/>
        <w:bidi w:val="0"/>
        <w:spacing w:before="120" w:after="0"/>
        <w:jc w:val="left"/>
        <w:rPr>
          <w:rFonts w:ascii="Times New Roman" w:hAnsi="Times New Roman"/>
          <w:sz w:val="20"/>
        </w:rPr>
      </w:pPr>
      <w:r>
        <w:rPr>
          <w:rFonts w:ascii="Times New Roman" w:hAnsi="Times New Roman"/>
          <w:sz w:val="20"/>
        </w:rPr>
        <w:t xml:space="preserve">19800 MacArthur Blvd., Suite 250 </w:t>
      </w:r>
    </w:p>
    <w:p>
      <w:pPr>
        <w:pStyle w:val="TextBody"/>
        <w:bidi w:val="0"/>
        <w:spacing w:before="120" w:after="0"/>
        <w:jc w:val="left"/>
        <w:rPr>
          <w:rFonts w:ascii="Times New Roman" w:hAnsi="Times New Roman"/>
          <w:sz w:val="20"/>
        </w:rPr>
      </w:pPr>
      <w:r>
        <w:rPr>
          <w:rFonts w:ascii="Times New Roman" w:hAnsi="Times New Roman"/>
          <w:sz w:val="20"/>
        </w:rPr>
        <w:t xml:space="preserve">Irvine, California 92612 </w:t>
      </w:r>
    </w:p>
    <w:p>
      <w:pPr>
        <w:pStyle w:val="TextBody"/>
        <w:bidi w:val="0"/>
        <w:spacing w:before="120" w:after="0"/>
        <w:jc w:val="left"/>
        <w:rPr>
          <w:rFonts w:ascii="Times New Roman" w:hAnsi="Times New Roman"/>
          <w:sz w:val="20"/>
        </w:rPr>
      </w:pPr>
      <w:r>
        <w:rPr>
          <w:rFonts w:ascii="Times New Roman" w:hAnsi="Times New Roman"/>
          <w:sz w:val="20"/>
        </w:rPr>
        <w:t xml:space="preserve">Attention: Chief Financial Officer </w:t>
      </w:r>
    </w:p>
    <w:p>
      <w:pPr>
        <w:pStyle w:val="TextBody"/>
        <w:bidi w:val="0"/>
        <w:spacing w:before="120" w:after="0"/>
        <w:jc w:val="left"/>
        <w:rPr>
          <w:rFonts w:ascii="Times New Roman" w:hAnsi="Times New Roman"/>
          <w:sz w:val="20"/>
        </w:rPr>
      </w:pPr>
      <w:r>
        <w:rPr>
          <w:rFonts w:ascii="Times New Roman" w:hAnsi="Times New Roman"/>
          <w:sz w:val="20"/>
        </w:rPr>
        <w:t xml:space="preserve">Email: plittle@eledon.com </w:t>
      </w:r>
    </w:p>
    <w:p>
      <w:pPr>
        <w:pStyle w:val="TextBody"/>
        <w:bidi w:val="0"/>
        <w:spacing w:before="240" w:after="0"/>
        <w:jc w:val="left"/>
        <w:rPr>
          <w:rFonts w:ascii="Times New Roman" w:hAnsi="Times New Roman"/>
          <w:sz w:val="20"/>
        </w:rPr>
      </w:pPr>
      <w:r>
        <w:rPr>
          <w:rFonts w:ascii="Times New Roman" w:hAnsi="Times New Roman"/>
          <w:sz w:val="20"/>
        </w:rPr>
        <w:t xml:space="preserve">if to the Trustee: </w:t>
      </w:r>
    </w:p>
    <w:p>
      <w:pPr>
        <w:pStyle w:val="TextBody"/>
        <w:bidi w:val="0"/>
        <w:spacing w:before="0" w:after="0"/>
        <w:jc w:val="left"/>
        <w:rPr/>
      </w:pPr>
      <w:r>
        <w:rPr/>
        <w:t> </w:t>
      </w:r>
    </w:p>
    <w:p>
      <w:pPr>
        <w:pStyle w:val="TextBody"/>
        <w:bidi w:val="0"/>
        <w:spacing w:before="120" w:after="0"/>
        <w:jc w:val="left"/>
        <w:rPr/>
      </w:pPr>
      <w:r>
        <w:rPr>
          <w:u w:val="single"/>
        </w:rPr>
        <w:t>               </w:t>
      </w:r>
      <w:r>
        <w:rPr/>
        <w:t xml:space="preserve"> </w:t>
      </w:r>
    </w:p>
    <w:p>
      <w:pPr>
        <w:pStyle w:val="TextBody"/>
        <w:bidi w:val="0"/>
        <w:spacing w:before="0" w:after="0"/>
        <w:jc w:val="left"/>
        <w:rPr/>
      </w:pPr>
      <w:r>
        <w:rPr>
          <w:u w:val="single"/>
        </w:rPr>
        <w:t>               </w:t>
      </w:r>
      <w:r>
        <w:rPr/>
        <w:t xml:space="preserve"> </w:t>
      </w:r>
    </w:p>
    <w:p>
      <w:pPr>
        <w:pStyle w:val="TextBody"/>
        <w:bidi w:val="0"/>
        <w:spacing w:before="0" w:after="0"/>
        <w:jc w:val="left"/>
        <w:rPr/>
      </w:pPr>
      <w:r>
        <w:rPr>
          <w:u w:val="single"/>
        </w:rPr>
        <w:t>               </w:t>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Attention: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u w:val="single"/>
        </w:rPr>
        <w:t>               </w:t>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or the Trustee by notice to the other may designate additional or different addresses for subsequent notices or communications.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notice or communication to a Securityholder shall be mailed by first-class mail to his address shown on the register kept by the Registrar. Failure to mail a notice or communication to a Securityholder of any Series or any defect in it shall not affect its sufficiency with respect to other Securityholders of that or any other Series. </w:t>
      </w:r>
    </w:p>
    <w:p>
      <w:pPr>
        <w:pStyle w:val="TextBody"/>
        <w:bidi w:val="0"/>
        <w:spacing w:before="240" w:after="0"/>
        <w:jc w:val="left"/>
        <w:rPr>
          <w:rFonts w:ascii="Times New Roman" w:hAnsi="Times New Roman"/>
          <w:sz w:val="20"/>
        </w:rPr>
      </w:pPr>
      <w:r>
        <w:rPr>
          <w:rFonts w:ascii="Times New Roman" w:hAnsi="Times New Roman"/>
          <w:sz w:val="20"/>
        </w:rPr>
        <w:t xml:space="preserve">If a notice or communication is mailed or published in the manner provided above, within the time prescribed, it is duly given, whether or not the Securityholder receives it.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mails a notice or communication to Securityholders, it shall mail a copy to the Trustee and each Agent at the same time.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Communication by Holders with Other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Certificate and Opinion as to Conditions Precedent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any request or application by the Company to the Trustee to take any action under this Indenture, the Company shall furnish to the Trustee: </w:t>
      </w:r>
    </w:p>
    <w:p>
      <w:pPr>
        <w:pStyle w:val="TextBody"/>
        <w:bidi w:val="0"/>
        <w:spacing w:before="120" w:after="0"/>
        <w:jc w:val="left"/>
        <w:rPr>
          <w:rFonts w:ascii="Times New Roman" w:hAnsi="Times New Roman"/>
          <w:sz w:val="20"/>
        </w:rPr>
      </w:pPr>
      <w:r>
        <w:rPr>
          <w:rFonts w:ascii="Times New Roman" w:hAnsi="Times New Roman"/>
          <w:sz w:val="20"/>
        </w:rPr>
        <w:t xml:space="preserve">(a) an Officer’s Certificate stating that, in the opinion of the signers, all conditions precedent, if any, provided for in this Indenture relating to the proposed action have been complied with; and </w:t>
      </w:r>
    </w:p>
    <w:p>
      <w:pPr>
        <w:pStyle w:val="TextBody"/>
        <w:bidi w:val="0"/>
        <w:spacing w:before="120" w:after="0"/>
        <w:jc w:val="left"/>
        <w:rPr>
          <w:rFonts w:ascii="Times New Roman" w:hAnsi="Times New Roman"/>
          <w:sz w:val="20"/>
        </w:rPr>
      </w:pPr>
      <w:r>
        <w:rPr>
          <w:rFonts w:ascii="Times New Roman" w:hAnsi="Times New Roman"/>
          <w:sz w:val="20"/>
        </w:rPr>
        <w:t xml:space="preserve">(b) an Opinion of Counsel stating that, in the opinion of such counsel, all such conditions precedent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Statements Required in Certificate or Opinion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certificate or opinion with respect to compliance with a condition or covenant provided for in this Indenture (other than a certificate provided pursuant to TIA § 314(a)(4)) shall comply with the provisions of TIA § 314(e) and shall include: </w:t>
      </w:r>
    </w:p>
    <w:p>
      <w:pPr>
        <w:pStyle w:val="TextBody"/>
        <w:bidi w:val="0"/>
        <w:spacing w:before="120" w:after="0"/>
        <w:jc w:val="left"/>
        <w:rPr>
          <w:rFonts w:ascii="Times New Roman" w:hAnsi="Times New Roman"/>
          <w:sz w:val="20"/>
        </w:rPr>
      </w:pPr>
      <w:r>
        <w:rPr>
          <w:rFonts w:ascii="Times New Roman" w:hAnsi="Times New Roman"/>
          <w:sz w:val="20"/>
        </w:rPr>
        <w:t xml:space="preserve">(a) a statement that the person making such certificate or opinion has read such covenant or condition; </w:t>
      </w:r>
    </w:p>
    <w:p>
      <w:pPr>
        <w:pStyle w:val="TextBody"/>
        <w:bidi w:val="0"/>
        <w:spacing w:before="120" w:after="0"/>
        <w:jc w:val="left"/>
        <w:rPr>
          <w:rFonts w:ascii="Times New Roman" w:hAnsi="Times New Roman"/>
          <w:sz w:val="20"/>
        </w:rPr>
      </w:pPr>
      <w:r>
        <w:rPr>
          <w:rFonts w:ascii="Times New Roman" w:hAnsi="Times New Roman"/>
          <w:sz w:val="20"/>
        </w:rPr>
        <w:t xml:space="preserve">(b) a brief statement as to the nature and scope of the examination or investigation upon which the statements or opinions contained in such certificate or opinion are based; </w:t>
      </w:r>
    </w:p>
    <w:p>
      <w:pPr>
        <w:pStyle w:val="TextBody"/>
        <w:bidi w:val="0"/>
        <w:spacing w:before="120" w:after="0"/>
        <w:jc w:val="left"/>
        <w:rPr>
          <w:rFonts w:ascii="Times New Roman" w:hAnsi="Times New Roman"/>
          <w:sz w:val="20"/>
        </w:rPr>
      </w:pPr>
      <w:r>
        <w:rPr>
          <w:rFonts w:ascii="Times New Roman" w:hAnsi="Times New Roman"/>
          <w:sz w:val="20"/>
        </w:rPr>
        <w:t xml:space="preserve">(c) a statement that, in the opinion of such person, he has made such examination or investigation as is necessary to enable him to express an informed opinion as to whether or not such covenant or condition has been complied with; and </w:t>
      </w:r>
    </w:p>
    <w:p>
      <w:pPr>
        <w:pStyle w:val="TextBody"/>
        <w:bidi w:val="0"/>
        <w:spacing w:before="120" w:after="0"/>
        <w:jc w:val="left"/>
        <w:rPr>
          <w:rFonts w:ascii="Times New Roman" w:hAnsi="Times New Roman"/>
          <w:sz w:val="20"/>
        </w:rPr>
      </w:pPr>
      <w:r>
        <w:rPr>
          <w:rFonts w:ascii="Times New Roman" w:hAnsi="Times New Roman"/>
          <w:sz w:val="20"/>
        </w:rPr>
        <w:t xml:space="preserve">(d) a statement as to whether or not, in the opinion of such person, such condition or covenant has been complied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Rules by Trustee and Agents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make reasonable rules for action by or a meeting of Securityholders of one or more Series. Any Agent may make reasonable rules and set reasonable requirements for its functions.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Legal Holidays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Unless otherwise provided by Board Resolution, Officer’s Certificate or supplemental indenture hereto for a particular Series, a “</w:t>
      </w:r>
      <w:r>
        <w:rPr>
          <w:rFonts w:ascii="Times New Roman" w:hAnsi="Times New Roman"/>
          <w:i/>
          <w:sz w:val="20"/>
        </w:rPr>
        <w:t>Legal Holiday</w:t>
      </w:r>
      <w:r>
        <w:rPr>
          <w:rFonts w:ascii="Times New Roman" w:hAnsi="Times New Roman"/>
          <w:sz w:val="20"/>
        </w:rPr>
        <w:t xml:space="preserve">” is any day that is not a Business Day. If a payment date is a Legal Holiday at a place of payment, payment may be made at that place on the next succeeding day that is not a Legal Holiday, and no interest shall accrue for the intervening period. </w:t>
      </w:r>
    </w:p>
    <w:p>
      <w:pPr>
        <w:pStyle w:val="TextBody"/>
        <w:bidi w:val="0"/>
        <w:spacing w:before="24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No Recourse Against Others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director, officer, employee or stockholder (past or present), as such, of the Company shall not have any liability for any obligations of the Company under the Securities or this Indenture or for any claim based on, in respect of or by reason of such obligations or their creation. Each Securityholder by accepting a Security waives and releases all such liability. The waiver and release are part of the consideration for the issue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10.9. </w:t>
      </w:r>
      <w:r>
        <w:rPr>
          <w:rFonts w:ascii="Times New Roman" w:hAnsi="Times New Roman"/>
          <w:sz w:val="20"/>
          <w:u w:val="single"/>
        </w:rPr>
        <w:t>Counterparts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10.10. </w:t>
      </w:r>
      <w:r>
        <w:rPr>
          <w:rFonts w:ascii="Times New Roman" w:hAnsi="Times New Roman"/>
          <w:sz w:val="20"/>
          <w:u w:val="single"/>
        </w:rPr>
        <w:t>Governing Law; Jury Trial Waiver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THIS INDENTURE AND THE SECURITIES, INCLUDING ANY CLAIM OR CONTROVERSY ARISING OUT OF OR RELATING TO THIS INDENTURE OR THE SECURITIES, SHALL BE GOVERNED BY THE LAWS OF THE STATE OF NEW YORK (WITHOUT REGARD TO THE CONFLICTS OF LAWS PROVISIONS THEREOF OTHER THAN SECTION 5-1401 OF THE GENERAL OBLIGATIONS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EACH OF THE COMPANY AND THE TRUSTEE HEREBY IRREVOCABLY WAIVES, TO THE FULLEST EXTENT PERMITTED BY APPLICABLE LAW, ANY AND ALL RIGHT TO TRIAL BY JURY IN ANY LEGAL PROCEEDING ARISING OUT OF OR RELATING TO THIS INDENTURE, THE SECURITIES OR THE TRANSACTION CONTEMPLATED HEREBY.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10.11. </w:t>
      </w:r>
      <w:r>
        <w:rPr>
          <w:rFonts w:ascii="Times New Roman" w:hAnsi="Times New Roman"/>
          <w:sz w:val="20"/>
          <w:u w:val="single"/>
        </w:rPr>
        <w:t>No Adverse Interpretation of Other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Indenture may not be used to interpret another indenture, loan or debt agreement of the Company or a Subsidiary of the Company. Any such indenture, loan or debt agreement may not be used to interpret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10.12. </w:t>
      </w:r>
      <w:r>
        <w:rPr>
          <w:rFonts w:ascii="Times New Roman" w:hAnsi="Times New Roman"/>
          <w:sz w:val="20"/>
          <w:u w:val="single"/>
        </w:rPr>
        <w:t>Successors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agreements of the Company in this Indenture and the Securities shall bind its successor. All agreements of the Trustee in this Indenture shall bind its successor. </w:t>
      </w:r>
    </w:p>
    <w:p>
      <w:pPr>
        <w:pStyle w:val="TextBody"/>
        <w:bidi w:val="0"/>
        <w:spacing w:before="240" w:after="0"/>
        <w:jc w:val="left"/>
        <w:rPr>
          <w:rFonts w:ascii="Times New Roman" w:hAnsi="Times New Roman"/>
          <w:sz w:val="20"/>
        </w:rPr>
      </w:pPr>
      <w:r>
        <w:rPr>
          <w:rFonts w:ascii="Times New Roman" w:hAnsi="Times New Roman"/>
          <w:sz w:val="20"/>
        </w:rPr>
        <w:t xml:space="preserve">Section 10.13. </w:t>
      </w:r>
      <w:r>
        <w:rPr>
          <w:rFonts w:ascii="Times New Roman" w:hAnsi="Times New Roman"/>
          <w:sz w:val="20"/>
          <w:u w:val="single"/>
        </w:rPr>
        <w:t>Severability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case any provision in this Indenture or in the Securities shall be invalid, illegal or unenforceable, the validity, legality and enforceability of the remaining provisions shall not in any way be affected or impaired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10.14. </w:t>
      </w:r>
      <w:r>
        <w:rPr>
          <w:rFonts w:ascii="Times New Roman" w:hAnsi="Times New Roman"/>
          <w:sz w:val="20"/>
          <w:u w:val="single"/>
        </w:rPr>
        <w:t>Table of Contents, Headings,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Table of Contents, Cross Reference Table, and headings of the Articles and Sections of this Indenture have been inserted for convenience of reference only, are not to be considered a part hereof, and shall in no way modify or restrict any of the terms or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10.15. </w:t>
      </w:r>
      <w:r>
        <w:rPr>
          <w:rFonts w:ascii="Times New Roman" w:hAnsi="Times New Roman"/>
          <w:sz w:val="20"/>
          <w:u w:val="single"/>
        </w:rPr>
        <w:t>Securities in a Foreign Currency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All decisions and determinations provided for in the preceding paragraph shall, in the absence of manifest error, to the extent permitted by law, be conclusive for all purposes and irrevocably binding upon the Trustee and all 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10.16. </w:t>
      </w:r>
      <w:r>
        <w:rPr>
          <w:rFonts w:ascii="Times New Roman" w:hAnsi="Times New Roman"/>
          <w:sz w:val="20"/>
          <w:u w:val="single"/>
        </w:rPr>
        <w:t>Judgment Currency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Times New Roman" w:hAnsi="Times New Roman"/>
          <w:i/>
          <w:sz w:val="20"/>
        </w:rPr>
        <w:t>Required Currency</w:t>
      </w:r>
      <w:r>
        <w:rPr>
          <w:rFonts w:ascii="Times New Roman" w:hAnsi="Times New Roman"/>
          <w:sz w:val="20"/>
        </w:rPr>
        <w:t>”) into a currency in which a judgment will be rendered (the “</w:t>
      </w:r>
      <w:r>
        <w:rPr>
          <w:rFonts w:ascii="Times New Roman" w:hAnsi="Times New Roman"/>
          <w:i/>
          <w:sz w:val="20"/>
        </w:rPr>
        <w:t>Judgment Currency</w:t>
      </w:r>
      <w:r>
        <w:rPr>
          <w:rFonts w:ascii="Times New Roman" w:hAnsi="Times New Roman"/>
          <w:sz w:val="20"/>
        </w:rPr>
        <w:t xml:space="preserve">”),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Business Day, then the rate of exchange used shall be the rate at which in accordance with normal banking procedures the Trustee could purchase in The City of New York the Required Currency with the Judgment Currency on the Business Day preceding the day on which final unappealable judgment is entered and (b)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10.17. </w:t>
      </w:r>
      <w:r>
        <w:rPr>
          <w:rFonts w:ascii="Times New Roman" w:hAnsi="Times New Roman"/>
          <w:sz w:val="20"/>
          <w:u w:val="single"/>
        </w:rPr>
        <w:t>Force Majeure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10.18. </w:t>
      </w:r>
      <w:r>
        <w:rPr>
          <w:rFonts w:ascii="Times New Roman" w:hAnsi="Times New Roman"/>
          <w:sz w:val="20"/>
          <w:u w:val="single"/>
        </w:rPr>
        <w:t>U.S.A. Patriot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 </w:t>
      </w:r>
    </w:p>
    <w:p>
      <w:pPr>
        <w:pStyle w:val="TextBody"/>
        <w:bidi w:val="0"/>
        <w:spacing w:before="480" w:after="0"/>
        <w:jc w:val="center"/>
        <w:rPr>
          <w:rFonts w:ascii="Times New Roman" w:hAnsi="Times New Roman"/>
          <w:sz w:val="20"/>
        </w:rPr>
      </w:pPr>
      <w:r>
        <w:rPr>
          <w:rFonts w:ascii="Times New Roman" w:hAnsi="Times New Roman"/>
          <w:sz w:val="20"/>
        </w:rPr>
        <w:t xml:space="preserve">ARTICLE XI. </w:t>
      </w:r>
    </w:p>
    <w:p>
      <w:pPr>
        <w:pStyle w:val="TextBody"/>
        <w:bidi w:val="0"/>
        <w:spacing w:before="0" w:after="0"/>
        <w:jc w:val="center"/>
        <w:rPr>
          <w:rFonts w:ascii="Times New Roman" w:hAnsi="Times New Roman"/>
          <w:sz w:val="20"/>
        </w:rPr>
      </w:pPr>
      <w:r>
        <w:rPr>
          <w:rFonts w:ascii="Times New Roman" w:hAnsi="Times New Roman"/>
          <w:sz w:val="20"/>
        </w:rPr>
        <w:t xml:space="preserve">SINKING FUNDS </w:t>
      </w:r>
    </w:p>
    <w:p>
      <w:pPr>
        <w:pStyle w:val="TextBody"/>
        <w:bidi w:val="0"/>
        <w:spacing w:before="24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Applicability of Article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this Article shall be applicable to any sinking fund for the retirement of the Securities of a Series if so provided by the terms of such Securities pursuant to Section 2.2 and except as otherwise permitted or required by any form of Security of such Series issued pursuant to this Indenture. </w:t>
      </w:r>
    </w:p>
    <w:p>
      <w:pPr>
        <w:pStyle w:val="TextBody"/>
        <w:bidi w:val="0"/>
        <w:spacing w:before="240" w:after="0"/>
        <w:jc w:val="left"/>
        <w:rPr>
          <w:rFonts w:ascii="Times New Roman" w:hAnsi="Times New Roman"/>
          <w:sz w:val="20"/>
        </w:rPr>
      </w:pPr>
      <w:r>
        <w:rPr>
          <w:rFonts w:ascii="Times New Roman" w:hAnsi="Times New Roman"/>
          <w:sz w:val="20"/>
        </w:rPr>
        <w:t>The minimum amount of any sinking fund payment provided for by the terms of the Securities of any Series is herein referred to as a “</w:t>
      </w:r>
      <w:r>
        <w:rPr>
          <w:rFonts w:ascii="Times New Roman" w:hAnsi="Times New Roman"/>
          <w:i/>
          <w:sz w:val="20"/>
        </w:rPr>
        <w:t>mandatory sinking fund payment</w:t>
      </w:r>
      <w:r>
        <w:rPr>
          <w:rFonts w:ascii="Times New Roman" w:hAnsi="Times New Roman"/>
          <w:sz w:val="20"/>
        </w:rPr>
        <w:t>” and any other amount provided for by the terms of Securities of such Series is herein referred to as an “</w:t>
      </w:r>
      <w:r>
        <w:rPr>
          <w:rFonts w:ascii="Times New Roman" w:hAnsi="Times New Roman"/>
          <w:i/>
          <w:sz w:val="20"/>
        </w:rPr>
        <w:t>optional sinking fund payment</w:t>
      </w:r>
      <w:r>
        <w:rPr>
          <w:rFonts w:ascii="Times New Roman" w:hAnsi="Times New Roman"/>
          <w:sz w:val="20"/>
        </w:rPr>
        <w:t xml:space="preserve">.” If provided for by the terms of Securities of any Series, the cash amount of any sinking fund payment may be subject to reduction as provided in Section 11.2. Each sinking fund payment shall be applied to the redemption of Securities of any Series as provided for by the terms of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11.2. </w:t>
      </w:r>
      <w:r>
        <w:rPr>
          <w:rFonts w:ascii="Times New Roman" w:hAnsi="Times New Roman"/>
          <w:sz w:val="20"/>
          <w:u w:val="single"/>
        </w:rPr>
        <w:t>Satisfaction of Sinking Fund Payments with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in satisfaction of all or any part of any sinking fund payment with respect to the Securities of any Series to be made pursuant to the terms of such Securities (a) deliver outstanding Securities of such Series to which such sinking fund payment is applicable (other than any of such Securities previously called for mandatory sinking fund redemption) and (b) apply as credit Securities of such Series to which such sinking fund payment is applicable and which have been repurchased by the Company or redeemed either at the election of the Company pursuant to the terms of the Securities of such Series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11.3. </w:t>
      </w:r>
      <w:r>
        <w:rPr>
          <w:rFonts w:ascii="Times New Roman" w:hAnsi="Times New Roman"/>
          <w:sz w:val="20"/>
          <w:u w:val="single"/>
        </w:rPr>
        <w:t>Redemption of Securities for Sinking Fund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Trustee shall select the Securities to be redeemed upon such sinking fund payment date in the manner specified in Section 3.2 and cause notice of the redemption thereof to be given in the name of and at the expense of the Company in the manner provided in Section 3.3. Such notice having been duly given, the redemption of such Securities shall be made upon the terms and in the manner stated in Sections 3.4, 3.5 and 3.6.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Indenture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30"/>
        <w:gridCol w:w="136"/>
        <w:gridCol w:w="3216"/>
      </w:tblGrid>
      <w:tr>
        <w:trPr/>
        <w:tc>
          <w:tcPr>
            <w:tcW w:w="730"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321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ELEDON PHARMACEUTICALS, INC., as Issuer</w:t>
            </w:r>
          </w:p>
        </w:tc>
      </w:tr>
      <w:tr>
        <w:trPr>
          <w:trHeight w:val="240" w:hRule="atLeast"/>
        </w:trPr>
        <w:tc>
          <w:tcPr>
            <w:tcW w:w="730" w:type="dxa"/>
            <w:tcBorders/>
            <w:vAlign w:val="center"/>
          </w:tcPr>
          <w:p>
            <w:pPr>
              <w:pStyle w:val="TableContents"/>
              <w:bidi w:val="0"/>
              <w:spacing w:before="0" w:after="283"/>
              <w:jc w:val="left"/>
              <w:rPr>
                <w:sz w:val="4"/>
                <w:szCs w:val="4"/>
              </w:rPr>
            </w:pPr>
            <w:r>
              <w:rPr>
                <w:sz w:val="4"/>
                <w:szCs w:val="4"/>
              </w:rPr>
            </w:r>
          </w:p>
        </w:tc>
        <w:tc>
          <w:tcPr>
            <w:tcW w:w="3352" w:type="dxa"/>
            <w:gridSpan w:val="2"/>
            <w:tcBorders/>
            <w:vAlign w:val="center"/>
          </w:tcPr>
          <w:p>
            <w:pPr>
              <w:pStyle w:val="TableContents"/>
              <w:bidi w:val="0"/>
              <w:spacing w:before="0" w:after="283"/>
              <w:jc w:val="left"/>
              <w:rPr>
                <w:sz w:val="4"/>
                <w:szCs w:val="4"/>
              </w:rPr>
            </w:pPr>
            <w:r>
              <w:rPr>
                <w:sz w:val="4"/>
                <w:szCs w:val="4"/>
              </w:rPr>
            </w:r>
          </w:p>
        </w:tc>
      </w:tr>
      <w:tr>
        <w:trPr/>
        <w:tc>
          <w:tcPr>
            <w:tcW w:w="730" w:type="dxa"/>
            <w:tcBorders/>
          </w:tcPr>
          <w:p>
            <w:pPr>
              <w:pStyle w:val="TableContents"/>
              <w:bidi w:val="0"/>
              <w:spacing w:before="0" w:after="283"/>
              <w:jc w:val="left"/>
              <w:rPr/>
            </w:pPr>
            <w:r>
              <w:rPr/>
              <w:t>By:</w:t>
            </w:r>
          </w:p>
        </w:tc>
        <w:tc>
          <w:tcPr>
            <w:tcW w:w="136" w:type="dxa"/>
            <w:tcBorders/>
            <w:vAlign w:val="bottom"/>
          </w:tcPr>
          <w:p>
            <w:pPr>
              <w:pStyle w:val="TableContents"/>
              <w:bidi w:val="0"/>
              <w:spacing w:before="0" w:after="283"/>
              <w:jc w:val="left"/>
              <w:rPr/>
            </w:pPr>
            <w:r>
              <w:rPr/>
              <w:t> </w:t>
            </w:r>
          </w:p>
        </w:tc>
        <w:tc>
          <w:tcPr>
            <w:tcW w:w="3216" w:type="dxa"/>
            <w:tcBorders/>
          </w:tcPr>
          <w:p>
            <w:pPr>
              <w:pStyle w:val="TableContents"/>
              <w:pBdr>
                <w:bottom w:val="single" w:sz="2" w:space="1" w:color="000000"/>
              </w:pBdr>
              <w:bidi w:val="0"/>
              <w:spacing w:before="0" w:after="20"/>
              <w:jc w:val="left"/>
              <w:rPr/>
            </w:pPr>
            <w:r>
              <w:rPr/>
              <w:t> </w:t>
            </w:r>
          </w:p>
        </w:tc>
      </w:tr>
      <w:tr>
        <w:trPr/>
        <w:tc>
          <w:tcPr>
            <w:tcW w:w="730"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3216" w:type="dxa"/>
            <w:tcBorders/>
          </w:tcPr>
          <w:p>
            <w:pPr>
              <w:pStyle w:val="TableContents"/>
              <w:bidi w:val="0"/>
              <w:spacing w:before="0" w:after="283"/>
              <w:jc w:val="left"/>
              <w:rPr/>
            </w:pPr>
            <w:r>
              <w:rPr/>
              <w:t>Name:</w:t>
            </w:r>
          </w:p>
        </w:tc>
      </w:tr>
      <w:tr>
        <w:trPr/>
        <w:tc>
          <w:tcPr>
            <w:tcW w:w="730"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3216" w:type="dxa"/>
            <w:tcBorders/>
          </w:tcPr>
          <w:p>
            <w:pPr>
              <w:pStyle w:val="TableContents"/>
              <w:bidi w:val="0"/>
              <w:spacing w:before="0" w:after="283"/>
              <w:jc w:val="left"/>
              <w:rPr/>
            </w:pPr>
            <w:r>
              <w:rPr/>
              <w:t>Its:</w:t>
            </w:r>
          </w:p>
        </w:tc>
      </w:tr>
      <w:tr>
        <w:trPr>
          <w:trHeight w:val="240" w:hRule="atLeast"/>
        </w:trPr>
        <w:tc>
          <w:tcPr>
            <w:tcW w:w="730" w:type="dxa"/>
            <w:tcBorders/>
            <w:vAlign w:val="center"/>
          </w:tcPr>
          <w:p>
            <w:pPr>
              <w:pStyle w:val="TableContents"/>
              <w:bidi w:val="0"/>
              <w:spacing w:before="0" w:after="283"/>
              <w:jc w:val="left"/>
              <w:rPr>
                <w:sz w:val="4"/>
                <w:szCs w:val="4"/>
              </w:rPr>
            </w:pPr>
            <w:r>
              <w:rPr>
                <w:sz w:val="4"/>
                <w:szCs w:val="4"/>
              </w:rPr>
            </w:r>
          </w:p>
        </w:tc>
        <w:tc>
          <w:tcPr>
            <w:tcW w:w="3352" w:type="dxa"/>
            <w:gridSpan w:val="2"/>
            <w:tcBorders/>
            <w:vAlign w:val="center"/>
          </w:tcPr>
          <w:p>
            <w:pPr>
              <w:pStyle w:val="TableContents"/>
              <w:bidi w:val="0"/>
              <w:spacing w:before="0" w:after="283"/>
              <w:jc w:val="left"/>
              <w:rPr>
                <w:sz w:val="4"/>
                <w:szCs w:val="4"/>
              </w:rPr>
            </w:pPr>
            <w:r>
              <w:rPr>
                <w:sz w:val="4"/>
                <w:szCs w:val="4"/>
              </w:rPr>
            </w:r>
          </w:p>
        </w:tc>
      </w:tr>
      <w:tr>
        <w:trPr/>
        <w:tc>
          <w:tcPr>
            <w:tcW w:w="730"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3216" w:type="dxa"/>
            <w:tcBorders/>
          </w:tcPr>
          <w:p>
            <w:pPr>
              <w:pStyle w:val="TableContents"/>
              <w:bidi w:val="0"/>
              <w:spacing w:before="0" w:after="283"/>
              <w:jc w:val="center"/>
              <w:rPr/>
            </w:pPr>
            <w:r>
              <w:rPr/>
              <w:t>, as Trustee</w:t>
            </w:r>
          </w:p>
        </w:tc>
      </w:tr>
      <w:tr>
        <w:trPr>
          <w:trHeight w:val="240" w:hRule="atLeast"/>
        </w:trPr>
        <w:tc>
          <w:tcPr>
            <w:tcW w:w="730" w:type="dxa"/>
            <w:tcBorders/>
            <w:vAlign w:val="center"/>
          </w:tcPr>
          <w:p>
            <w:pPr>
              <w:pStyle w:val="TableContents"/>
              <w:bidi w:val="0"/>
              <w:spacing w:before="0" w:after="283"/>
              <w:jc w:val="left"/>
              <w:rPr>
                <w:sz w:val="4"/>
                <w:szCs w:val="4"/>
              </w:rPr>
            </w:pPr>
            <w:r>
              <w:rPr>
                <w:sz w:val="4"/>
                <w:szCs w:val="4"/>
              </w:rPr>
            </w:r>
          </w:p>
        </w:tc>
        <w:tc>
          <w:tcPr>
            <w:tcW w:w="3352" w:type="dxa"/>
            <w:gridSpan w:val="2"/>
            <w:tcBorders/>
            <w:vAlign w:val="center"/>
          </w:tcPr>
          <w:p>
            <w:pPr>
              <w:pStyle w:val="TableContents"/>
              <w:bidi w:val="0"/>
              <w:spacing w:before="0" w:after="283"/>
              <w:jc w:val="left"/>
              <w:rPr>
                <w:sz w:val="4"/>
                <w:szCs w:val="4"/>
              </w:rPr>
            </w:pPr>
            <w:r>
              <w:rPr>
                <w:sz w:val="4"/>
                <w:szCs w:val="4"/>
              </w:rPr>
            </w:r>
          </w:p>
        </w:tc>
      </w:tr>
      <w:tr>
        <w:trPr/>
        <w:tc>
          <w:tcPr>
            <w:tcW w:w="730" w:type="dxa"/>
            <w:tcBorders/>
          </w:tcPr>
          <w:p>
            <w:pPr>
              <w:pStyle w:val="TableContents"/>
              <w:bidi w:val="0"/>
              <w:spacing w:before="0" w:after="283"/>
              <w:jc w:val="left"/>
              <w:rPr/>
            </w:pPr>
            <w:r>
              <w:rPr/>
              <w:t>By:</w:t>
            </w:r>
          </w:p>
        </w:tc>
        <w:tc>
          <w:tcPr>
            <w:tcW w:w="136" w:type="dxa"/>
            <w:tcBorders/>
            <w:vAlign w:val="bottom"/>
          </w:tcPr>
          <w:p>
            <w:pPr>
              <w:pStyle w:val="TableContents"/>
              <w:bidi w:val="0"/>
              <w:spacing w:before="0" w:after="283"/>
              <w:jc w:val="left"/>
              <w:rPr/>
            </w:pPr>
            <w:r>
              <w:rPr/>
              <w:t> </w:t>
            </w:r>
          </w:p>
        </w:tc>
        <w:tc>
          <w:tcPr>
            <w:tcW w:w="3216" w:type="dxa"/>
            <w:tcBorders/>
          </w:tcPr>
          <w:p>
            <w:pPr>
              <w:pStyle w:val="TableContents"/>
              <w:pBdr>
                <w:bottom w:val="single" w:sz="2" w:space="1" w:color="000000"/>
              </w:pBdr>
              <w:bidi w:val="0"/>
              <w:spacing w:before="0" w:after="20"/>
              <w:jc w:val="left"/>
              <w:rPr/>
            </w:pPr>
            <w:r>
              <w:rPr/>
              <w:t> </w:t>
            </w:r>
          </w:p>
        </w:tc>
      </w:tr>
      <w:tr>
        <w:trPr/>
        <w:tc>
          <w:tcPr>
            <w:tcW w:w="730"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3216" w:type="dxa"/>
            <w:tcBorders/>
          </w:tcPr>
          <w:p>
            <w:pPr>
              <w:pStyle w:val="TableContents"/>
              <w:bidi w:val="0"/>
              <w:spacing w:before="0" w:after="283"/>
              <w:jc w:val="left"/>
              <w:rPr/>
            </w:pPr>
            <w:r>
              <w:rPr/>
              <w:t>Name:</w:t>
            </w:r>
          </w:p>
        </w:tc>
      </w:tr>
      <w:tr>
        <w:trPr/>
        <w:tc>
          <w:tcPr>
            <w:tcW w:w="730"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3216" w:type="dxa"/>
            <w:tcBorders/>
          </w:tcPr>
          <w:p>
            <w:pPr>
              <w:pStyle w:val="TableContents"/>
              <w:bidi w:val="0"/>
              <w:spacing w:before="0" w:after="283"/>
              <w:jc w:val="left"/>
              <w:rPr/>
            </w:pPr>
            <w:r>
              <w:rPr/>
              <w:t>Its: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p>
    <w:p>
      <w:pPr>
        <w:pStyle w:val="TextBody"/>
        <w:bidi w:val="0"/>
        <w:spacing w:before="0" w:after="0"/>
        <w:jc w:val="right"/>
        <w:rPr>
          <w:rFonts w:ascii="Times New Roman" w:hAnsi="Times New Roman"/>
          <w:b/>
          <w:sz w:val="20"/>
        </w:rPr>
      </w:pPr>
      <w:bookmarkStart w:id="32" w:name="d79008dex413.htm"/>
      <w:bookmarkStart w:id="33" w:name="ksd79008dex413"/>
      <w:bookmarkEnd w:id="32"/>
      <w:bookmarkEnd w:id="33"/>
      <w:r>
        <w:rPr>
          <w:rFonts w:ascii="Times New Roman" w:hAnsi="Times New Roman"/>
          <w:b/>
          <w:sz w:val="20"/>
        </w:rPr>
        <w:t xml:space="preserve">Exhibit 4.13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ELEDON PHARMACEUTICALS, INC. </w:t>
      </w:r>
    </w:p>
    <w:p>
      <w:pPr>
        <w:pStyle w:val="TextBody"/>
        <w:bidi w:val="0"/>
        <w:spacing w:before="24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 20 </w:t>
      </w:r>
    </w:p>
    <w:p>
      <w:pPr>
        <w:pStyle w:val="TextBody"/>
        <w:bidi w:val="0"/>
        <w:spacing w:before="240" w:after="0"/>
        <w:jc w:val="center"/>
        <w:rPr>
          <w:rFonts w:ascii="Times New Roman" w:hAnsi="Times New Roman"/>
          <w:b/>
          <w:sz w:val="16"/>
        </w:rPr>
      </w:pPr>
      <w:r>
        <w:rPr>
          <w:rFonts w:ascii="Times New Roman" w:hAnsi="Times New Roman"/>
          <w:b/>
          <w:sz w:val="16"/>
        </w:rPr>
        <w:t xml:space="preserve">[    ] </w:t>
      </w:r>
    </w:p>
    <w:p>
      <w:pPr>
        <w:pStyle w:val="TextBody"/>
        <w:bidi w:val="0"/>
        <w:spacing w:before="240" w:after="0"/>
        <w:jc w:val="center"/>
        <w:rPr>
          <w:rFonts w:ascii="Times New Roman" w:hAnsi="Times New Roman"/>
          <w:sz w:val="20"/>
        </w:rPr>
      </w:pPr>
      <w:r>
        <w:rPr>
          <w:rFonts w:ascii="Times New Roman" w:hAnsi="Times New Roman"/>
          <w:sz w:val="20"/>
        </w:rPr>
        <w:t xml:space="preserve">Trustee </w:t>
      </w:r>
    </w:p>
    <w:p>
      <w:pPr>
        <w:pStyle w:val="TextBody"/>
        <w:bidi w:val="0"/>
        <w:spacing w:before="240" w:after="0"/>
        <w:jc w:val="center"/>
        <w:rPr>
          <w:rFonts w:ascii="Times New Roman" w:hAnsi="Times New Roman"/>
          <w:b/>
          <w:sz w:val="20"/>
        </w:rPr>
      </w:pPr>
      <w:r>
        <w:rPr>
          <w:rFonts w:ascii="Times New Roman" w:hAnsi="Times New Roman"/>
          <w:b/>
          <w:sz w:val="20"/>
        </w:rPr>
        <w:t xml:space="preserve">Subordinated Securities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52"/>
        <w:gridCol w:w="84"/>
        <w:gridCol w:w="8181"/>
        <w:gridCol w:w="140"/>
        <w:gridCol w:w="90"/>
        <w:gridCol w:w="395"/>
        <w:gridCol w:w="63"/>
      </w:tblGrid>
      <w:tr>
        <w:trPr/>
        <w:tc>
          <w:tcPr>
            <w:tcW w:w="1252"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8181"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25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c>
          <w:tcPr>
            <w:tcW w:w="951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 AND INCORPORATION BY REFERENCE</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1252" w:type="dxa"/>
            <w:tcBorders/>
            <w:vAlign w:val="center"/>
          </w:tcPr>
          <w:p>
            <w:pPr>
              <w:pStyle w:val="TableContents"/>
              <w:bidi w:val="0"/>
              <w:spacing w:before="0" w:after="283"/>
              <w:jc w:val="left"/>
              <w:rPr>
                <w:sz w:val="4"/>
                <w:szCs w:val="4"/>
              </w:rPr>
            </w:pPr>
            <w:r>
              <w:rPr>
                <w:sz w:val="4"/>
                <w:szCs w:val="4"/>
              </w:rPr>
            </w:r>
          </w:p>
        </w:tc>
        <w:tc>
          <w:tcPr>
            <w:tcW w:w="8265" w:type="dxa"/>
            <w:gridSpan w:val="2"/>
            <w:tcBorders/>
            <w:vAlign w:val="center"/>
          </w:tcPr>
          <w:p>
            <w:pPr>
              <w:pStyle w:val="TableContents"/>
              <w:bidi w:val="0"/>
              <w:spacing w:before="0" w:after="283"/>
              <w:jc w:val="left"/>
              <w:rPr>
                <w:sz w:val="4"/>
                <w:szCs w:val="4"/>
              </w:rPr>
            </w:pPr>
            <w:r>
              <w:rPr>
                <w:sz w:val="4"/>
                <w:szCs w:val="4"/>
              </w:rPr>
            </w:r>
          </w:p>
        </w:tc>
        <w:tc>
          <w:tcPr>
            <w:tcW w:w="688" w:type="dxa"/>
            <w:gridSpan w:val="4"/>
            <w:tcBorders/>
            <w:vAlign w:val="center"/>
          </w:tcPr>
          <w:p>
            <w:pPr>
              <w:pStyle w:val="TableContents"/>
              <w:bidi w:val="0"/>
              <w:spacing w:before="0" w:after="283"/>
              <w:jc w:val="left"/>
              <w:rPr>
                <w:sz w:val="4"/>
                <w:szCs w:val="4"/>
              </w:rPr>
            </w:pPr>
            <w:r>
              <w:rPr>
                <w:sz w:val="4"/>
                <w:szCs w:val="4"/>
              </w:rPr>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Definitions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Other Definitions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Incorporation by Reference of Trust Indenture Act</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1.4.</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Rules of Construction</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rHeight w:val="120" w:hRule="atLeast"/>
        </w:trPr>
        <w:tc>
          <w:tcPr>
            <w:tcW w:w="9517" w:type="dxa"/>
            <w:gridSpan w:val="3"/>
            <w:tcBorders/>
            <w:vAlign w:val="center"/>
          </w:tcPr>
          <w:p>
            <w:pPr>
              <w:pStyle w:val="TableContents"/>
              <w:bidi w:val="0"/>
              <w:spacing w:before="0" w:after="283"/>
              <w:jc w:val="left"/>
              <w:rPr>
                <w:sz w:val="4"/>
                <w:szCs w:val="4"/>
              </w:rPr>
            </w:pPr>
            <w:r>
              <w:rPr>
                <w:sz w:val="4"/>
                <w:szCs w:val="4"/>
              </w:rPr>
            </w:r>
          </w:p>
        </w:tc>
        <w:tc>
          <w:tcPr>
            <w:tcW w:w="688" w:type="dxa"/>
            <w:gridSpan w:val="4"/>
            <w:tcBorders/>
            <w:vAlign w:val="center"/>
          </w:tcPr>
          <w:p>
            <w:pPr>
              <w:pStyle w:val="TableContents"/>
              <w:bidi w:val="0"/>
              <w:spacing w:before="0" w:after="283"/>
              <w:jc w:val="left"/>
              <w:rPr>
                <w:sz w:val="4"/>
                <w:szCs w:val="4"/>
              </w:rPr>
            </w:pPr>
            <w:r>
              <w:rPr>
                <w:sz w:val="4"/>
                <w:szCs w:val="4"/>
              </w:rPr>
            </w:r>
          </w:p>
        </w:tc>
      </w:tr>
      <w:tr>
        <w:trPr/>
        <w:tc>
          <w:tcPr>
            <w:tcW w:w="951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THE SECURITIES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20" w:hRule="atLeast"/>
        </w:trPr>
        <w:tc>
          <w:tcPr>
            <w:tcW w:w="1252" w:type="dxa"/>
            <w:tcBorders/>
            <w:vAlign w:val="center"/>
          </w:tcPr>
          <w:p>
            <w:pPr>
              <w:pStyle w:val="TableContents"/>
              <w:bidi w:val="0"/>
              <w:spacing w:before="0" w:after="283"/>
              <w:jc w:val="left"/>
              <w:rPr>
                <w:sz w:val="4"/>
                <w:szCs w:val="4"/>
              </w:rPr>
            </w:pPr>
            <w:r>
              <w:rPr>
                <w:sz w:val="4"/>
                <w:szCs w:val="4"/>
              </w:rPr>
            </w:r>
          </w:p>
        </w:tc>
        <w:tc>
          <w:tcPr>
            <w:tcW w:w="8265" w:type="dxa"/>
            <w:gridSpan w:val="2"/>
            <w:tcBorders/>
            <w:vAlign w:val="center"/>
          </w:tcPr>
          <w:p>
            <w:pPr>
              <w:pStyle w:val="TableContents"/>
              <w:bidi w:val="0"/>
              <w:spacing w:before="0" w:after="283"/>
              <w:jc w:val="left"/>
              <w:rPr>
                <w:sz w:val="4"/>
                <w:szCs w:val="4"/>
              </w:rPr>
            </w:pPr>
            <w:r>
              <w:rPr>
                <w:sz w:val="4"/>
                <w:szCs w:val="4"/>
              </w:rPr>
            </w:r>
          </w:p>
        </w:tc>
        <w:tc>
          <w:tcPr>
            <w:tcW w:w="688" w:type="dxa"/>
            <w:gridSpan w:val="4"/>
            <w:tcBorders/>
            <w:vAlign w:val="center"/>
          </w:tcPr>
          <w:p>
            <w:pPr>
              <w:pStyle w:val="TableContents"/>
              <w:bidi w:val="0"/>
              <w:spacing w:before="0" w:after="283"/>
              <w:jc w:val="left"/>
              <w:rPr>
                <w:sz w:val="4"/>
                <w:szCs w:val="4"/>
              </w:rPr>
            </w:pPr>
            <w:r>
              <w:rPr>
                <w:sz w:val="4"/>
                <w:szCs w:val="4"/>
              </w:rPr>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Issuable in Series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Establishment of Terms of Series of Securities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Denominations; Provision for Payment</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Execution and Authentication</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Registrar and Paying Agent</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2.6.</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Paying Agent to Hold Money in Trust</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2.7.</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Securityholder Lists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2.8.</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Transfer and Exchange</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2.9.</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Mutilated, Destroyed, Lost and Stolen Securities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Outstanding Securities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Treasury Securities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Temporary Securities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Cancellation</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Defaulted Interest</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Global Securities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2.16.</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CUSIP Numbers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2.17.</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Evidence of Ownership</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9517" w:type="dxa"/>
            <w:gridSpan w:val="3"/>
            <w:tcBorders/>
            <w:vAlign w:val="center"/>
          </w:tcPr>
          <w:p>
            <w:pPr>
              <w:pStyle w:val="TableContents"/>
              <w:bidi w:val="0"/>
              <w:spacing w:before="0" w:after="283"/>
              <w:jc w:val="left"/>
              <w:rPr>
                <w:sz w:val="4"/>
                <w:szCs w:val="4"/>
              </w:rPr>
            </w:pPr>
            <w:r>
              <w:rPr>
                <w:sz w:val="4"/>
                <w:szCs w:val="4"/>
              </w:rPr>
            </w:r>
          </w:p>
        </w:tc>
        <w:tc>
          <w:tcPr>
            <w:tcW w:w="688" w:type="dxa"/>
            <w:gridSpan w:val="4"/>
            <w:tcBorders/>
            <w:vAlign w:val="center"/>
          </w:tcPr>
          <w:p>
            <w:pPr>
              <w:pStyle w:val="TableContents"/>
              <w:bidi w:val="0"/>
              <w:spacing w:before="0" w:after="283"/>
              <w:jc w:val="left"/>
              <w:rPr>
                <w:sz w:val="4"/>
                <w:szCs w:val="4"/>
              </w:rPr>
            </w:pPr>
            <w:r>
              <w:rPr>
                <w:sz w:val="4"/>
                <w:szCs w:val="4"/>
              </w:rPr>
            </w:r>
          </w:p>
        </w:tc>
      </w:tr>
      <w:tr>
        <w:trPr/>
        <w:tc>
          <w:tcPr>
            <w:tcW w:w="951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REDEMPTION</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120" w:hRule="atLeast"/>
        </w:trPr>
        <w:tc>
          <w:tcPr>
            <w:tcW w:w="1252" w:type="dxa"/>
            <w:tcBorders/>
            <w:vAlign w:val="center"/>
          </w:tcPr>
          <w:p>
            <w:pPr>
              <w:pStyle w:val="TableContents"/>
              <w:bidi w:val="0"/>
              <w:spacing w:before="0" w:after="283"/>
              <w:jc w:val="left"/>
              <w:rPr>
                <w:sz w:val="4"/>
                <w:szCs w:val="4"/>
              </w:rPr>
            </w:pPr>
            <w:r>
              <w:rPr>
                <w:sz w:val="4"/>
                <w:szCs w:val="4"/>
              </w:rPr>
            </w:r>
          </w:p>
        </w:tc>
        <w:tc>
          <w:tcPr>
            <w:tcW w:w="8265" w:type="dxa"/>
            <w:gridSpan w:val="2"/>
            <w:tcBorders/>
            <w:vAlign w:val="center"/>
          </w:tcPr>
          <w:p>
            <w:pPr>
              <w:pStyle w:val="TableContents"/>
              <w:bidi w:val="0"/>
              <w:spacing w:before="0" w:after="283"/>
              <w:jc w:val="left"/>
              <w:rPr>
                <w:sz w:val="4"/>
                <w:szCs w:val="4"/>
              </w:rPr>
            </w:pPr>
            <w:r>
              <w:rPr>
                <w:sz w:val="4"/>
                <w:szCs w:val="4"/>
              </w:rPr>
            </w:r>
          </w:p>
        </w:tc>
        <w:tc>
          <w:tcPr>
            <w:tcW w:w="688" w:type="dxa"/>
            <w:gridSpan w:val="4"/>
            <w:tcBorders/>
            <w:vAlign w:val="center"/>
          </w:tcPr>
          <w:p>
            <w:pPr>
              <w:pStyle w:val="TableContents"/>
              <w:bidi w:val="0"/>
              <w:spacing w:before="0" w:after="283"/>
              <w:jc w:val="left"/>
              <w:rPr>
                <w:sz w:val="4"/>
                <w:szCs w:val="4"/>
              </w:rPr>
            </w:pPr>
            <w:r>
              <w:rPr>
                <w:sz w:val="4"/>
                <w:szCs w:val="4"/>
              </w:rPr>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Notice to Trustee</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Selection of Securities to be Redeemed</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Notice of Redemption</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Effect of Notice of Redemption</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3.5.</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Deposit of Redemption Price</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3.6.</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Securities Redeemed in Part</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9517" w:type="dxa"/>
            <w:gridSpan w:val="3"/>
            <w:tcBorders/>
            <w:vAlign w:val="center"/>
          </w:tcPr>
          <w:p>
            <w:pPr>
              <w:pStyle w:val="TableContents"/>
              <w:bidi w:val="0"/>
              <w:spacing w:before="0" w:after="283"/>
              <w:jc w:val="left"/>
              <w:rPr>
                <w:sz w:val="4"/>
                <w:szCs w:val="4"/>
              </w:rPr>
            </w:pPr>
            <w:r>
              <w:rPr>
                <w:sz w:val="4"/>
                <w:szCs w:val="4"/>
              </w:rPr>
            </w:r>
          </w:p>
        </w:tc>
        <w:tc>
          <w:tcPr>
            <w:tcW w:w="688" w:type="dxa"/>
            <w:gridSpan w:val="4"/>
            <w:tcBorders/>
            <w:vAlign w:val="center"/>
          </w:tcPr>
          <w:p>
            <w:pPr>
              <w:pStyle w:val="TableContents"/>
              <w:bidi w:val="0"/>
              <w:spacing w:before="0" w:after="283"/>
              <w:jc w:val="left"/>
              <w:rPr>
                <w:sz w:val="4"/>
                <w:szCs w:val="4"/>
              </w:rPr>
            </w:pPr>
            <w:r>
              <w:rPr>
                <w:sz w:val="4"/>
                <w:szCs w:val="4"/>
              </w:rPr>
            </w:r>
          </w:p>
        </w:tc>
      </w:tr>
      <w:tr>
        <w:trPr/>
        <w:tc>
          <w:tcPr>
            <w:tcW w:w="951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COVENANTS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1252" w:type="dxa"/>
            <w:tcBorders/>
            <w:vAlign w:val="center"/>
          </w:tcPr>
          <w:p>
            <w:pPr>
              <w:pStyle w:val="TableContents"/>
              <w:bidi w:val="0"/>
              <w:spacing w:before="0" w:after="283"/>
              <w:jc w:val="left"/>
              <w:rPr>
                <w:sz w:val="4"/>
                <w:szCs w:val="4"/>
              </w:rPr>
            </w:pPr>
            <w:r>
              <w:rPr>
                <w:sz w:val="4"/>
                <w:szCs w:val="4"/>
              </w:rPr>
            </w:r>
          </w:p>
        </w:tc>
        <w:tc>
          <w:tcPr>
            <w:tcW w:w="8265" w:type="dxa"/>
            <w:gridSpan w:val="2"/>
            <w:tcBorders/>
            <w:vAlign w:val="center"/>
          </w:tcPr>
          <w:p>
            <w:pPr>
              <w:pStyle w:val="TableContents"/>
              <w:bidi w:val="0"/>
              <w:spacing w:before="0" w:after="283"/>
              <w:jc w:val="left"/>
              <w:rPr>
                <w:sz w:val="4"/>
                <w:szCs w:val="4"/>
              </w:rPr>
            </w:pPr>
            <w:r>
              <w:rPr>
                <w:sz w:val="4"/>
                <w:szCs w:val="4"/>
              </w:rPr>
            </w:r>
          </w:p>
        </w:tc>
        <w:tc>
          <w:tcPr>
            <w:tcW w:w="688" w:type="dxa"/>
            <w:gridSpan w:val="4"/>
            <w:tcBorders/>
            <w:vAlign w:val="center"/>
          </w:tcPr>
          <w:p>
            <w:pPr>
              <w:pStyle w:val="TableContents"/>
              <w:bidi w:val="0"/>
              <w:spacing w:before="0" w:after="283"/>
              <w:jc w:val="left"/>
              <w:rPr>
                <w:sz w:val="4"/>
                <w:szCs w:val="4"/>
              </w:rPr>
            </w:pPr>
            <w:r>
              <w:rPr>
                <w:sz w:val="4"/>
                <w:szCs w:val="4"/>
              </w:rPr>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Payment of Principal and Interest</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Reports by Company</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Compliance Certificate</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Stay, Extension and Usury Laws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4.5.</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Corporate Existence</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9517" w:type="dxa"/>
            <w:gridSpan w:val="3"/>
            <w:tcBorders/>
            <w:vAlign w:val="center"/>
          </w:tcPr>
          <w:p>
            <w:pPr>
              <w:pStyle w:val="TableContents"/>
              <w:bidi w:val="0"/>
              <w:spacing w:before="0" w:after="283"/>
              <w:jc w:val="left"/>
              <w:rPr>
                <w:sz w:val="4"/>
                <w:szCs w:val="4"/>
              </w:rPr>
            </w:pPr>
            <w:r>
              <w:rPr>
                <w:sz w:val="4"/>
                <w:szCs w:val="4"/>
              </w:rPr>
            </w:r>
          </w:p>
        </w:tc>
        <w:tc>
          <w:tcPr>
            <w:tcW w:w="688" w:type="dxa"/>
            <w:gridSpan w:val="4"/>
            <w:tcBorders/>
            <w:vAlign w:val="center"/>
          </w:tcPr>
          <w:p>
            <w:pPr>
              <w:pStyle w:val="TableContents"/>
              <w:bidi w:val="0"/>
              <w:spacing w:before="0" w:after="283"/>
              <w:jc w:val="left"/>
              <w:rPr>
                <w:sz w:val="4"/>
                <w:szCs w:val="4"/>
              </w:rPr>
            </w:pPr>
            <w:r>
              <w:rPr>
                <w:sz w:val="4"/>
                <w:szCs w:val="4"/>
              </w:rPr>
            </w:r>
          </w:p>
        </w:tc>
      </w:tr>
      <w:tr>
        <w:trPr/>
        <w:tc>
          <w:tcPr>
            <w:tcW w:w="951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SUCCESSORS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1252" w:type="dxa"/>
            <w:tcBorders/>
            <w:vAlign w:val="center"/>
          </w:tcPr>
          <w:p>
            <w:pPr>
              <w:pStyle w:val="TableContents"/>
              <w:bidi w:val="0"/>
              <w:spacing w:before="0" w:after="283"/>
              <w:jc w:val="left"/>
              <w:rPr>
                <w:sz w:val="4"/>
                <w:szCs w:val="4"/>
              </w:rPr>
            </w:pPr>
            <w:r>
              <w:rPr>
                <w:sz w:val="4"/>
                <w:szCs w:val="4"/>
              </w:rPr>
            </w:r>
          </w:p>
        </w:tc>
        <w:tc>
          <w:tcPr>
            <w:tcW w:w="8265" w:type="dxa"/>
            <w:gridSpan w:val="2"/>
            <w:tcBorders/>
            <w:vAlign w:val="center"/>
          </w:tcPr>
          <w:p>
            <w:pPr>
              <w:pStyle w:val="TableContents"/>
              <w:bidi w:val="0"/>
              <w:spacing w:before="0" w:after="283"/>
              <w:jc w:val="left"/>
              <w:rPr>
                <w:sz w:val="4"/>
                <w:szCs w:val="4"/>
              </w:rPr>
            </w:pPr>
            <w:r>
              <w:rPr>
                <w:sz w:val="4"/>
                <w:szCs w:val="4"/>
              </w:rPr>
            </w:r>
          </w:p>
        </w:tc>
        <w:tc>
          <w:tcPr>
            <w:tcW w:w="688" w:type="dxa"/>
            <w:gridSpan w:val="4"/>
            <w:tcBorders/>
            <w:vAlign w:val="center"/>
          </w:tcPr>
          <w:p>
            <w:pPr>
              <w:pStyle w:val="TableContents"/>
              <w:bidi w:val="0"/>
              <w:spacing w:before="0" w:after="283"/>
              <w:jc w:val="left"/>
              <w:rPr>
                <w:sz w:val="4"/>
                <w:szCs w:val="4"/>
              </w:rPr>
            </w:pPr>
            <w:r>
              <w:rPr>
                <w:sz w:val="4"/>
                <w:szCs w:val="4"/>
              </w:rPr>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Consolidation, Merger and Sale of Assets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Successor Person Substituted</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9517" w:type="dxa"/>
            <w:gridSpan w:val="3"/>
            <w:tcBorders/>
            <w:vAlign w:val="center"/>
          </w:tcPr>
          <w:p>
            <w:pPr>
              <w:pStyle w:val="TableContents"/>
              <w:bidi w:val="0"/>
              <w:spacing w:before="0" w:after="283"/>
              <w:jc w:val="left"/>
              <w:rPr>
                <w:sz w:val="4"/>
                <w:szCs w:val="4"/>
              </w:rPr>
            </w:pPr>
            <w:r>
              <w:rPr>
                <w:sz w:val="4"/>
                <w:szCs w:val="4"/>
              </w:rPr>
            </w:r>
          </w:p>
        </w:tc>
        <w:tc>
          <w:tcPr>
            <w:tcW w:w="688" w:type="dxa"/>
            <w:gridSpan w:val="4"/>
            <w:tcBorders/>
            <w:vAlign w:val="center"/>
          </w:tcPr>
          <w:p>
            <w:pPr>
              <w:pStyle w:val="TableContents"/>
              <w:bidi w:val="0"/>
              <w:spacing w:before="0" w:after="283"/>
              <w:jc w:val="left"/>
              <w:rPr>
                <w:sz w:val="4"/>
                <w:szCs w:val="4"/>
              </w:rPr>
            </w:pPr>
            <w:r>
              <w:rPr>
                <w:sz w:val="4"/>
                <w:szCs w:val="4"/>
              </w:rPr>
            </w:r>
          </w:p>
        </w:tc>
      </w:tr>
      <w:tr>
        <w:trPr/>
        <w:tc>
          <w:tcPr>
            <w:tcW w:w="951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DEFAULTS AND REMEDIES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1252" w:type="dxa"/>
            <w:tcBorders/>
            <w:vAlign w:val="center"/>
          </w:tcPr>
          <w:p>
            <w:pPr>
              <w:pStyle w:val="TableContents"/>
              <w:bidi w:val="0"/>
              <w:spacing w:before="0" w:after="283"/>
              <w:jc w:val="left"/>
              <w:rPr>
                <w:sz w:val="4"/>
                <w:szCs w:val="4"/>
              </w:rPr>
            </w:pPr>
            <w:r>
              <w:rPr>
                <w:sz w:val="4"/>
                <w:szCs w:val="4"/>
              </w:rPr>
            </w:r>
          </w:p>
        </w:tc>
        <w:tc>
          <w:tcPr>
            <w:tcW w:w="8265" w:type="dxa"/>
            <w:gridSpan w:val="2"/>
            <w:tcBorders/>
            <w:vAlign w:val="center"/>
          </w:tcPr>
          <w:p>
            <w:pPr>
              <w:pStyle w:val="TableContents"/>
              <w:bidi w:val="0"/>
              <w:spacing w:before="0" w:after="283"/>
              <w:jc w:val="left"/>
              <w:rPr>
                <w:sz w:val="4"/>
                <w:szCs w:val="4"/>
              </w:rPr>
            </w:pPr>
            <w:r>
              <w:rPr>
                <w:sz w:val="4"/>
                <w:szCs w:val="4"/>
              </w:rPr>
            </w:r>
          </w:p>
        </w:tc>
        <w:tc>
          <w:tcPr>
            <w:tcW w:w="688" w:type="dxa"/>
            <w:gridSpan w:val="4"/>
            <w:tcBorders/>
            <w:vAlign w:val="center"/>
          </w:tcPr>
          <w:p>
            <w:pPr>
              <w:pStyle w:val="TableContents"/>
              <w:bidi w:val="0"/>
              <w:spacing w:before="0" w:after="283"/>
              <w:jc w:val="left"/>
              <w:rPr>
                <w:sz w:val="4"/>
                <w:szCs w:val="4"/>
              </w:rPr>
            </w:pPr>
            <w:r>
              <w:rPr>
                <w:sz w:val="4"/>
                <w:szCs w:val="4"/>
              </w:rPr>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Events of Default</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Acceleration of Maturity; Rescission and Annulment</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Collection of Indebtedness and Suits for Enforcement by Trustee</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Trustee May File Proofs of Claim</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6.5.</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Trustee May Enforce Claims Without Possession of Securities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6.6.</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Application of Money Collected</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6.7.</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Limitation on Suits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6.8.</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Unconditional Right of Holders to Receive Principal and Interest</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6.9.</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Restoration of Rights and Remedies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Rights and Remedies Cumulative</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Delay or Omission Not Waiver</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Control by Holders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6.13.</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Waiver of Past Defaults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1252" w:type="dxa"/>
            <w:tcBorders/>
          </w:tcPr>
          <w:p>
            <w:pPr>
              <w:pStyle w:val="TableContents"/>
              <w:bidi w:val="0"/>
              <w:spacing w:before="0" w:after="0"/>
              <w:jc w:val="left"/>
              <w:rPr>
                <w:rFonts w:ascii="Times New Roman" w:hAnsi="Times New Roman"/>
                <w:sz w:val="20"/>
              </w:rPr>
            </w:pPr>
            <w:r>
              <w:rPr>
                <w:rFonts w:ascii="Times New Roman" w:hAnsi="Times New Roman"/>
                <w:sz w:val="20"/>
              </w:rPr>
              <w:t>Section 6.14.</w:t>
            </w:r>
          </w:p>
        </w:tc>
        <w:tc>
          <w:tcPr>
            <w:tcW w:w="84" w:type="dxa"/>
            <w:tcBorders/>
            <w:vAlign w:val="bottom"/>
          </w:tcPr>
          <w:p>
            <w:pPr>
              <w:pStyle w:val="TableContents"/>
              <w:bidi w:val="0"/>
              <w:spacing w:before="0" w:after="283"/>
              <w:jc w:val="left"/>
              <w:rPr/>
            </w:pPr>
            <w:r>
              <w:rPr/>
              <w:t> </w:t>
            </w:r>
          </w:p>
        </w:tc>
        <w:tc>
          <w:tcPr>
            <w:tcW w:w="8181" w:type="dxa"/>
            <w:tcBorders/>
            <w:vAlign w:val="bottom"/>
          </w:tcPr>
          <w:p>
            <w:pPr>
              <w:pStyle w:val="TableContents"/>
              <w:bidi w:val="0"/>
              <w:spacing w:before="0" w:after="283"/>
              <w:jc w:val="left"/>
              <w:rPr/>
            </w:pPr>
            <w:r>
              <w:rPr/>
              <w:t>Undertaking for Costs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447"/>
        <w:gridCol w:w="95"/>
        <w:gridCol w:w="8136"/>
        <w:gridCol w:w="144"/>
        <w:gridCol w:w="60"/>
        <w:gridCol w:w="260"/>
        <w:gridCol w:w="63"/>
      </w:tblGrid>
      <w:tr>
        <w:trPr/>
        <w:tc>
          <w:tcPr>
            <w:tcW w:w="1447"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8136"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7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TRUSTEE</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120" w:hRule="atLeast"/>
        </w:trPr>
        <w:tc>
          <w:tcPr>
            <w:tcW w:w="1447" w:type="dxa"/>
            <w:tcBorders/>
            <w:vAlign w:val="center"/>
          </w:tcPr>
          <w:p>
            <w:pPr>
              <w:pStyle w:val="TableContents"/>
              <w:bidi w:val="0"/>
              <w:spacing w:before="0" w:after="283"/>
              <w:jc w:val="left"/>
              <w:rPr>
                <w:sz w:val="4"/>
                <w:szCs w:val="4"/>
              </w:rPr>
            </w:pPr>
            <w:r>
              <w:rPr>
                <w:sz w:val="4"/>
                <w:szCs w:val="4"/>
              </w:rPr>
            </w:r>
          </w:p>
        </w:tc>
        <w:tc>
          <w:tcPr>
            <w:tcW w:w="8231" w:type="dxa"/>
            <w:gridSpan w:val="2"/>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Duties of Trustee</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Rights of Trustee</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Individual Rights of Trustee</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Trustee’s Disclaimer</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Notice of Defaults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Reports by Trustee to Holders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7.7.</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Compensation and Indemnity</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7.8.</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Replacement of Trustee</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7.9.</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Successor Trustee by Merger, Etc.</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Eligibility; Disqualification</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Preferential Collection of Claims Against Company</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rHeight w:val="120" w:hRule="atLeast"/>
        </w:trPr>
        <w:tc>
          <w:tcPr>
            <w:tcW w:w="9678" w:type="dxa"/>
            <w:gridSpan w:val="3"/>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967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SATISFACTION AND DISCHARGE; DEFEASANCE</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rHeight w:val="120" w:hRule="atLeast"/>
        </w:trPr>
        <w:tc>
          <w:tcPr>
            <w:tcW w:w="1447" w:type="dxa"/>
            <w:tcBorders/>
            <w:vAlign w:val="center"/>
          </w:tcPr>
          <w:p>
            <w:pPr>
              <w:pStyle w:val="TableContents"/>
              <w:bidi w:val="0"/>
              <w:spacing w:before="0" w:after="283"/>
              <w:jc w:val="left"/>
              <w:rPr>
                <w:sz w:val="4"/>
                <w:szCs w:val="4"/>
              </w:rPr>
            </w:pPr>
            <w:r>
              <w:rPr>
                <w:sz w:val="4"/>
                <w:szCs w:val="4"/>
              </w:rPr>
            </w:r>
          </w:p>
        </w:tc>
        <w:tc>
          <w:tcPr>
            <w:tcW w:w="8231" w:type="dxa"/>
            <w:gridSpan w:val="2"/>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Satisfaction and Discharge of Indenture</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Application of Trust Funds; Indemnification</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Legal Defeasance of Securities of any Series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8.4.</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Covenant Defeasance</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8.5.</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Repayment to Company</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8.6.</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Reinstatement</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9678" w:type="dxa"/>
            <w:gridSpan w:val="3"/>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967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AMENDMENTS AND WAIVERS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1447" w:type="dxa"/>
            <w:tcBorders/>
            <w:vAlign w:val="center"/>
          </w:tcPr>
          <w:p>
            <w:pPr>
              <w:pStyle w:val="TableContents"/>
              <w:bidi w:val="0"/>
              <w:spacing w:before="0" w:after="283"/>
              <w:jc w:val="left"/>
              <w:rPr>
                <w:sz w:val="4"/>
                <w:szCs w:val="4"/>
              </w:rPr>
            </w:pPr>
            <w:r>
              <w:rPr>
                <w:sz w:val="4"/>
                <w:szCs w:val="4"/>
              </w:rPr>
            </w:r>
          </w:p>
        </w:tc>
        <w:tc>
          <w:tcPr>
            <w:tcW w:w="8231" w:type="dxa"/>
            <w:gridSpan w:val="2"/>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Without Consent of Holders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With Consent of Holders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Limitations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9.4.</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Compliance with Trust Indenture Act</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9.5.</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Revocation and Effect of Consents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9.6.</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Notation on or Exchange of Securities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9.7.</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Trustee Protected</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9678" w:type="dxa"/>
            <w:gridSpan w:val="3"/>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967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 MISCELLANEOUS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1447" w:type="dxa"/>
            <w:tcBorders/>
            <w:vAlign w:val="center"/>
          </w:tcPr>
          <w:p>
            <w:pPr>
              <w:pStyle w:val="TableContents"/>
              <w:bidi w:val="0"/>
              <w:spacing w:before="0" w:after="283"/>
              <w:jc w:val="left"/>
              <w:rPr>
                <w:sz w:val="4"/>
                <w:szCs w:val="4"/>
              </w:rPr>
            </w:pPr>
            <w:r>
              <w:rPr>
                <w:sz w:val="4"/>
                <w:szCs w:val="4"/>
              </w:rPr>
            </w:r>
          </w:p>
        </w:tc>
        <w:tc>
          <w:tcPr>
            <w:tcW w:w="8231" w:type="dxa"/>
            <w:gridSpan w:val="2"/>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Trust Indenture Act Controls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Notices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Communication by Holders with Other Holders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Certificate and Opinion as to Conditions Precedent</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Statements Required in Certificate or Opinion</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Rules by Trustee and Agents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Legal Holidays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No Recourse Against Others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Counterparts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10.10.</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Governing Law; Jury Trial Waiver</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10.11.</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No Adverse Interpretation of Other Agreements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10.12.</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Successors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10.13.</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Severability</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10.14.</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Table of Contents, Headings, Etc.</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10.15.</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Securities in a Foreign Currency</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10.16.</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Judgment Currency</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10.17.</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Force Majeure</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10.18.</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U.S.A. Patriot Act</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120" w:hRule="atLeast"/>
        </w:trPr>
        <w:tc>
          <w:tcPr>
            <w:tcW w:w="9678" w:type="dxa"/>
            <w:gridSpan w:val="3"/>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967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 SINKING FUNDS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1447" w:type="dxa"/>
            <w:tcBorders/>
            <w:vAlign w:val="center"/>
          </w:tcPr>
          <w:p>
            <w:pPr>
              <w:pStyle w:val="TableContents"/>
              <w:bidi w:val="0"/>
              <w:spacing w:before="0" w:after="283"/>
              <w:jc w:val="left"/>
              <w:rPr>
                <w:sz w:val="4"/>
                <w:szCs w:val="4"/>
              </w:rPr>
            </w:pPr>
            <w:r>
              <w:rPr>
                <w:sz w:val="4"/>
                <w:szCs w:val="4"/>
              </w:rPr>
            </w:r>
          </w:p>
        </w:tc>
        <w:tc>
          <w:tcPr>
            <w:tcW w:w="8231" w:type="dxa"/>
            <w:gridSpan w:val="2"/>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11.1.</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Applicability of Article</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11.2.</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Satisfaction of Sinking Fund Payments with Securities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11.3.</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Redemption of Securities for Sinking Fund</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9678" w:type="dxa"/>
            <w:gridSpan w:val="3"/>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967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XII. SUBORDINATION OF SECURITIES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120" w:hRule="atLeast"/>
        </w:trPr>
        <w:tc>
          <w:tcPr>
            <w:tcW w:w="1447" w:type="dxa"/>
            <w:tcBorders/>
            <w:vAlign w:val="center"/>
          </w:tcPr>
          <w:p>
            <w:pPr>
              <w:pStyle w:val="TableContents"/>
              <w:bidi w:val="0"/>
              <w:spacing w:before="0" w:after="283"/>
              <w:jc w:val="left"/>
              <w:rPr>
                <w:sz w:val="4"/>
                <w:szCs w:val="4"/>
              </w:rPr>
            </w:pPr>
            <w:r>
              <w:rPr>
                <w:sz w:val="4"/>
                <w:szCs w:val="4"/>
              </w:rPr>
            </w:r>
          </w:p>
        </w:tc>
        <w:tc>
          <w:tcPr>
            <w:tcW w:w="8231" w:type="dxa"/>
            <w:gridSpan w:val="2"/>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1447" w:type="dxa"/>
            <w:tcBorders/>
          </w:tcPr>
          <w:p>
            <w:pPr>
              <w:pStyle w:val="TableContents"/>
              <w:bidi w:val="0"/>
              <w:spacing w:before="0" w:after="0"/>
              <w:jc w:val="left"/>
              <w:rPr>
                <w:rFonts w:ascii="Times New Roman" w:hAnsi="Times New Roman"/>
                <w:sz w:val="20"/>
              </w:rPr>
            </w:pPr>
            <w:r>
              <w:rPr>
                <w:rFonts w:ascii="Times New Roman" w:hAnsi="Times New Roman"/>
                <w:sz w:val="20"/>
              </w:rPr>
              <w:t>Section 12.1.</w:t>
            </w:r>
          </w:p>
        </w:tc>
        <w:tc>
          <w:tcPr>
            <w:tcW w:w="95" w:type="dxa"/>
            <w:tcBorders/>
            <w:vAlign w:val="bottom"/>
          </w:tcPr>
          <w:p>
            <w:pPr>
              <w:pStyle w:val="TableContents"/>
              <w:bidi w:val="0"/>
              <w:spacing w:before="0" w:after="283"/>
              <w:jc w:val="left"/>
              <w:rPr/>
            </w:pPr>
            <w:r>
              <w:rPr/>
              <w:t> </w:t>
            </w:r>
          </w:p>
        </w:tc>
        <w:tc>
          <w:tcPr>
            <w:tcW w:w="8136" w:type="dxa"/>
            <w:tcBorders/>
            <w:vAlign w:val="bottom"/>
          </w:tcPr>
          <w:p>
            <w:pPr>
              <w:pStyle w:val="TableContents"/>
              <w:bidi w:val="0"/>
              <w:spacing w:before="0" w:after="283"/>
              <w:jc w:val="left"/>
              <w:rPr/>
            </w:pPr>
            <w:r>
              <w:rPr/>
              <w:t>Subordination of Terms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ELEDON PHARMACEUTICALS, INC. </w:t>
      </w:r>
    </w:p>
    <w:p>
      <w:pPr>
        <w:pStyle w:val="TextBody"/>
        <w:bidi w:val="0"/>
        <w:spacing w:before="0" w:after="0"/>
        <w:jc w:val="center"/>
        <w:rPr>
          <w:rFonts w:ascii="Times New Roman" w:hAnsi="Times New Roman"/>
          <w:sz w:val="20"/>
        </w:rPr>
      </w:pPr>
      <w:r>
        <w:rPr>
          <w:rFonts w:ascii="Times New Roman" w:hAnsi="Times New Roman"/>
          <w:sz w:val="20"/>
        </w:rPr>
        <w:t xml:space="preserve">Reconciliation and tie between Trust Indenture Act of 1939 and </w:t>
      </w:r>
    </w:p>
    <w:p>
      <w:pPr>
        <w:pStyle w:val="TextBody"/>
        <w:bidi w:val="0"/>
        <w:spacing w:before="0" w:after="0"/>
        <w:jc w:val="center"/>
        <w:rPr>
          <w:rFonts w:ascii="Times New Roman" w:hAnsi="Times New Roman"/>
          <w:sz w:val="20"/>
        </w:rPr>
      </w:pPr>
      <w:r>
        <w:rPr>
          <w:rFonts w:ascii="Times New Roman" w:hAnsi="Times New Roman"/>
          <w:sz w:val="20"/>
        </w:rPr>
        <w:t xml:space="preserve">Indenture, dated as of , 20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09"/>
        <w:gridCol w:w="132"/>
        <w:gridCol w:w="6613"/>
        <w:gridCol w:w="132"/>
        <w:gridCol w:w="1519"/>
      </w:tblGrid>
      <w:tr>
        <w:trPr/>
        <w:tc>
          <w:tcPr>
            <w:tcW w:w="1809"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613"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809" w:type="dxa"/>
            <w:tcBorders/>
          </w:tcPr>
          <w:p>
            <w:pPr>
              <w:pStyle w:val="TableContents"/>
              <w:bidi w:val="0"/>
              <w:spacing w:before="0" w:after="283"/>
              <w:jc w:val="right"/>
              <w:rPr/>
            </w:pPr>
            <w:r>
              <w:rPr/>
              <w:t>§ 310(a)(1)</w:t>
            </w:r>
          </w:p>
        </w:tc>
        <w:tc>
          <w:tcPr>
            <w:tcW w:w="132" w:type="dxa"/>
            <w:tcBorders/>
            <w:vAlign w:val="bottom"/>
          </w:tcPr>
          <w:p>
            <w:pPr>
              <w:pStyle w:val="TableContents"/>
              <w:bidi w:val="0"/>
              <w:spacing w:before="0" w:after="283"/>
              <w:jc w:val="left"/>
              <w:rPr/>
            </w:pPr>
            <w:r>
              <w:rPr/>
              <w:t>  </w:t>
            </w:r>
          </w:p>
        </w:tc>
        <w:tc>
          <w:tcPr>
            <w:tcW w:w="661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9" w:type="dxa"/>
            <w:tcBorders/>
          </w:tcPr>
          <w:p>
            <w:pPr>
              <w:pStyle w:val="TableContents"/>
              <w:bidi w:val="0"/>
              <w:spacing w:before="0" w:after="283"/>
              <w:jc w:val="left"/>
              <w:rPr/>
            </w:pPr>
            <w:r>
              <w:rPr/>
              <w:t>7.10</w:t>
            </w:r>
          </w:p>
        </w:tc>
      </w:tr>
      <w:tr>
        <w:trPr/>
        <w:tc>
          <w:tcPr>
            <w:tcW w:w="1809" w:type="dxa"/>
            <w:tcBorders/>
          </w:tcPr>
          <w:p>
            <w:pPr>
              <w:pStyle w:val="TableContents"/>
              <w:bidi w:val="0"/>
              <w:spacing w:before="0" w:after="283"/>
              <w:jc w:val="right"/>
              <w:rPr/>
            </w:pPr>
            <w:r>
              <w:rPr/>
              <w:t>(a)(2)</w:t>
            </w:r>
          </w:p>
        </w:tc>
        <w:tc>
          <w:tcPr>
            <w:tcW w:w="132" w:type="dxa"/>
            <w:tcBorders/>
            <w:vAlign w:val="bottom"/>
          </w:tcPr>
          <w:p>
            <w:pPr>
              <w:pStyle w:val="TableContents"/>
              <w:bidi w:val="0"/>
              <w:spacing w:before="0" w:after="283"/>
              <w:jc w:val="left"/>
              <w:rPr/>
            </w:pPr>
            <w:r>
              <w:rPr/>
              <w:t>  </w:t>
            </w:r>
          </w:p>
        </w:tc>
        <w:tc>
          <w:tcPr>
            <w:tcW w:w="661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9" w:type="dxa"/>
            <w:tcBorders/>
          </w:tcPr>
          <w:p>
            <w:pPr>
              <w:pStyle w:val="TableContents"/>
              <w:bidi w:val="0"/>
              <w:spacing w:before="0" w:after="283"/>
              <w:jc w:val="left"/>
              <w:rPr/>
            </w:pPr>
            <w:r>
              <w:rPr/>
              <w:t>7.10</w:t>
            </w:r>
          </w:p>
        </w:tc>
      </w:tr>
      <w:tr>
        <w:trPr/>
        <w:tc>
          <w:tcPr>
            <w:tcW w:w="1809" w:type="dxa"/>
            <w:tcBorders/>
          </w:tcPr>
          <w:p>
            <w:pPr>
              <w:pStyle w:val="TableContents"/>
              <w:bidi w:val="0"/>
              <w:spacing w:before="0" w:after="283"/>
              <w:jc w:val="right"/>
              <w:rPr/>
            </w:pPr>
            <w:r>
              <w:rPr/>
              <w:t>(a)(3)</w:t>
            </w:r>
          </w:p>
        </w:tc>
        <w:tc>
          <w:tcPr>
            <w:tcW w:w="132" w:type="dxa"/>
            <w:tcBorders/>
            <w:vAlign w:val="bottom"/>
          </w:tcPr>
          <w:p>
            <w:pPr>
              <w:pStyle w:val="TableContents"/>
              <w:bidi w:val="0"/>
              <w:spacing w:before="0" w:after="283"/>
              <w:jc w:val="left"/>
              <w:rPr/>
            </w:pPr>
            <w:r>
              <w:rPr/>
              <w:t>  </w:t>
            </w:r>
          </w:p>
        </w:tc>
        <w:tc>
          <w:tcPr>
            <w:tcW w:w="661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9" w:type="dxa"/>
            <w:tcBorders/>
          </w:tcPr>
          <w:p>
            <w:pPr>
              <w:pStyle w:val="TableContents"/>
              <w:bidi w:val="0"/>
              <w:spacing w:before="0" w:after="283"/>
              <w:jc w:val="left"/>
              <w:rPr/>
            </w:pPr>
            <w:r>
              <w:rPr/>
              <w:t>Not Applicable</w:t>
            </w:r>
          </w:p>
        </w:tc>
      </w:tr>
      <w:tr>
        <w:trPr/>
        <w:tc>
          <w:tcPr>
            <w:tcW w:w="1809" w:type="dxa"/>
            <w:tcBorders/>
          </w:tcPr>
          <w:p>
            <w:pPr>
              <w:pStyle w:val="TableContents"/>
              <w:bidi w:val="0"/>
              <w:spacing w:before="0" w:after="283"/>
              <w:jc w:val="right"/>
              <w:rPr/>
            </w:pPr>
            <w:r>
              <w:rPr/>
              <w:t>(a)(4)</w:t>
            </w:r>
          </w:p>
        </w:tc>
        <w:tc>
          <w:tcPr>
            <w:tcW w:w="132" w:type="dxa"/>
            <w:tcBorders/>
            <w:vAlign w:val="bottom"/>
          </w:tcPr>
          <w:p>
            <w:pPr>
              <w:pStyle w:val="TableContents"/>
              <w:bidi w:val="0"/>
              <w:spacing w:before="0" w:after="283"/>
              <w:jc w:val="left"/>
              <w:rPr/>
            </w:pPr>
            <w:r>
              <w:rPr/>
              <w:t>  </w:t>
            </w:r>
          </w:p>
        </w:tc>
        <w:tc>
          <w:tcPr>
            <w:tcW w:w="661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9" w:type="dxa"/>
            <w:tcBorders/>
          </w:tcPr>
          <w:p>
            <w:pPr>
              <w:pStyle w:val="TableContents"/>
              <w:bidi w:val="0"/>
              <w:spacing w:before="0" w:after="283"/>
              <w:jc w:val="left"/>
              <w:rPr/>
            </w:pPr>
            <w:r>
              <w:rPr/>
              <w:t>Not Applicable</w:t>
            </w:r>
          </w:p>
        </w:tc>
      </w:tr>
      <w:tr>
        <w:trPr/>
        <w:tc>
          <w:tcPr>
            <w:tcW w:w="1809" w:type="dxa"/>
            <w:tcBorders/>
          </w:tcPr>
          <w:p>
            <w:pPr>
              <w:pStyle w:val="TableContents"/>
              <w:bidi w:val="0"/>
              <w:spacing w:before="0" w:after="283"/>
              <w:jc w:val="right"/>
              <w:rPr/>
            </w:pPr>
            <w:r>
              <w:rPr/>
              <w:t>(a)(5)</w:t>
            </w:r>
          </w:p>
        </w:tc>
        <w:tc>
          <w:tcPr>
            <w:tcW w:w="132" w:type="dxa"/>
            <w:tcBorders/>
            <w:vAlign w:val="bottom"/>
          </w:tcPr>
          <w:p>
            <w:pPr>
              <w:pStyle w:val="TableContents"/>
              <w:bidi w:val="0"/>
              <w:spacing w:before="0" w:after="283"/>
              <w:jc w:val="left"/>
              <w:rPr/>
            </w:pPr>
            <w:r>
              <w:rPr/>
              <w:t>  </w:t>
            </w:r>
          </w:p>
        </w:tc>
        <w:tc>
          <w:tcPr>
            <w:tcW w:w="661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9" w:type="dxa"/>
            <w:tcBorders/>
          </w:tcPr>
          <w:p>
            <w:pPr>
              <w:pStyle w:val="TableContents"/>
              <w:bidi w:val="0"/>
              <w:spacing w:before="0" w:after="283"/>
              <w:jc w:val="left"/>
              <w:rPr/>
            </w:pPr>
            <w:r>
              <w:rPr/>
              <w:t>7.10</w:t>
            </w:r>
          </w:p>
        </w:tc>
      </w:tr>
      <w:tr>
        <w:trPr/>
        <w:tc>
          <w:tcPr>
            <w:tcW w:w="1809" w:type="dxa"/>
            <w:tcBorders/>
          </w:tcPr>
          <w:p>
            <w:pPr>
              <w:pStyle w:val="TableContents"/>
              <w:bidi w:val="0"/>
              <w:spacing w:before="0" w:after="283"/>
              <w:jc w:val="right"/>
              <w:rPr/>
            </w:pPr>
            <w:r>
              <w:rPr/>
              <w:t>(b)</w:t>
            </w:r>
          </w:p>
        </w:tc>
        <w:tc>
          <w:tcPr>
            <w:tcW w:w="132" w:type="dxa"/>
            <w:tcBorders/>
            <w:vAlign w:val="bottom"/>
          </w:tcPr>
          <w:p>
            <w:pPr>
              <w:pStyle w:val="TableContents"/>
              <w:bidi w:val="0"/>
              <w:spacing w:before="0" w:after="283"/>
              <w:jc w:val="left"/>
              <w:rPr/>
            </w:pPr>
            <w:r>
              <w:rPr/>
              <w:t>  </w:t>
            </w:r>
          </w:p>
        </w:tc>
        <w:tc>
          <w:tcPr>
            <w:tcW w:w="661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9" w:type="dxa"/>
            <w:tcBorders/>
          </w:tcPr>
          <w:p>
            <w:pPr>
              <w:pStyle w:val="TableContents"/>
              <w:bidi w:val="0"/>
              <w:spacing w:before="0" w:after="283"/>
              <w:jc w:val="left"/>
              <w:rPr/>
            </w:pPr>
            <w:r>
              <w:rPr/>
              <w:t>7.10</w:t>
            </w:r>
          </w:p>
        </w:tc>
      </w:tr>
      <w:tr>
        <w:trPr/>
        <w:tc>
          <w:tcPr>
            <w:tcW w:w="1809" w:type="dxa"/>
            <w:tcBorders/>
          </w:tcPr>
          <w:p>
            <w:pPr>
              <w:pStyle w:val="TableContents"/>
              <w:bidi w:val="0"/>
              <w:spacing w:before="0" w:after="283"/>
              <w:jc w:val="right"/>
              <w:rPr/>
            </w:pPr>
            <w:r>
              <w:rPr/>
              <w:t>§ 311(a)</w:t>
            </w:r>
          </w:p>
        </w:tc>
        <w:tc>
          <w:tcPr>
            <w:tcW w:w="132" w:type="dxa"/>
            <w:tcBorders/>
            <w:vAlign w:val="bottom"/>
          </w:tcPr>
          <w:p>
            <w:pPr>
              <w:pStyle w:val="TableContents"/>
              <w:bidi w:val="0"/>
              <w:spacing w:before="0" w:after="283"/>
              <w:jc w:val="left"/>
              <w:rPr/>
            </w:pPr>
            <w:r>
              <w:rPr/>
              <w:t>  </w:t>
            </w:r>
          </w:p>
        </w:tc>
        <w:tc>
          <w:tcPr>
            <w:tcW w:w="661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9" w:type="dxa"/>
            <w:tcBorders/>
          </w:tcPr>
          <w:p>
            <w:pPr>
              <w:pStyle w:val="TableContents"/>
              <w:bidi w:val="0"/>
              <w:spacing w:before="0" w:after="283"/>
              <w:jc w:val="left"/>
              <w:rPr/>
            </w:pPr>
            <w:r>
              <w:rPr/>
              <w:t>7.11</w:t>
            </w:r>
          </w:p>
        </w:tc>
      </w:tr>
      <w:tr>
        <w:trPr/>
        <w:tc>
          <w:tcPr>
            <w:tcW w:w="1809" w:type="dxa"/>
            <w:tcBorders/>
          </w:tcPr>
          <w:p>
            <w:pPr>
              <w:pStyle w:val="TableContents"/>
              <w:bidi w:val="0"/>
              <w:spacing w:before="0" w:after="283"/>
              <w:jc w:val="right"/>
              <w:rPr/>
            </w:pPr>
            <w:r>
              <w:rPr/>
              <w:t>(b)</w:t>
            </w:r>
          </w:p>
        </w:tc>
        <w:tc>
          <w:tcPr>
            <w:tcW w:w="132" w:type="dxa"/>
            <w:tcBorders/>
            <w:vAlign w:val="bottom"/>
          </w:tcPr>
          <w:p>
            <w:pPr>
              <w:pStyle w:val="TableContents"/>
              <w:bidi w:val="0"/>
              <w:spacing w:before="0" w:after="283"/>
              <w:jc w:val="left"/>
              <w:rPr/>
            </w:pPr>
            <w:r>
              <w:rPr/>
              <w:t>  </w:t>
            </w:r>
          </w:p>
        </w:tc>
        <w:tc>
          <w:tcPr>
            <w:tcW w:w="661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9" w:type="dxa"/>
            <w:tcBorders/>
          </w:tcPr>
          <w:p>
            <w:pPr>
              <w:pStyle w:val="TableContents"/>
              <w:bidi w:val="0"/>
              <w:spacing w:before="0" w:after="283"/>
              <w:jc w:val="left"/>
              <w:rPr/>
            </w:pPr>
            <w:r>
              <w:rPr/>
              <w:t>7.11</w:t>
            </w:r>
          </w:p>
        </w:tc>
      </w:tr>
      <w:tr>
        <w:trPr/>
        <w:tc>
          <w:tcPr>
            <w:tcW w:w="1809" w:type="dxa"/>
            <w:tcBorders/>
          </w:tcPr>
          <w:p>
            <w:pPr>
              <w:pStyle w:val="TableContents"/>
              <w:bidi w:val="0"/>
              <w:spacing w:before="0" w:after="283"/>
              <w:jc w:val="right"/>
              <w:rPr/>
            </w:pPr>
            <w:r>
              <w:rPr/>
              <w:t>§ 312(a)</w:t>
            </w:r>
          </w:p>
        </w:tc>
        <w:tc>
          <w:tcPr>
            <w:tcW w:w="132" w:type="dxa"/>
            <w:tcBorders/>
            <w:vAlign w:val="bottom"/>
          </w:tcPr>
          <w:p>
            <w:pPr>
              <w:pStyle w:val="TableContents"/>
              <w:bidi w:val="0"/>
              <w:spacing w:before="0" w:after="283"/>
              <w:jc w:val="left"/>
              <w:rPr/>
            </w:pPr>
            <w:r>
              <w:rPr/>
              <w:t>  </w:t>
            </w:r>
          </w:p>
        </w:tc>
        <w:tc>
          <w:tcPr>
            <w:tcW w:w="661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9" w:type="dxa"/>
            <w:tcBorders/>
          </w:tcPr>
          <w:p>
            <w:pPr>
              <w:pStyle w:val="TableContents"/>
              <w:bidi w:val="0"/>
              <w:spacing w:before="0" w:after="283"/>
              <w:jc w:val="left"/>
              <w:rPr/>
            </w:pPr>
            <w:r>
              <w:rPr/>
              <w:t>2.7</w:t>
            </w:r>
          </w:p>
        </w:tc>
      </w:tr>
      <w:tr>
        <w:trPr/>
        <w:tc>
          <w:tcPr>
            <w:tcW w:w="1809" w:type="dxa"/>
            <w:tcBorders/>
          </w:tcPr>
          <w:p>
            <w:pPr>
              <w:pStyle w:val="TableContents"/>
              <w:bidi w:val="0"/>
              <w:spacing w:before="0" w:after="283"/>
              <w:jc w:val="right"/>
              <w:rPr/>
            </w:pPr>
            <w:r>
              <w:rPr/>
              <w:t>(b)</w:t>
            </w:r>
          </w:p>
        </w:tc>
        <w:tc>
          <w:tcPr>
            <w:tcW w:w="132" w:type="dxa"/>
            <w:tcBorders/>
            <w:vAlign w:val="bottom"/>
          </w:tcPr>
          <w:p>
            <w:pPr>
              <w:pStyle w:val="TableContents"/>
              <w:bidi w:val="0"/>
              <w:spacing w:before="0" w:after="283"/>
              <w:jc w:val="left"/>
              <w:rPr/>
            </w:pPr>
            <w:r>
              <w:rPr/>
              <w:t>  </w:t>
            </w:r>
          </w:p>
        </w:tc>
        <w:tc>
          <w:tcPr>
            <w:tcW w:w="661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9" w:type="dxa"/>
            <w:tcBorders/>
          </w:tcPr>
          <w:p>
            <w:pPr>
              <w:pStyle w:val="TableContents"/>
              <w:bidi w:val="0"/>
              <w:spacing w:before="0" w:after="283"/>
              <w:jc w:val="left"/>
              <w:rPr/>
            </w:pPr>
            <w:r>
              <w:rPr/>
              <w:t>10.3</w:t>
            </w:r>
          </w:p>
        </w:tc>
      </w:tr>
      <w:tr>
        <w:trPr/>
        <w:tc>
          <w:tcPr>
            <w:tcW w:w="1809" w:type="dxa"/>
            <w:tcBorders/>
          </w:tcPr>
          <w:p>
            <w:pPr>
              <w:pStyle w:val="TableContents"/>
              <w:bidi w:val="0"/>
              <w:spacing w:before="0" w:after="283"/>
              <w:jc w:val="right"/>
              <w:rPr/>
            </w:pPr>
            <w:r>
              <w:rPr/>
              <w:t>(c)</w:t>
            </w:r>
          </w:p>
        </w:tc>
        <w:tc>
          <w:tcPr>
            <w:tcW w:w="132" w:type="dxa"/>
            <w:tcBorders/>
            <w:vAlign w:val="bottom"/>
          </w:tcPr>
          <w:p>
            <w:pPr>
              <w:pStyle w:val="TableContents"/>
              <w:bidi w:val="0"/>
              <w:spacing w:before="0" w:after="283"/>
              <w:jc w:val="left"/>
              <w:rPr/>
            </w:pPr>
            <w:r>
              <w:rPr/>
              <w:t>  </w:t>
            </w:r>
          </w:p>
        </w:tc>
        <w:tc>
          <w:tcPr>
            <w:tcW w:w="661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9" w:type="dxa"/>
            <w:tcBorders/>
          </w:tcPr>
          <w:p>
            <w:pPr>
              <w:pStyle w:val="TableContents"/>
              <w:bidi w:val="0"/>
              <w:spacing w:before="0" w:after="283"/>
              <w:jc w:val="left"/>
              <w:rPr/>
            </w:pPr>
            <w:r>
              <w:rPr/>
              <w:t>10.3</w:t>
            </w:r>
          </w:p>
        </w:tc>
      </w:tr>
      <w:tr>
        <w:trPr/>
        <w:tc>
          <w:tcPr>
            <w:tcW w:w="1809" w:type="dxa"/>
            <w:tcBorders/>
          </w:tcPr>
          <w:p>
            <w:pPr>
              <w:pStyle w:val="TableContents"/>
              <w:bidi w:val="0"/>
              <w:spacing w:before="0" w:after="283"/>
              <w:jc w:val="right"/>
              <w:rPr/>
            </w:pPr>
            <w:r>
              <w:rPr/>
              <w:t>§ 313(a)</w:t>
            </w:r>
          </w:p>
        </w:tc>
        <w:tc>
          <w:tcPr>
            <w:tcW w:w="132" w:type="dxa"/>
            <w:tcBorders/>
            <w:vAlign w:val="bottom"/>
          </w:tcPr>
          <w:p>
            <w:pPr>
              <w:pStyle w:val="TableContents"/>
              <w:bidi w:val="0"/>
              <w:spacing w:before="0" w:after="283"/>
              <w:jc w:val="left"/>
              <w:rPr/>
            </w:pPr>
            <w:r>
              <w:rPr/>
              <w:t>  </w:t>
            </w:r>
          </w:p>
        </w:tc>
        <w:tc>
          <w:tcPr>
            <w:tcW w:w="661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9" w:type="dxa"/>
            <w:tcBorders/>
          </w:tcPr>
          <w:p>
            <w:pPr>
              <w:pStyle w:val="TableContents"/>
              <w:bidi w:val="0"/>
              <w:spacing w:before="0" w:after="283"/>
              <w:jc w:val="left"/>
              <w:rPr/>
            </w:pPr>
            <w:r>
              <w:rPr/>
              <w:t>7.6</w:t>
            </w:r>
          </w:p>
        </w:tc>
      </w:tr>
      <w:tr>
        <w:trPr/>
        <w:tc>
          <w:tcPr>
            <w:tcW w:w="1809" w:type="dxa"/>
            <w:tcBorders/>
          </w:tcPr>
          <w:p>
            <w:pPr>
              <w:pStyle w:val="TableContents"/>
              <w:bidi w:val="0"/>
              <w:spacing w:before="0" w:after="283"/>
              <w:jc w:val="right"/>
              <w:rPr/>
            </w:pPr>
            <w:r>
              <w:rPr/>
              <w:t>(b)(1)</w:t>
            </w:r>
          </w:p>
        </w:tc>
        <w:tc>
          <w:tcPr>
            <w:tcW w:w="132" w:type="dxa"/>
            <w:tcBorders/>
            <w:vAlign w:val="bottom"/>
          </w:tcPr>
          <w:p>
            <w:pPr>
              <w:pStyle w:val="TableContents"/>
              <w:bidi w:val="0"/>
              <w:spacing w:before="0" w:after="283"/>
              <w:jc w:val="left"/>
              <w:rPr/>
            </w:pPr>
            <w:r>
              <w:rPr/>
              <w:t>  </w:t>
            </w:r>
          </w:p>
        </w:tc>
        <w:tc>
          <w:tcPr>
            <w:tcW w:w="661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9" w:type="dxa"/>
            <w:tcBorders/>
          </w:tcPr>
          <w:p>
            <w:pPr>
              <w:pStyle w:val="TableContents"/>
              <w:bidi w:val="0"/>
              <w:spacing w:before="0" w:after="283"/>
              <w:jc w:val="left"/>
              <w:rPr/>
            </w:pPr>
            <w:r>
              <w:rPr/>
              <w:t>7.6</w:t>
            </w:r>
          </w:p>
        </w:tc>
      </w:tr>
      <w:tr>
        <w:trPr/>
        <w:tc>
          <w:tcPr>
            <w:tcW w:w="1809" w:type="dxa"/>
            <w:tcBorders/>
          </w:tcPr>
          <w:p>
            <w:pPr>
              <w:pStyle w:val="TableContents"/>
              <w:bidi w:val="0"/>
              <w:spacing w:before="0" w:after="283"/>
              <w:jc w:val="right"/>
              <w:rPr/>
            </w:pPr>
            <w:r>
              <w:rPr/>
              <w:t>(b)(2)</w:t>
            </w:r>
          </w:p>
        </w:tc>
        <w:tc>
          <w:tcPr>
            <w:tcW w:w="132" w:type="dxa"/>
            <w:tcBorders/>
            <w:vAlign w:val="bottom"/>
          </w:tcPr>
          <w:p>
            <w:pPr>
              <w:pStyle w:val="TableContents"/>
              <w:bidi w:val="0"/>
              <w:spacing w:before="0" w:after="283"/>
              <w:jc w:val="left"/>
              <w:rPr/>
            </w:pPr>
            <w:r>
              <w:rPr/>
              <w:t>  </w:t>
            </w:r>
          </w:p>
        </w:tc>
        <w:tc>
          <w:tcPr>
            <w:tcW w:w="661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9" w:type="dxa"/>
            <w:tcBorders/>
          </w:tcPr>
          <w:p>
            <w:pPr>
              <w:pStyle w:val="TableContents"/>
              <w:bidi w:val="0"/>
              <w:spacing w:before="0" w:after="283"/>
              <w:jc w:val="left"/>
              <w:rPr/>
            </w:pPr>
            <w:r>
              <w:rPr/>
              <w:t>7.6</w:t>
            </w:r>
          </w:p>
        </w:tc>
      </w:tr>
      <w:tr>
        <w:trPr/>
        <w:tc>
          <w:tcPr>
            <w:tcW w:w="1809" w:type="dxa"/>
            <w:tcBorders/>
          </w:tcPr>
          <w:p>
            <w:pPr>
              <w:pStyle w:val="TableContents"/>
              <w:bidi w:val="0"/>
              <w:spacing w:before="0" w:after="283"/>
              <w:jc w:val="right"/>
              <w:rPr/>
            </w:pPr>
            <w:r>
              <w:rPr/>
              <w:t>(c)(1)</w:t>
            </w:r>
          </w:p>
        </w:tc>
        <w:tc>
          <w:tcPr>
            <w:tcW w:w="132" w:type="dxa"/>
            <w:tcBorders/>
            <w:vAlign w:val="bottom"/>
          </w:tcPr>
          <w:p>
            <w:pPr>
              <w:pStyle w:val="TableContents"/>
              <w:bidi w:val="0"/>
              <w:spacing w:before="0" w:after="283"/>
              <w:jc w:val="left"/>
              <w:rPr/>
            </w:pPr>
            <w:r>
              <w:rPr/>
              <w:t>  </w:t>
            </w:r>
          </w:p>
        </w:tc>
        <w:tc>
          <w:tcPr>
            <w:tcW w:w="661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9" w:type="dxa"/>
            <w:tcBorders/>
          </w:tcPr>
          <w:p>
            <w:pPr>
              <w:pStyle w:val="TableContents"/>
              <w:bidi w:val="0"/>
              <w:spacing w:before="0" w:after="283"/>
              <w:jc w:val="left"/>
              <w:rPr/>
            </w:pPr>
            <w:r>
              <w:rPr/>
              <w:t>7.6</w:t>
            </w:r>
          </w:p>
        </w:tc>
      </w:tr>
      <w:tr>
        <w:trPr/>
        <w:tc>
          <w:tcPr>
            <w:tcW w:w="1809" w:type="dxa"/>
            <w:tcBorders/>
          </w:tcPr>
          <w:p>
            <w:pPr>
              <w:pStyle w:val="TableContents"/>
              <w:bidi w:val="0"/>
              <w:spacing w:before="0" w:after="283"/>
              <w:jc w:val="right"/>
              <w:rPr/>
            </w:pPr>
            <w:r>
              <w:rPr/>
              <w:t>(d)</w:t>
            </w:r>
          </w:p>
        </w:tc>
        <w:tc>
          <w:tcPr>
            <w:tcW w:w="132" w:type="dxa"/>
            <w:tcBorders/>
            <w:vAlign w:val="bottom"/>
          </w:tcPr>
          <w:p>
            <w:pPr>
              <w:pStyle w:val="TableContents"/>
              <w:bidi w:val="0"/>
              <w:spacing w:before="0" w:after="283"/>
              <w:jc w:val="left"/>
              <w:rPr/>
            </w:pPr>
            <w:r>
              <w:rPr/>
              <w:t>  </w:t>
            </w:r>
          </w:p>
        </w:tc>
        <w:tc>
          <w:tcPr>
            <w:tcW w:w="661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9" w:type="dxa"/>
            <w:tcBorders/>
          </w:tcPr>
          <w:p>
            <w:pPr>
              <w:pStyle w:val="TableContents"/>
              <w:bidi w:val="0"/>
              <w:spacing w:before="0" w:after="283"/>
              <w:jc w:val="left"/>
              <w:rPr/>
            </w:pPr>
            <w:r>
              <w:rPr/>
              <w:t>7.6</w:t>
            </w:r>
          </w:p>
        </w:tc>
      </w:tr>
      <w:tr>
        <w:trPr/>
        <w:tc>
          <w:tcPr>
            <w:tcW w:w="1809" w:type="dxa"/>
            <w:tcBorders/>
          </w:tcPr>
          <w:p>
            <w:pPr>
              <w:pStyle w:val="TableContents"/>
              <w:bidi w:val="0"/>
              <w:spacing w:before="0" w:after="283"/>
              <w:jc w:val="right"/>
              <w:rPr/>
            </w:pPr>
            <w:r>
              <w:rPr/>
              <w:t>§ 314(a)</w:t>
            </w:r>
          </w:p>
        </w:tc>
        <w:tc>
          <w:tcPr>
            <w:tcW w:w="132" w:type="dxa"/>
            <w:tcBorders/>
            <w:vAlign w:val="bottom"/>
          </w:tcPr>
          <w:p>
            <w:pPr>
              <w:pStyle w:val="TableContents"/>
              <w:bidi w:val="0"/>
              <w:spacing w:before="0" w:after="283"/>
              <w:jc w:val="left"/>
              <w:rPr/>
            </w:pPr>
            <w:r>
              <w:rPr/>
              <w:t>  </w:t>
            </w:r>
          </w:p>
        </w:tc>
        <w:tc>
          <w:tcPr>
            <w:tcW w:w="661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9" w:type="dxa"/>
            <w:tcBorders/>
          </w:tcPr>
          <w:p>
            <w:pPr>
              <w:pStyle w:val="TableContents"/>
              <w:bidi w:val="0"/>
              <w:spacing w:before="0" w:after="283"/>
              <w:jc w:val="left"/>
              <w:rPr/>
            </w:pPr>
            <w:r>
              <w:rPr/>
              <w:t>4.2, 10.5</w:t>
            </w:r>
          </w:p>
        </w:tc>
      </w:tr>
      <w:tr>
        <w:trPr/>
        <w:tc>
          <w:tcPr>
            <w:tcW w:w="1809" w:type="dxa"/>
            <w:tcBorders/>
          </w:tcPr>
          <w:p>
            <w:pPr>
              <w:pStyle w:val="TableContents"/>
              <w:bidi w:val="0"/>
              <w:spacing w:before="0" w:after="283"/>
              <w:jc w:val="right"/>
              <w:rPr/>
            </w:pPr>
            <w:r>
              <w:rPr/>
              <w:t>(b)</w:t>
            </w:r>
          </w:p>
        </w:tc>
        <w:tc>
          <w:tcPr>
            <w:tcW w:w="132" w:type="dxa"/>
            <w:tcBorders/>
            <w:vAlign w:val="bottom"/>
          </w:tcPr>
          <w:p>
            <w:pPr>
              <w:pStyle w:val="TableContents"/>
              <w:bidi w:val="0"/>
              <w:spacing w:before="0" w:after="283"/>
              <w:jc w:val="left"/>
              <w:rPr/>
            </w:pPr>
            <w:r>
              <w:rPr/>
              <w:t>  </w:t>
            </w:r>
          </w:p>
        </w:tc>
        <w:tc>
          <w:tcPr>
            <w:tcW w:w="661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9" w:type="dxa"/>
            <w:tcBorders/>
          </w:tcPr>
          <w:p>
            <w:pPr>
              <w:pStyle w:val="TableContents"/>
              <w:bidi w:val="0"/>
              <w:spacing w:before="0" w:after="283"/>
              <w:jc w:val="left"/>
              <w:rPr/>
            </w:pPr>
            <w:r>
              <w:rPr/>
              <w:t>Not Applicable</w:t>
            </w:r>
          </w:p>
        </w:tc>
      </w:tr>
      <w:tr>
        <w:trPr/>
        <w:tc>
          <w:tcPr>
            <w:tcW w:w="1809" w:type="dxa"/>
            <w:tcBorders/>
          </w:tcPr>
          <w:p>
            <w:pPr>
              <w:pStyle w:val="TableContents"/>
              <w:bidi w:val="0"/>
              <w:spacing w:before="0" w:after="283"/>
              <w:jc w:val="right"/>
              <w:rPr/>
            </w:pPr>
            <w:r>
              <w:rPr/>
              <w:t>(c)(1)</w:t>
            </w:r>
          </w:p>
        </w:tc>
        <w:tc>
          <w:tcPr>
            <w:tcW w:w="132" w:type="dxa"/>
            <w:tcBorders/>
            <w:vAlign w:val="bottom"/>
          </w:tcPr>
          <w:p>
            <w:pPr>
              <w:pStyle w:val="TableContents"/>
              <w:bidi w:val="0"/>
              <w:spacing w:before="0" w:after="283"/>
              <w:jc w:val="left"/>
              <w:rPr/>
            </w:pPr>
            <w:r>
              <w:rPr/>
              <w:t>  </w:t>
            </w:r>
          </w:p>
        </w:tc>
        <w:tc>
          <w:tcPr>
            <w:tcW w:w="661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9" w:type="dxa"/>
            <w:tcBorders/>
          </w:tcPr>
          <w:p>
            <w:pPr>
              <w:pStyle w:val="TableContents"/>
              <w:bidi w:val="0"/>
              <w:spacing w:before="0" w:after="283"/>
              <w:jc w:val="left"/>
              <w:rPr/>
            </w:pPr>
            <w:r>
              <w:rPr/>
              <w:t>10.4</w:t>
            </w:r>
          </w:p>
        </w:tc>
      </w:tr>
      <w:tr>
        <w:trPr/>
        <w:tc>
          <w:tcPr>
            <w:tcW w:w="1809" w:type="dxa"/>
            <w:tcBorders/>
          </w:tcPr>
          <w:p>
            <w:pPr>
              <w:pStyle w:val="TableContents"/>
              <w:bidi w:val="0"/>
              <w:spacing w:before="0" w:after="283"/>
              <w:jc w:val="right"/>
              <w:rPr/>
            </w:pPr>
            <w:r>
              <w:rPr/>
              <w:t>(c)(2)</w:t>
            </w:r>
          </w:p>
        </w:tc>
        <w:tc>
          <w:tcPr>
            <w:tcW w:w="132" w:type="dxa"/>
            <w:tcBorders/>
            <w:vAlign w:val="bottom"/>
          </w:tcPr>
          <w:p>
            <w:pPr>
              <w:pStyle w:val="TableContents"/>
              <w:bidi w:val="0"/>
              <w:spacing w:before="0" w:after="283"/>
              <w:jc w:val="left"/>
              <w:rPr/>
            </w:pPr>
            <w:r>
              <w:rPr/>
              <w:t>  </w:t>
            </w:r>
          </w:p>
        </w:tc>
        <w:tc>
          <w:tcPr>
            <w:tcW w:w="661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9" w:type="dxa"/>
            <w:tcBorders/>
          </w:tcPr>
          <w:p>
            <w:pPr>
              <w:pStyle w:val="TableContents"/>
              <w:bidi w:val="0"/>
              <w:spacing w:before="0" w:after="283"/>
              <w:jc w:val="left"/>
              <w:rPr/>
            </w:pPr>
            <w:r>
              <w:rPr/>
              <w:t>10.4</w:t>
            </w:r>
          </w:p>
        </w:tc>
      </w:tr>
      <w:tr>
        <w:trPr/>
        <w:tc>
          <w:tcPr>
            <w:tcW w:w="1809" w:type="dxa"/>
            <w:tcBorders/>
          </w:tcPr>
          <w:p>
            <w:pPr>
              <w:pStyle w:val="TableContents"/>
              <w:bidi w:val="0"/>
              <w:spacing w:before="0" w:after="283"/>
              <w:jc w:val="right"/>
              <w:rPr/>
            </w:pPr>
            <w:r>
              <w:rPr/>
              <w:t>(c)(3)</w:t>
            </w:r>
          </w:p>
        </w:tc>
        <w:tc>
          <w:tcPr>
            <w:tcW w:w="132" w:type="dxa"/>
            <w:tcBorders/>
            <w:vAlign w:val="bottom"/>
          </w:tcPr>
          <w:p>
            <w:pPr>
              <w:pStyle w:val="TableContents"/>
              <w:bidi w:val="0"/>
              <w:spacing w:before="0" w:after="283"/>
              <w:jc w:val="left"/>
              <w:rPr/>
            </w:pPr>
            <w:r>
              <w:rPr/>
              <w:t>  </w:t>
            </w:r>
          </w:p>
        </w:tc>
        <w:tc>
          <w:tcPr>
            <w:tcW w:w="661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9" w:type="dxa"/>
            <w:tcBorders/>
          </w:tcPr>
          <w:p>
            <w:pPr>
              <w:pStyle w:val="TableContents"/>
              <w:bidi w:val="0"/>
              <w:spacing w:before="0" w:after="283"/>
              <w:jc w:val="left"/>
              <w:rPr/>
            </w:pPr>
            <w:r>
              <w:rPr/>
              <w:t>Not Applicable</w:t>
            </w:r>
          </w:p>
        </w:tc>
      </w:tr>
      <w:tr>
        <w:trPr/>
        <w:tc>
          <w:tcPr>
            <w:tcW w:w="1809" w:type="dxa"/>
            <w:tcBorders/>
          </w:tcPr>
          <w:p>
            <w:pPr>
              <w:pStyle w:val="TableContents"/>
              <w:bidi w:val="0"/>
              <w:spacing w:before="0" w:after="283"/>
              <w:jc w:val="right"/>
              <w:rPr/>
            </w:pPr>
            <w:r>
              <w:rPr/>
              <w:t>(d)</w:t>
            </w:r>
          </w:p>
        </w:tc>
        <w:tc>
          <w:tcPr>
            <w:tcW w:w="132" w:type="dxa"/>
            <w:tcBorders/>
            <w:vAlign w:val="bottom"/>
          </w:tcPr>
          <w:p>
            <w:pPr>
              <w:pStyle w:val="TableContents"/>
              <w:bidi w:val="0"/>
              <w:spacing w:before="0" w:after="283"/>
              <w:jc w:val="left"/>
              <w:rPr/>
            </w:pPr>
            <w:r>
              <w:rPr/>
              <w:t>  </w:t>
            </w:r>
          </w:p>
        </w:tc>
        <w:tc>
          <w:tcPr>
            <w:tcW w:w="661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9" w:type="dxa"/>
            <w:tcBorders/>
          </w:tcPr>
          <w:p>
            <w:pPr>
              <w:pStyle w:val="TableContents"/>
              <w:bidi w:val="0"/>
              <w:spacing w:before="0" w:after="283"/>
              <w:jc w:val="left"/>
              <w:rPr/>
            </w:pPr>
            <w:r>
              <w:rPr/>
              <w:t>Not Applicable</w:t>
            </w:r>
          </w:p>
        </w:tc>
      </w:tr>
      <w:tr>
        <w:trPr/>
        <w:tc>
          <w:tcPr>
            <w:tcW w:w="1809" w:type="dxa"/>
            <w:tcBorders/>
          </w:tcPr>
          <w:p>
            <w:pPr>
              <w:pStyle w:val="TableContents"/>
              <w:bidi w:val="0"/>
              <w:spacing w:before="0" w:after="283"/>
              <w:jc w:val="right"/>
              <w:rPr/>
            </w:pPr>
            <w:r>
              <w:rPr/>
              <w:t>(e)</w:t>
            </w:r>
          </w:p>
        </w:tc>
        <w:tc>
          <w:tcPr>
            <w:tcW w:w="132" w:type="dxa"/>
            <w:tcBorders/>
            <w:vAlign w:val="bottom"/>
          </w:tcPr>
          <w:p>
            <w:pPr>
              <w:pStyle w:val="TableContents"/>
              <w:bidi w:val="0"/>
              <w:spacing w:before="0" w:after="283"/>
              <w:jc w:val="left"/>
              <w:rPr/>
            </w:pPr>
            <w:r>
              <w:rPr/>
              <w:t>  </w:t>
            </w:r>
          </w:p>
        </w:tc>
        <w:tc>
          <w:tcPr>
            <w:tcW w:w="661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9" w:type="dxa"/>
            <w:tcBorders/>
          </w:tcPr>
          <w:p>
            <w:pPr>
              <w:pStyle w:val="TableContents"/>
              <w:bidi w:val="0"/>
              <w:spacing w:before="0" w:after="283"/>
              <w:jc w:val="left"/>
              <w:rPr/>
            </w:pPr>
            <w:r>
              <w:rPr/>
              <w:t>10.5</w:t>
            </w:r>
          </w:p>
        </w:tc>
      </w:tr>
      <w:tr>
        <w:trPr/>
        <w:tc>
          <w:tcPr>
            <w:tcW w:w="1809" w:type="dxa"/>
            <w:tcBorders/>
          </w:tcPr>
          <w:p>
            <w:pPr>
              <w:pStyle w:val="TableContents"/>
              <w:bidi w:val="0"/>
              <w:spacing w:before="0" w:after="283"/>
              <w:jc w:val="right"/>
              <w:rPr/>
            </w:pPr>
            <w:r>
              <w:rPr/>
              <w:t>(f)</w:t>
            </w:r>
          </w:p>
        </w:tc>
        <w:tc>
          <w:tcPr>
            <w:tcW w:w="132" w:type="dxa"/>
            <w:tcBorders/>
            <w:vAlign w:val="bottom"/>
          </w:tcPr>
          <w:p>
            <w:pPr>
              <w:pStyle w:val="TableContents"/>
              <w:bidi w:val="0"/>
              <w:spacing w:before="0" w:after="283"/>
              <w:jc w:val="left"/>
              <w:rPr/>
            </w:pPr>
            <w:r>
              <w:rPr/>
              <w:t>  </w:t>
            </w:r>
          </w:p>
        </w:tc>
        <w:tc>
          <w:tcPr>
            <w:tcW w:w="661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9" w:type="dxa"/>
            <w:tcBorders/>
          </w:tcPr>
          <w:p>
            <w:pPr>
              <w:pStyle w:val="TableContents"/>
              <w:bidi w:val="0"/>
              <w:spacing w:before="0" w:after="283"/>
              <w:jc w:val="left"/>
              <w:rPr/>
            </w:pPr>
            <w:r>
              <w:rPr/>
              <w:t>Not Applicable</w:t>
            </w:r>
          </w:p>
        </w:tc>
      </w:tr>
      <w:tr>
        <w:trPr/>
        <w:tc>
          <w:tcPr>
            <w:tcW w:w="1809" w:type="dxa"/>
            <w:tcBorders/>
          </w:tcPr>
          <w:p>
            <w:pPr>
              <w:pStyle w:val="TableContents"/>
              <w:bidi w:val="0"/>
              <w:spacing w:before="0" w:after="283"/>
              <w:jc w:val="right"/>
              <w:rPr/>
            </w:pPr>
            <w:r>
              <w:rPr/>
              <w:t>§ 315(a)</w:t>
            </w:r>
          </w:p>
        </w:tc>
        <w:tc>
          <w:tcPr>
            <w:tcW w:w="132" w:type="dxa"/>
            <w:tcBorders/>
            <w:vAlign w:val="bottom"/>
          </w:tcPr>
          <w:p>
            <w:pPr>
              <w:pStyle w:val="TableContents"/>
              <w:bidi w:val="0"/>
              <w:spacing w:before="0" w:after="283"/>
              <w:jc w:val="left"/>
              <w:rPr/>
            </w:pPr>
            <w:r>
              <w:rPr/>
              <w:t>  </w:t>
            </w:r>
          </w:p>
        </w:tc>
        <w:tc>
          <w:tcPr>
            <w:tcW w:w="661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9" w:type="dxa"/>
            <w:tcBorders/>
          </w:tcPr>
          <w:p>
            <w:pPr>
              <w:pStyle w:val="TableContents"/>
              <w:bidi w:val="0"/>
              <w:spacing w:before="0" w:after="283"/>
              <w:jc w:val="left"/>
              <w:rPr/>
            </w:pPr>
            <w:r>
              <w:rPr/>
              <w:t>7.1</w:t>
            </w:r>
          </w:p>
        </w:tc>
      </w:tr>
      <w:tr>
        <w:trPr/>
        <w:tc>
          <w:tcPr>
            <w:tcW w:w="1809" w:type="dxa"/>
            <w:tcBorders/>
          </w:tcPr>
          <w:p>
            <w:pPr>
              <w:pStyle w:val="TableContents"/>
              <w:bidi w:val="0"/>
              <w:spacing w:before="0" w:after="283"/>
              <w:jc w:val="right"/>
              <w:rPr/>
            </w:pPr>
            <w:r>
              <w:rPr/>
              <w:t>(b)</w:t>
            </w:r>
          </w:p>
        </w:tc>
        <w:tc>
          <w:tcPr>
            <w:tcW w:w="132" w:type="dxa"/>
            <w:tcBorders/>
            <w:vAlign w:val="bottom"/>
          </w:tcPr>
          <w:p>
            <w:pPr>
              <w:pStyle w:val="TableContents"/>
              <w:bidi w:val="0"/>
              <w:spacing w:before="0" w:after="283"/>
              <w:jc w:val="left"/>
              <w:rPr/>
            </w:pPr>
            <w:r>
              <w:rPr/>
              <w:t>  </w:t>
            </w:r>
          </w:p>
        </w:tc>
        <w:tc>
          <w:tcPr>
            <w:tcW w:w="661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9" w:type="dxa"/>
            <w:tcBorders/>
          </w:tcPr>
          <w:p>
            <w:pPr>
              <w:pStyle w:val="TableContents"/>
              <w:bidi w:val="0"/>
              <w:spacing w:before="0" w:after="283"/>
              <w:jc w:val="left"/>
              <w:rPr/>
            </w:pPr>
            <w:r>
              <w:rPr/>
              <w:t>7.5</w:t>
            </w:r>
          </w:p>
        </w:tc>
      </w:tr>
      <w:tr>
        <w:trPr/>
        <w:tc>
          <w:tcPr>
            <w:tcW w:w="1809" w:type="dxa"/>
            <w:tcBorders/>
          </w:tcPr>
          <w:p>
            <w:pPr>
              <w:pStyle w:val="TableContents"/>
              <w:bidi w:val="0"/>
              <w:spacing w:before="0" w:after="283"/>
              <w:jc w:val="right"/>
              <w:rPr/>
            </w:pPr>
            <w:r>
              <w:rPr/>
              <w:t>(c)</w:t>
            </w:r>
          </w:p>
        </w:tc>
        <w:tc>
          <w:tcPr>
            <w:tcW w:w="132" w:type="dxa"/>
            <w:tcBorders/>
            <w:vAlign w:val="bottom"/>
          </w:tcPr>
          <w:p>
            <w:pPr>
              <w:pStyle w:val="TableContents"/>
              <w:bidi w:val="0"/>
              <w:spacing w:before="0" w:after="283"/>
              <w:jc w:val="left"/>
              <w:rPr/>
            </w:pPr>
            <w:r>
              <w:rPr/>
              <w:t>  </w:t>
            </w:r>
          </w:p>
        </w:tc>
        <w:tc>
          <w:tcPr>
            <w:tcW w:w="661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9" w:type="dxa"/>
            <w:tcBorders/>
          </w:tcPr>
          <w:p>
            <w:pPr>
              <w:pStyle w:val="TableContents"/>
              <w:bidi w:val="0"/>
              <w:spacing w:before="0" w:after="283"/>
              <w:jc w:val="left"/>
              <w:rPr/>
            </w:pPr>
            <w:r>
              <w:rPr/>
              <w:t>7.1</w:t>
            </w:r>
          </w:p>
        </w:tc>
      </w:tr>
      <w:tr>
        <w:trPr/>
        <w:tc>
          <w:tcPr>
            <w:tcW w:w="1809" w:type="dxa"/>
            <w:tcBorders/>
          </w:tcPr>
          <w:p>
            <w:pPr>
              <w:pStyle w:val="TableContents"/>
              <w:bidi w:val="0"/>
              <w:spacing w:before="0" w:after="283"/>
              <w:jc w:val="right"/>
              <w:rPr/>
            </w:pPr>
            <w:r>
              <w:rPr/>
              <w:t>(d)</w:t>
            </w:r>
          </w:p>
        </w:tc>
        <w:tc>
          <w:tcPr>
            <w:tcW w:w="132" w:type="dxa"/>
            <w:tcBorders/>
            <w:vAlign w:val="bottom"/>
          </w:tcPr>
          <w:p>
            <w:pPr>
              <w:pStyle w:val="TableContents"/>
              <w:bidi w:val="0"/>
              <w:spacing w:before="0" w:after="283"/>
              <w:jc w:val="left"/>
              <w:rPr/>
            </w:pPr>
            <w:r>
              <w:rPr/>
              <w:t>  </w:t>
            </w:r>
          </w:p>
        </w:tc>
        <w:tc>
          <w:tcPr>
            <w:tcW w:w="661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9" w:type="dxa"/>
            <w:tcBorders/>
          </w:tcPr>
          <w:p>
            <w:pPr>
              <w:pStyle w:val="TableContents"/>
              <w:bidi w:val="0"/>
              <w:spacing w:before="0" w:after="283"/>
              <w:jc w:val="left"/>
              <w:rPr/>
            </w:pPr>
            <w:r>
              <w:rPr/>
              <w:t>7.1</w:t>
            </w:r>
          </w:p>
        </w:tc>
      </w:tr>
      <w:tr>
        <w:trPr/>
        <w:tc>
          <w:tcPr>
            <w:tcW w:w="1809" w:type="dxa"/>
            <w:tcBorders/>
          </w:tcPr>
          <w:p>
            <w:pPr>
              <w:pStyle w:val="TableContents"/>
              <w:bidi w:val="0"/>
              <w:spacing w:before="0" w:after="283"/>
              <w:jc w:val="right"/>
              <w:rPr/>
            </w:pPr>
            <w:r>
              <w:rPr/>
              <w:t>(e)</w:t>
            </w:r>
          </w:p>
        </w:tc>
        <w:tc>
          <w:tcPr>
            <w:tcW w:w="132" w:type="dxa"/>
            <w:tcBorders/>
            <w:vAlign w:val="bottom"/>
          </w:tcPr>
          <w:p>
            <w:pPr>
              <w:pStyle w:val="TableContents"/>
              <w:bidi w:val="0"/>
              <w:spacing w:before="0" w:after="283"/>
              <w:jc w:val="left"/>
              <w:rPr/>
            </w:pPr>
            <w:r>
              <w:rPr/>
              <w:t>  </w:t>
            </w:r>
          </w:p>
        </w:tc>
        <w:tc>
          <w:tcPr>
            <w:tcW w:w="661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9" w:type="dxa"/>
            <w:tcBorders/>
          </w:tcPr>
          <w:p>
            <w:pPr>
              <w:pStyle w:val="TableContents"/>
              <w:bidi w:val="0"/>
              <w:spacing w:before="0" w:after="283"/>
              <w:jc w:val="left"/>
              <w:rPr/>
            </w:pPr>
            <w:r>
              <w:rPr/>
              <w:t>6.14</w:t>
            </w:r>
          </w:p>
        </w:tc>
      </w:tr>
      <w:tr>
        <w:trPr/>
        <w:tc>
          <w:tcPr>
            <w:tcW w:w="1809" w:type="dxa"/>
            <w:tcBorders/>
          </w:tcPr>
          <w:p>
            <w:pPr>
              <w:pStyle w:val="TableContents"/>
              <w:bidi w:val="0"/>
              <w:spacing w:before="0" w:after="283"/>
              <w:jc w:val="right"/>
              <w:rPr/>
            </w:pPr>
            <w:r>
              <w:rPr/>
              <w:t>§ 316(a)</w:t>
            </w:r>
          </w:p>
        </w:tc>
        <w:tc>
          <w:tcPr>
            <w:tcW w:w="132" w:type="dxa"/>
            <w:tcBorders/>
            <w:vAlign w:val="bottom"/>
          </w:tcPr>
          <w:p>
            <w:pPr>
              <w:pStyle w:val="TableContents"/>
              <w:bidi w:val="0"/>
              <w:spacing w:before="0" w:after="283"/>
              <w:jc w:val="left"/>
              <w:rPr/>
            </w:pPr>
            <w:r>
              <w:rPr/>
              <w:t>  </w:t>
            </w:r>
          </w:p>
        </w:tc>
        <w:tc>
          <w:tcPr>
            <w:tcW w:w="661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9" w:type="dxa"/>
            <w:tcBorders/>
          </w:tcPr>
          <w:p>
            <w:pPr>
              <w:pStyle w:val="TableContents"/>
              <w:bidi w:val="0"/>
              <w:spacing w:before="0" w:after="283"/>
              <w:jc w:val="left"/>
              <w:rPr/>
            </w:pPr>
            <w:r>
              <w:rPr/>
              <w:t>2.11</w:t>
            </w:r>
          </w:p>
        </w:tc>
      </w:tr>
      <w:tr>
        <w:trPr/>
        <w:tc>
          <w:tcPr>
            <w:tcW w:w="1809" w:type="dxa"/>
            <w:tcBorders/>
          </w:tcPr>
          <w:p>
            <w:pPr>
              <w:pStyle w:val="TableContents"/>
              <w:bidi w:val="0"/>
              <w:spacing w:before="0" w:after="283"/>
              <w:jc w:val="right"/>
              <w:rPr/>
            </w:pPr>
            <w:r>
              <w:rPr/>
              <w:t>(a)(1)(A)</w:t>
            </w:r>
          </w:p>
        </w:tc>
        <w:tc>
          <w:tcPr>
            <w:tcW w:w="132" w:type="dxa"/>
            <w:tcBorders/>
            <w:vAlign w:val="bottom"/>
          </w:tcPr>
          <w:p>
            <w:pPr>
              <w:pStyle w:val="TableContents"/>
              <w:bidi w:val="0"/>
              <w:spacing w:before="0" w:after="283"/>
              <w:jc w:val="left"/>
              <w:rPr/>
            </w:pPr>
            <w:r>
              <w:rPr/>
              <w:t>  </w:t>
            </w:r>
          </w:p>
        </w:tc>
        <w:tc>
          <w:tcPr>
            <w:tcW w:w="661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9" w:type="dxa"/>
            <w:tcBorders/>
          </w:tcPr>
          <w:p>
            <w:pPr>
              <w:pStyle w:val="TableContents"/>
              <w:bidi w:val="0"/>
              <w:spacing w:before="0" w:after="283"/>
              <w:jc w:val="left"/>
              <w:rPr/>
            </w:pPr>
            <w:r>
              <w:rPr/>
              <w:t>6.12</w:t>
            </w:r>
          </w:p>
        </w:tc>
      </w:tr>
      <w:tr>
        <w:trPr/>
        <w:tc>
          <w:tcPr>
            <w:tcW w:w="1809" w:type="dxa"/>
            <w:tcBorders/>
          </w:tcPr>
          <w:p>
            <w:pPr>
              <w:pStyle w:val="TableContents"/>
              <w:bidi w:val="0"/>
              <w:spacing w:before="0" w:after="283"/>
              <w:jc w:val="right"/>
              <w:rPr/>
            </w:pPr>
            <w:r>
              <w:rPr/>
              <w:t>(a)(1)(B)</w:t>
            </w:r>
          </w:p>
        </w:tc>
        <w:tc>
          <w:tcPr>
            <w:tcW w:w="132" w:type="dxa"/>
            <w:tcBorders/>
            <w:vAlign w:val="bottom"/>
          </w:tcPr>
          <w:p>
            <w:pPr>
              <w:pStyle w:val="TableContents"/>
              <w:bidi w:val="0"/>
              <w:spacing w:before="0" w:after="283"/>
              <w:jc w:val="left"/>
              <w:rPr/>
            </w:pPr>
            <w:r>
              <w:rPr/>
              <w:t>  </w:t>
            </w:r>
          </w:p>
        </w:tc>
        <w:tc>
          <w:tcPr>
            <w:tcW w:w="661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9" w:type="dxa"/>
            <w:tcBorders/>
          </w:tcPr>
          <w:p>
            <w:pPr>
              <w:pStyle w:val="TableContents"/>
              <w:bidi w:val="0"/>
              <w:spacing w:before="0" w:after="283"/>
              <w:jc w:val="left"/>
              <w:rPr/>
            </w:pPr>
            <w:r>
              <w:rPr/>
              <w:t>6.13</w:t>
            </w:r>
          </w:p>
        </w:tc>
      </w:tr>
      <w:tr>
        <w:trPr/>
        <w:tc>
          <w:tcPr>
            <w:tcW w:w="1809" w:type="dxa"/>
            <w:tcBorders/>
          </w:tcPr>
          <w:p>
            <w:pPr>
              <w:pStyle w:val="TableContents"/>
              <w:bidi w:val="0"/>
              <w:spacing w:before="0" w:after="283"/>
              <w:jc w:val="right"/>
              <w:rPr/>
            </w:pPr>
            <w:r>
              <w:rPr/>
              <w:t>(b)</w:t>
            </w:r>
          </w:p>
        </w:tc>
        <w:tc>
          <w:tcPr>
            <w:tcW w:w="132" w:type="dxa"/>
            <w:tcBorders/>
            <w:vAlign w:val="bottom"/>
          </w:tcPr>
          <w:p>
            <w:pPr>
              <w:pStyle w:val="TableContents"/>
              <w:bidi w:val="0"/>
              <w:spacing w:before="0" w:after="283"/>
              <w:jc w:val="left"/>
              <w:rPr/>
            </w:pPr>
            <w:r>
              <w:rPr/>
              <w:t>  </w:t>
            </w:r>
          </w:p>
        </w:tc>
        <w:tc>
          <w:tcPr>
            <w:tcW w:w="661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9" w:type="dxa"/>
            <w:tcBorders/>
          </w:tcPr>
          <w:p>
            <w:pPr>
              <w:pStyle w:val="TableContents"/>
              <w:bidi w:val="0"/>
              <w:spacing w:before="0" w:after="283"/>
              <w:jc w:val="left"/>
              <w:rPr/>
            </w:pPr>
            <w:r>
              <w:rPr/>
              <w:t>6.8</w:t>
            </w:r>
          </w:p>
        </w:tc>
      </w:tr>
      <w:tr>
        <w:trPr/>
        <w:tc>
          <w:tcPr>
            <w:tcW w:w="1809" w:type="dxa"/>
            <w:tcBorders/>
          </w:tcPr>
          <w:p>
            <w:pPr>
              <w:pStyle w:val="TableContents"/>
              <w:bidi w:val="0"/>
              <w:spacing w:before="0" w:after="283"/>
              <w:jc w:val="right"/>
              <w:rPr/>
            </w:pPr>
            <w:r>
              <w:rPr/>
              <w:t>§ 317(a)(1)</w:t>
            </w:r>
          </w:p>
        </w:tc>
        <w:tc>
          <w:tcPr>
            <w:tcW w:w="132" w:type="dxa"/>
            <w:tcBorders/>
            <w:vAlign w:val="bottom"/>
          </w:tcPr>
          <w:p>
            <w:pPr>
              <w:pStyle w:val="TableContents"/>
              <w:bidi w:val="0"/>
              <w:spacing w:before="0" w:after="283"/>
              <w:jc w:val="left"/>
              <w:rPr/>
            </w:pPr>
            <w:r>
              <w:rPr/>
              <w:t>  </w:t>
            </w:r>
          </w:p>
        </w:tc>
        <w:tc>
          <w:tcPr>
            <w:tcW w:w="661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9" w:type="dxa"/>
            <w:tcBorders/>
          </w:tcPr>
          <w:p>
            <w:pPr>
              <w:pStyle w:val="TableContents"/>
              <w:bidi w:val="0"/>
              <w:spacing w:before="0" w:after="283"/>
              <w:jc w:val="left"/>
              <w:rPr/>
            </w:pPr>
            <w:r>
              <w:rPr/>
              <w:t>6.3</w:t>
            </w:r>
          </w:p>
        </w:tc>
      </w:tr>
      <w:tr>
        <w:trPr/>
        <w:tc>
          <w:tcPr>
            <w:tcW w:w="1809" w:type="dxa"/>
            <w:tcBorders/>
          </w:tcPr>
          <w:p>
            <w:pPr>
              <w:pStyle w:val="TableContents"/>
              <w:bidi w:val="0"/>
              <w:spacing w:before="0" w:after="283"/>
              <w:jc w:val="right"/>
              <w:rPr/>
            </w:pPr>
            <w:r>
              <w:rPr/>
              <w:t>(a)(2)</w:t>
            </w:r>
          </w:p>
        </w:tc>
        <w:tc>
          <w:tcPr>
            <w:tcW w:w="132" w:type="dxa"/>
            <w:tcBorders/>
            <w:vAlign w:val="bottom"/>
          </w:tcPr>
          <w:p>
            <w:pPr>
              <w:pStyle w:val="TableContents"/>
              <w:bidi w:val="0"/>
              <w:spacing w:before="0" w:after="283"/>
              <w:jc w:val="left"/>
              <w:rPr/>
            </w:pPr>
            <w:r>
              <w:rPr/>
              <w:t>  </w:t>
            </w:r>
          </w:p>
        </w:tc>
        <w:tc>
          <w:tcPr>
            <w:tcW w:w="661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9" w:type="dxa"/>
            <w:tcBorders/>
          </w:tcPr>
          <w:p>
            <w:pPr>
              <w:pStyle w:val="TableContents"/>
              <w:bidi w:val="0"/>
              <w:spacing w:before="0" w:after="283"/>
              <w:jc w:val="left"/>
              <w:rPr/>
            </w:pPr>
            <w:r>
              <w:rPr/>
              <w:t>6.4</w:t>
            </w:r>
          </w:p>
        </w:tc>
      </w:tr>
      <w:tr>
        <w:trPr/>
        <w:tc>
          <w:tcPr>
            <w:tcW w:w="1809" w:type="dxa"/>
            <w:tcBorders/>
          </w:tcPr>
          <w:p>
            <w:pPr>
              <w:pStyle w:val="TableContents"/>
              <w:bidi w:val="0"/>
              <w:spacing w:before="0" w:after="283"/>
              <w:jc w:val="right"/>
              <w:rPr/>
            </w:pPr>
            <w:r>
              <w:rPr/>
              <w:t>(b)</w:t>
            </w:r>
          </w:p>
        </w:tc>
        <w:tc>
          <w:tcPr>
            <w:tcW w:w="132" w:type="dxa"/>
            <w:tcBorders/>
            <w:vAlign w:val="bottom"/>
          </w:tcPr>
          <w:p>
            <w:pPr>
              <w:pStyle w:val="TableContents"/>
              <w:bidi w:val="0"/>
              <w:spacing w:before="0" w:after="283"/>
              <w:jc w:val="left"/>
              <w:rPr/>
            </w:pPr>
            <w:r>
              <w:rPr/>
              <w:t>  </w:t>
            </w:r>
          </w:p>
        </w:tc>
        <w:tc>
          <w:tcPr>
            <w:tcW w:w="661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9" w:type="dxa"/>
            <w:tcBorders/>
          </w:tcPr>
          <w:p>
            <w:pPr>
              <w:pStyle w:val="TableContents"/>
              <w:bidi w:val="0"/>
              <w:spacing w:before="0" w:after="283"/>
              <w:jc w:val="left"/>
              <w:rPr/>
            </w:pPr>
            <w:r>
              <w:rPr/>
              <w:t>2.6</w:t>
            </w:r>
          </w:p>
        </w:tc>
      </w:tr>
      <w:tr>
        <w:trPr/>
        <w:tc>
          <w:tcPr>
            <w:tcW w:w="1809" w:type="dxa"/>
            <w:tcBorders/>
          </w:tcPr>
          <w:p>
            <w:pPr>
              <w:pStyle w:val="TableContents"/>
              <w:bidi w:val="0"/>
              <w:spacing w:before="0" w:after="283"/>
              <w:jc w:val="right"/>
              <w:rPr/>
            </w:pPr>
            <w:r>
              <w:rPr/>
              <w:t>§ 318(a)</w:t>
            </w:r>
          </w:p>
        </w:tc>
        <w:tc>
          <w:tcPr>
            <w:tcW w:w="132" w:type="dxa"/>
            <w:tcBorders/>
            <w:vAlign w:val="bottom"/>
          </w:tcPr>
          <w:p>
            <w:pPr>
              <w:pStyle w:val="TableContents"/>
              <w:bidi w:val="0"/>
              <w:spacing w:before="0" w:after="283"/>
              <w:jc w:val="left"/>
              <w:rPr/>
            </w:pPr>
            <w:r>
              <w:rPr/>
              <w:t>  </w:t>
            </w:r>
          </w:p>
        </w:tc>
        <w:tc>
          <w:tcPr>
            <w:tcW w:w="661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9" w:type="dxa"/>
            <w:tcBorders/>
          </w:tcPr>
          <w:p>
            <w:pPr>
              <w:pStyle w:val="TableContents"/>
              <w:bidi w:val="0"/>
              <w:spacing w:before="0" w:after="283"/>
              <w:jc w:val="left"/>
              <w:rPr/>
            </w:pPr>
            <w:r>
              <w:rPr/>
              <w:t>10.1</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 This reconciliation and tie shall not, for any purpose, be deemed to be part of the Indenture.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Indenture dated as of , 20 , between ELEDON PHARMACEUTICALS, INC., a company incorporated under the laws of the State of Delaware (“</w:t>
      </w:r>
      <w:r>
        <w:rPr>
          <w:rFonts w:ascii="Times New Roman" w:hAnsi="Times New Roman"/>
          <w:i/>
          <w:sz w:val="20"/>
        </w:rPr>
        <w:t>Company</w:t>
      </w:r>
      <w:r>
        <w:rPr>
          <w:rFonts w:ascii="Times New Roman" w:hAnsi="Times New Roman"/>
          <w:sz w:val="20"/>
        </w:rPr>
        <w:t>”), and , as trustee (“</w:t>
      </w:r>
      <w:r>
        <w:rPr>
          <w:rFonts w:ascii="Times New Roman" w:hAnsi="Times New Roman"/>
          <w:i/>
          <w:sz w:val="20"/>
        </w:rPr>
        <w:t>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party agrees as follows for the benefit of the other party and for the equal and ratable benefit of the Holders of the Securities issued under this Indenture.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0" w:after="0"/>
        <w:jc w:val="center"/>
        <w:rPr>
          <w:rFonts w:ascii="Times New Roman" w:hAnsi="Times New Roman"/>
          <w:sz w:val="20"/>
        </w:rPr>
      </w:pPr>
      <w:r>
        <w:rPr>
          <w:rFonts w:ascii="Times New Roman" w:hAnsi="Times New Roman"/>
          <w:sz w:val="20"/>
        </w:rPr>
        <w:t xml:space="preserve">DEFINITIONS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Definitions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Affiliate</w:t>
      </w:r>
      <w:r>
        <w:rPr>
          <w:rFonts w:ascii="Times New Roman" w:hAnsi="Times New Roman"/>
          <w:sz w:val="20"/>
        </w:rPr>
        <w:t xml:space="preserve">”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 </w:t>
      </w:r>
    </w:p>
    <w:p>
      <w:pPr>
        <w:pStyle w:val="TextBody"/>
        <w:bidi w:val="0"/>
        <w:spacing w:before="240" w:after="0"/>
        <w:jc w:val="left"/>
        <w:rPr/>
      </w:pPr>
      <w:r>
        <w:rPr/>
        <w:t>“</w:t>
      </w:r>
      <w:r>
        <w:rPr>
          <w:rFonts w:ascii="Times New Roman" w:hAnsi="Times New Roman"/>
          <w:i/>
          <w:sz w:val="20"/>
        </w:rPr>
        <w:t>Agent</w:t>
      </w:r>
      <w:r>
        <w:rPr>
          <w:rFonts w:ascii="Times New Roman" w:hAnsi="Times New Roman"/>
          <w:sz w:val="20"/>
        </w:rPr>
        <w:t xml:space="preserve">” means any Registrar or Paying Agent. </w:t>
      </w:r>
    </w:p>
    <w:p>
      <w:pPr>
        <w:pStyle w:val="TextBody"/>
        <w:bidi w:val="0"/>
        <w:spacing w:before="240" w:after="0"/>
        <w:jc w:val="left"/>
        <w:rPr/>
      </w:pPr>
      <w:r>
        <w:rPr/>
        <w:t>“</w:t>
      </w:r>
      <w:r>
        <w:rPr>
          <w:rFonts w:ascii="Times New Roman" w:hAnsi="Times New Roman"/>
          <w:i/>
          <w:sz w:val="20"/>
        </w:rPr>
        <w:t>Board of Directors</w:t>
      </w:r>
      <w:r>
        <w:rPr>
          <w:rFonts w:ascii="Times New Roman" w:hAnsi="Times New Roman"/>
          <w:sz w:val="20"/>
        </w:rPr>
        <w:t xml:space="preserve">” means the board of directors of the Company or any duly authorized committee thereof. </w:t>
      </w:r>
    </w:p>
    <w:p>
      <w:pPr>
        <w:pStyle w:val="TextBody"/>
        <w:bidi w:val="0"/>
        <w:spacing w:before="240" w:after="0"/>
        <w:jc w:val="left"/>
        <w:rPr/>
      </w:pPr>
      <w:r>
        <w:rPr/>
        <w:t>“</w:t>
      </w:r>
      <w:r>
        <w:rPr>
          <w:rFonts w:ascii="Times New Roman" w:hAnsi="Times New Roman"/>
          <w:i/>
          <w:sz w:val="20"/>
        </w:rPr>
        <w:t>Board Resolution</w:t>
      </w:r>
      <w:r>
        <w:rPr>
          <w:rFonts w:ascii="Times New Roman" w:hAnsi="Times New Roman"/>
          <w:sz w:val="20"/>
        </w:rPr>
        <w:t xml:space="preserve">” means a copy of a resolution certified by the Secretary or an Assistant Secretary of the Company to have been adopted by the Board of Directors or pursuant to authorization by the Board of Directors and to be in full force and effect on the date of the certification and delivered to the Trustee. </w:t>
      </w:r>
    </w:p>
    <w:p>
      <w:pPr>
        <w:pStyle w:val="TextBody"/>
        <w:bidi w:val="0"/>
        <w:spacing w:before="240" w:after="0"/>
        <w:jc w:val="left"/>
        <w:rPr/>
      </w:pPr>
      <w:r>
        <w:rPr/>
        <w:t>“</w:t>
      </w:r>
      <w:r>
        <w:rPr>
          <w:rFonts w:ascii="Times New Roman" w:hAnsi="Times New Roman"/>
          <w:i/>
          <w:sz w:val="20"/>
        </w:rPr>
        <w:t>Business Day</w:t>
      </w:r>
      <w:r>
        <w:rPr>
          <w:rFonts w:ascii="Times New Roman" w:hAnsi="Times New Roman"/>
          <w:sz w:val="20"/>
        </w:rPr>
        <w:t xml:space="preserve">” means, for a particular Series, any day except a Saturday, Sunday or any day, including a legal holiday, on which banking institutions are authorized or required by law, regulation or executive order to close in The City of New York (or in connection with any payment, the place of payment). </w:t>
      </w:r>
    </w:p>
    <w:p>
      <w:pPr>
        <w:pStyle w:val="TextBody"/>
        <w:bidi w:val="0"/>
        <w:spacing w:before="240" w:after="0"/>
        <w:jc w:val="left"/>
        <w:rPr/>
      </w:pPr>
      <w:r>
        <w:rPr/>
        <w:t>“</w:t>
      </w:r>
      <w:r>
        <w:rPr>
          <w:rFonts w:ascii="Times New Roman" w:hAnsi="Times New Roman"/>
          <w:i/>
          <w:sz w:val="20"/>
        </w:rPr>
        <w:t>Capital Stock</w:t>
      </w:r>
      <w:r>
        <w:rPr>
          <w:rFonts w:ascii="Times New Roman" w:hAnsi="Times New Roman"/>
          <w:sz w:val="20"/>
        </w:rPr>
        <w:t xml:space="preserve">” of any person means any and all shares, interests, participations, rights or other equivalents (however designated) of the equity of such person. </w:t>
      </w:r>
    </w:p>
    <w:p>
      <w:pPr>
        <w:pStyle w:val="TextBody"/>
        <w:bidi w:val="0"/>
        <w:spacing w:before="240" w:after="0"/>
        <w:jc w:val="left"/>
        <w:rPr/>
      </w:pPr>
      <w:r>
        <w:rPr/>
        <w:t>“</w:t>
      </w:r>
      <w:r>
        <w:rPr>
          <w:rFonts w:ascii="Times New Roman" w:hAnsi="Times New Roman"/>
          <w:i/>
          <w:sz w:val="20"/>
        </w:rPr>
        <w:t>Certificated Securities</w:t>
      </w:r>
      <w:r>
        <w:rPr>
          <w:rFonts w:ascii="Times New Roman" w:hAnsi="Times New Roman"/>
          <w:sz w:val="20"/>
        </w:rPr>
        <w:t xml:space="preserve">” means definitive Securities in registered non-global certificated form. </w:t>
      </w:r>
    </w:p>
    <w:p>
      <w:pPr>
        <w:pStyle w:val="TextBody"/>
        <w:bidi w:val="0"/>
        <w:spacing w:before="240" w:after="0"/>
        <w:jc w:val="left"/>
        <w:rPr/>
      </w:pPr>
      <w:r>
        <w:rPr/>
        <w:t>“</w:t>
      </w:r>
      <w:r>
        <w:rPr>
          <w:rFonts w:ascii="Times New Roman" w:hAnsi="Times New Roman"/>
          <w:i/>
          <w:sz w:val="20"/>
        </w:rPr>
        <w:t>Company</w:t>
      </w:r>
      <w:r>
        <w:rPr>
          <w:rFonts w:ascii="Times New Roman" w:hAnsi="Times New Roman"/>
          <w:sz w:val="20"/>
        </w:rPr>
        <w:t xml:space="preserve">” means the party named as such above until a successor, which duly assumes the obligations under this Indenture, replaces it and thereafter means the successor. </w:t>
      </w:r>
    </w:p>
    <w:p>
      <w:pPr>
        <w:pStyle w:val="TextBody"/>
        <w:bidi w:val="0"/>
        <w:spacing w:before="240" w:after="0"/>
        <w:jc w:val="left"/>
        <w:rPr/>
      </w:pPr>
      <w:r>
        <w:rPr/>
        <w:t>“</w:t>
      </w:r>
      <w:r>
        <w:rPr>
          <w:rFonts w:ascii="Times New Roman" w:hAnsi="Times New Roman"/>
          <w:i/>
          <w:sz w:val="20"/>
        </w:rPr>
        <w:t>Company Order</w:t>
      </w:r>
      <w:r>
        <w:rPr>
          <w:rFonts w:ascii="Times New Roman" w:hAnsi="Times New Roman"/>
          <w:sz w:val="20"/>
        </w:rPr>
        <w:t xml:space="preserve">” means a written order signed in the name of the Company by an Officer. </w:t>
      </w:r>
    </w:p>
    <w:p>
      <w:pPr>
        <w:pStyle w:val="TextBody"/>
        <w:bidi w:val="0"/>
        <w:spacing w:before="240" w:after="0"/>
        <w:jc w:val="left"/>
        <w:rPr/>
      </w:pPr>
      <w:r>
        <w:rPr/>
        <w:t>“</w:t>
      </w:r>
      <w:r>
        <w:rPr>
          <w:rFonts w:ascii="Times New Roman" w:hAnsi="Times New Roman"/>
          <w:i/>
          <w:sz w:val="20"/>
        </w:rPr>
        <w:t>Corporate Trust Office</w:t>
      </w:r>
      <w:r>
        <w:rPr>
          <w:rFonts w:ascii="Times New Roman" w:hAnsi="Times New Roman"/>
          <w:sz w:val="20"/>
        </w:rPr>
        <w:t xml:space="preserve">” means the office of the Trustee at which at any particular time its corporate trust business related to this Indenture shall be principally administered, which office at the date hereof is located at , ; Attention: , or such other address as the Trustee may designate from time to time by notice to the Holders and the Company, or the corporate trust office of any successor Trustee at which this Indenture shall be administered (or such other address as a successor Trustee may designate from time to time by notice to the Holders of the Company). </w:t>
      </w:r>
    </w:p>
    <w:p>
      <w:pPr>
        <w:pStyle w:val="TextBody"/>
        <w:bidi w:val="0"/>
        <w:spacing w:before="240" w:after="0"/>
        <w:jc w:val="left"/>
        <w:rPr/>
      </w:pPr>
      <w:r>
        <w:rPr/>
        <w:t>“</w:t>
      </w:r>
      <w:r>
        <w:rPr>
          <w:rFonts w:ascii="Times New Roman" w:hAnsi="Times New Roman"/>
          <w:i/>
          <w:sz w:val="20"/>
        </w:rPr>
        <w:t>Default</w:t>
      </w:r>
      <w:r>
        <w:rPr>
          <w:rFonts w:ascii="Times New Roman" w:hAnsi="Times New Roman"/>
          <w:sz w:val="20"/>
        </w:rPr>
        <w:t xml:space="preserve">” means any event which is, or after notice or passage of time or both would be, an Event of Default. </w:t>
      </w:r>
    </w:p>
    <w:p>
      <w:pPr>
        <w:pStyle w:val="TextBody"/>
        <w:bidi w:val="0"/>
        <w:spacing w:before="240" w:after="0"/>
        <w:jc w:val="left"/>
        <w:rPr/>
      </w:pPr>
      <w:r>
        <w:rPr/>
        <w:t>“</w:t>
      </w:r>
      <w:r>
        <w:rPr>
          <w:rFonts w:ascii="Times New Roman" w:hAnsi="Times New Roman"/>
          <w:i/>
          <w:sz w:val="20"/>
        </w:rPr>
        <w:t>Depositary</w:t>
      </w:r>
      <w:r>
        <w:rPr>
          <w:rFonts w:ascii="Times New Roman" w:hAnsi="Times New Roman"/>
          <w:sz w:val="20"/>
        </w:rPr>
        <w:t xml:space="preserve">”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Discount Security</w:t>
      </w:r>
      <w:r>
        <w:rPr>
          <w:rFonts w:ascii="Times New Roman" w:hAnsi="Times New Roman"/>
          <w:sz w:val="20"/>
        </w:rPr>
        <w:t xml:space="preserve">” means any Security that provides for an amount less than the stated principal amount thereof to be due and payable upon declaration of acceleration of the maturity thereof pursuant to Section 6.2. </w:t>
      </w:r>
    </w:p>
    <w:p>
      <w:pPr>
        <w:pStyle w:val="TextBody"/>
        <w:bidi w:val="0"/>
        <w:spacing w:before="240" w:after="0"/>
        <w:jc w:val="left"/>
        <w:rPr/>
      </w:pPr>
      <w:r>
        <w:rPr/>
        <w:t>“</w:t>
      </w:r>
      <w:r>
        <w:rPr>
          <w:rFonts w:ascii="Times New Roman" w:hAnsi="Times New Roman"/>
          <w:i/>
          <w:sz w:val="20"/>
        </w:rPr>
        <w:t>Dollars</w:t>
      </w:r>
      <w:r>
        <w:rPr>
          <w:rFonts w:ascii="Times New Roman" w:hAnsi="Times New Roman"/>
          <w:sz w:val="20"/>
        </w:rPr>
        <w:t>” and “</w:t>
      </w:r>
      <w:r>
        <w:rPr>
          <w:rFonts w:ascii="Times New Roman" w:hAnsi="Times New Roman"/>
          <w:i/>
          <w:sz w:val="20"/>
        </w:rPr>
        <w:t>$</w:t>
      </w:r>
      <w:r>
        <w:rPr>
          <w:rFonts w:ascii="Times New Roman" w:hAnsi="Times New Roman"/>
          <w:sz w:val="20"/>
        </w:rPr>
        <w:t xml:space="preserve">” means the currency of The United States of America. </w:t>
      </w:r>
    </w:p>
    <w:p>
      <w:pPr>
        <w:pStyle w:val="TextBody"/>
        <w:bidi w:val="0"/>
        <w:spacing w:before="240" w:after="0"/>
        <w:jc w:val="left"/>
        <w:rPr/>
      </w:pPr>
      <w:r>
        <w:rPr/>
        <w:t>“</w:t>
      </w:r>
      <w:r>
        <w:rPr>
          <w:rFonts w:ascii="Times New Roman" w:hAnsi="Times New Roman"/>
          <w:i/>
          <w:sz w:val="20"/>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i/>
          <w:sz w:val="20"/>
        </w:rPr>
        <w:t>Foreign Currency</w:t>
      </w:r>
      <w:r>
        <w:rPr>
          <w:rFonts w:ascii="Times New Roman" w:hAnsi="Times New Roman"/>
          <w:sz w:val="20"/>
        </w:rPr>
        <w:t xml:space="preserve">” means any currency or currency unit issued by a government other than the government of The United States of America. </w:t>
      </w:r>
    </w:p>
    <w:p>
      <w:pPr>
        <w:pStyle w:val="TextBody"/>
        <w:bidi w:val="0"/>
        <w:spacing w:before="240" w:after="0"/>
        <w:jc w:val="left"/>
        <w:rPr/>
      </w:pPr>
      <w:r>
        <w:rPr/>
        <w:t>“</w:t>
      </w:r>
      <w:r>
        <w:rPr>
          <w:rFonts w:ascii="Times New Roman" w:hAnsi="Times New Roman"/>
          <w:i/>
          <w:sz w:val="20"/>
        </w:rPr>
        <w:t>Foreign Government Obligations</w:t>
      </w:r>
      <w:r>
        <w:rPr>
          <w:rFonts w:ascii="Times New Roman" w:hAnsi="Times New Roman"/>
          <w:sz w:val="20"/>
        </w:rPr>
        <w:t xml:space="preserve">”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 </w:t>
      </w:r>
    </w:p>
    <w:p>
      <w:pPr>
        <w:pStyle w:val="TextBody"/>
        <w:bidi w:val="0"/>
        <w:spacing w:before="240" w:after="0"/>
        <w:jc w:val="left"/>
        <w:rPr/>
      </w:pPr>
      <w:r>
        <w:rPr/>
        <w:t>“</w:t>
      </w:r>
      <w:r>
        <w:rPr>
          <w:rFonts w:ascii="Times New Roman" w:hAnsi="Times New Roman"/>
          <w:i/>
          <w:sz w:val="20"/>
        </w:rPr>
        <w:t>GAAP</w:t>
      </w:r>
      <w:r>
        <w:rPr>
          <w:rFonts w:ascii="Times New Roman" w:hAnsi="Times New Roman"/>
          <w:sz w:val="20"/>
        </w:rPr>
        <w:t xml:space="preserve">” means accounting principles generally accepted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 </w:t>
      </w:r>
    </w:p>
    <w:p>
      <w:pPr>
        <w:pStyle w:val="TextBody"/>
        <w:bidi w:val="0"/>
        <w:spacing w:before="240" w:after="0"/>
        <w:jc w:val="left"/>
        <w:rPr/>
      </w:pPr>
      <w:r>
        <w:rPr/>
        <w:t>“</w:t>
      </w:r>
      <w:r>
        <w:rPr>
          <w:rFonts w:ascii="Times New Roman" w:hAnsi="Times New Roman"/>
          <w:i/>
          <w:sz w:val="20"/>
        </w:rPr>
        <w:t>Global Security</w:t>
      </w:r>
      <w:r>
        <w:rPr>
          <w:rFonts w:ascii="Times New Roman" w:hAnsi="Times New Roman"/>
          <w:sz w:val="20"/>
        </w:rPr>
        <w:t>” or “</w:t>
      </w:r>
      <w:r>
        <w:rPr>
          <w:rFonts w:ascii="Times New Roman" w:hAnsi="Times New Roman"/>
          <w:i/>
          <w:sz w:val="20"/>
        </w:rPr>
        <w:t>Global Securities</w:t>
      </w:r>
      <w:r>
        <w:rPr>
          <w:rFonts w:ascii="Times New Roman" w:hAnsi="Times New Roman"/>
          <w:sz w:val="20"/>
        </w:rPr>
        <w:t xml:space="preserve">” means a Security or Securities, as the case may be, in the form established pursuant to Section 2.2 evidencing all or part of a Series of Securities, issued to the Depositary for such Series or its nominee, and registered in the name of such Depositary or nominee. </w:t>
      </w:r>
    </w:p>
    <w:p>
      <w:pPr>
        <w:pStyle w:val="TextBody"/>
        <w:bidi w:val="0"/>
        <w:spacing w:before="240" w:after="0"/>
        <w:jc w:val="left"/>
        <w:rPr/>
      </w:pPr>
      <w:r>
        <w:rPr/>
        <w:t>“</w:t>
      </w:r>
      <w:r>
        <w:rPr>
          <w:rFonts w:ascii="Times New Roman" w:hAnsi="Times New Roman"/>
          <w:i/>
          <w:sz w:val="20"/>
        </w:rPr>
        <w:t>Holder</w:t>
      </w:r>
      <w:r>
        <w:rPr>
          <w:rFonts w:ascii="Times New Roman" w:hAnsi="Times New Roman"/>
          <w:sz w:val="20"/>
        </w:rPr>
        <w:t>” or “</w:t>
      </w:r>
      <w:r>
        <w:rPr>
          <w:rFonts w:ascii="Times New Roman" w:hAnsi="Times New Roman"/>
          <w:i/>
          <w:sz w:val="20"/>
        </w:rPr>
        <w:t>Securityholder</w:t>
      </w:r>
      <w:r>
        <w:rPr>
          <w:rFonts w:ascii="Times New Roman" w:hAnsi="Times New Roman"/>
          <w:sz w:val="20"/>
        </w:rPr>
        <w:t xml:space="preserve">” means a person in whose name a Security is registered on the books of the Registrar. </w:t>
      </w:r>
    </w:p>
    <w:p>
      <w:pPr>
        <w:pStyle w:val="TextBody"/>
        <w:bidi w:val="0"/>
        <w:spacing w:before="240" w:after="0"/>
        <w:jc w:val="left"/>
        <w:rPr/>
      </w:pPr>
      <w:r>
        <w:rPr/>
        <w:t>“</w:t>
      </w:r>
      <w:r>
        <w:rPr>
          <w:rFonts w:ascii="Times New Roman" w:hAnsi="Times New Roman"/>
          <w:i/>
          <w:sz w:val="20"/>
        </w:rPr>
        <w:t>Indenture</w:t>
      </w:r>
      <w:r>
        <w:rPr>
          <w:rFonts w:ascii="Times New Roman" w:hAnsi="Times New Roman"/>
          <w:sz w:val="20"/>
        </w:rPr>
        <w:t xml:space="preserve">” means this Indenture as amended or supplemented from time to time and shall include the form and terms of particular Series of Securities established as contemplated hereunder. </w:t>
      </w:r>
    </w:p>
    <w:p>
      <w:pPr>
        <w:pStyle w:val="TextBody"/>
        <w:bidi w:val="0"/>
        <w:spacing w:before="240" w:after="0"/>
        <w:jc w:val="left"/>
        <w:rPr/>
      </w:pPr>
      <w:r>
        <w:rPr/>
        <w:t>“</w:t>
      </w:r>
      <w:r>
        <w:rPr>
          <w:rFonts w:ascii="Times New Roman" w:hAnsi="Times New Roman"/>
          <w:i/>
          <w:sz w:val="20"/>
        </w:rPr>
        <w:t>interest</w:t>
      </w:r>
      <w:r>
        <w:rPr>
          <w:rFonts w:ascii="Times New Roman" w:hAnsi="Times New Roman"/>
          <w:sz w:val="20"/>
        </w:rPr>
        <w:t xml:space="preserve">” means, with respect to any Security, any interest on such Security, and with respect to any Discount Security which by its terms bears interest only after Maturity, interest payable after Maturity. </w:t>
      </w:r>
    </w:p>
    <w:p>
      <w:pPr>
        <w:pStyle w:val="TextBody"/>
        <w:bidi w:val="0"/>
        <w:spacing w:before="240" w:after="0"/>
        <w:jc w:val="left"/>
        <w:rPr/>
      </w:pPr>
      <w:r>
        <w:rPr/>
        <w:t>“</w:t>
      </w:r>
      <w:r>
        <w:rPr>
          <w:rFonts w:ascii="Times New Roman" w:hAnsi="Times New Roman"/>
          <w:i/>
          <w:sz w:val="20"/>
        </w:rPr>
        <w:t>Maturity</w:t>
      </w:r>
      <w:r>
        <w:rPr>
          <w:rFonts w:ascii="Times New Roman" w:hAnsi="Times New Roman"/>
          <w:sz w:val="20"/>
        </w:rPr>
        <w:t xml:space="preserve">,” when used with respect to any Security, means the date on which the principal of such Security becomes due and payable as therein or herein provided, whether at the Stated Maturity or by declaration of acceleration, call for redemption or otherwise. </w:t>
      </w:r>
    </w:p>
    <w:p>
      <w:pPr>
        <w:pStyle w:val="TextBody"/>
        <w:bidi w:val="0"/>
        <w:spacing w:before="240" w:after="0"/>
        <w:jc w:val="left"/>
        <w:rPr/>
      </w:pPr>
      <w:r>
        <w:rPr/>
        <w:t>“</w:t>
      </w:r>
      <w:r>
        <w:rPr>
          <w:rFonts w:ascii="Times New Roman" w:hAnsi="Times New Roman"/>
          <w:i/>
          <w:sz w:val="20"/>
        </w:rPr>
        <w:t>Officer</w:t>
      </w:r>
      <w:r>
        <w:rPr>
          <w:rFonts w:ascii="Times New Roman" w:hAnsi="Times New Roman"/>
          <w:sz w:val="20"/>
        </w:rPr>
        <w:t xml:space="preserve">” means the Chief Executive Officer, President, any Vice President, the Treasurer or Secretary of the Company. </w:t>
      </w:r>
    </w:p>
    <w:p>
      <w:pPr>
        <w:pStyle w:val="TextBody"/>
        <w:bidi w:val="0"/>
        <w:spacing w:before="240" w:after="0"/>
        <w:jc w:val="left"/>
        <w:rPr/>
      </w:pPr>
      <w:r>
        <w:rPr/>
        <w:t>“</w:t>
      </w:r>
      <w:r>
        <w:rPr>
          <w:rFonts w:ascii="Times New Roman" w:hAnsi="Times New Roman"/>
          <w:i/>
          <w:sz w:val="20"/>
        </w:rPr>
        <w:t>Officer’s Certificate</w:t>
      </w:r>
      <w:r>
        <w:rPr>
          <w:rFonts w:ascii="Times New Roman" w:hAnsi="Times New Roman"/>
          <w:sz w:val="20"/>
        </w:rPr>
        <w:t xml:space="preserve">” means a certificate signed by any Officer (or any person designated in writing by an Officer of the Company as authorized to execute and deliver Officer’s Certificates) and delivered to the Trustee. </w:t>
      </w:r>
    </w:p>
    <w:p>
      <w:pPr>
        <w:pStyle w:val="TextBody"/>
        <w:bidi w:val="0"/>
        <w:spacing w:before="240" w:after="0"/>
        <w:jc w:val="left"/>
        <w:rPr/>
      </w:pPr>
      <w:r>
        <w:rPr/>
        <w:t>“</w:t>
      </w:r>
      <w:r>
        <w:rPr>
          <w:rFonts w:ascii="Times New Roman" w:hAnsi="Times New Roman"/>
          <w:i/>
          <w:sz w:val="20"/>
        </w:rPr>
        <w:t>Opinion of Counsel</w:t>
      </w:r>
      <w:r>
        <w:rPr>
          <w:rFonts w:ascii="Times New Roman" w:hAnsi="Times New Roman"/>
          <w:sz w:val="20"/>
        </w:rPr>
        <w:t xml:space="preserve">” means a written opinion of legal counsel. The counsel may be an employee of or counsel to the Company. Opinions of Counsel required to be delivered under this Indenture may have qualifications customary for opinions of the type required. </w:t>
      </w:r>
    </w:p>
    <w:p>
      <w:pPr>
        <w:pStyle w:val="TextBody"/>
        <w:bidi w:val="0"/>
        <w:spacing w:before="240" w:after="0"/>
        <w:jc w:val="left"/>
        <w:rPr/>
      </w:pPr>
      <w:r>
        <w:rPr/>
        <w:t>“</w:t>
      </w:r>
      <w:r>
        <w:rPr>
          <w:rFonts w:ascii="Times New Roman" w:hAnsi="Times New Roman"/>
          <w:i/>
          <w:sz w:val="20"/>
        </w:rPr>
        <w:t>person</w:t>
      </w:r>
      <w:r>
        <w:rPr>
          <w:rFonts w:ascii="Times New Roman" w:hAnsi="Times New Roman"/>
          <w:sz w:val="20"/>
        </w:rPr>
        <w:t xml:space="preserve">” means any individual, corporation, company, voluntary association, partnership, trust, joint venture, limited liability company, unincorporated organization or government or any agency, instrumentality or political subdivision thereof. </w:t>
      </w:r>
    </w:p>
    <w:p>
      <w:pPr>
        <w:pStyle w:val="TextBody"/>
        <w:bidi w:val="0"/>
        <w:spacing w:before="240" w:after="0"/>
        <w:jc w:val="left"/>
        <w:rPr/>
      </w:pPr>
      <w:r>
        <w:rPr/>
        <w:t>“</w:t>
      </w:r>
      <w:r>
        <w:rPr>
          <w:rFonts w:ascii="Times New Roman" w:hAnsi="Times New Roman"/>
          <w:i/>
          <w:sz w:val="20"/>
        </w:rPr>
        <w:t>principal</w:t>
      </w:r>
      <w:r>
        <w:rPr>
          <w:rFonts w:ascii="Times New Roman" w:hAnsi="Times New Roman"/>
          <w:sz w:val="20"/>
        </w:rPr>
        <w:t xml:space="preserve">” of a Security means the principal of the Security plus, when appropriate, the premium, if any, on the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Responsible Officer</w:t>
      </w:r>
      <w:r>
        <w:rPr>
          <w:rFonts w:ascii="Times New Roman" w:hAnsi="Times New Roman"/>
          <w:sz w:val="20"/>
        </w:rPr>
        <w:t xml:space="preserve">” means any officer of the Trustee in its Corporate Trust Office having direct responsibility for administration of this Indenture and also means, with respect to a particular corporate trust matter, any other officer to whom any corporate trust matter is referred because of his or her knowledge of and familiarity with a particular subject and who shall have direct responsibility for the administration of this Indenture. </w:t>
      </w:r>
    </w:p>
    <w:p>
      <w:pPr>
        <w:pStyle w:val="TextBody"/>
        <w:bidi w:val="0"/>
        <w:spacing w:before="240" w:after="0"/>
        <w:jc w:val="left"/>
        <w:rPr/>
      </w:pPr>
      <w:r>
        <w:rPr/>
        <w:t>“</w:t>
      </w:r>
      <w:r>
        <w:rPr>
          <w:rFonts w:ascii="Times New Roman" w:hAnsi="Times New Roman"/>
          <w:i/>
          <w:sz w:val="20"/>
        </w:rPr>
        <w:t>SEC</w:t>
      </w:r>
      <w:r>
        <w:rPr>
          <w:rFonts w:ascii="Times New Roman" w:hAnsi="Times New Roman"/>
          <w:sz w:val="20"/>
        </w:rPr>
        <w:t xml:space="preserve">” means the Securities and Exchange Commission. </w:t>
      </w:r>
    </w:p>
    <w:p>
      <w:pPr>
        <w:pStyle w:val="TextBody"/>
        <w:bidi w:val="0"/>
        <w:spacing w:before="240" w:after="0"/>
        <w:jc w:val="left"/>
        <w:rPr/>
      </w:pPr>
      <w:r>
        <w:rPr/>
        <w:t>“</w:t>
      </w:r>
      <w:r>
        <w:rPr>
          <w:rFonts w:ascii="Times New Roman" w:hAnsi="Times New Roman"/>
          <w:i/>
          <w:sz w:val="20"/>
        </w:rPr>
        <w:t>Securities</w:t>
      </w:r>
      <w:r>
        <w:rPr>
          <w:rFonts w:ascii="Times New Roman" w:hAnsi="Times New Roman"/>
          <w:sz w:val="20"/>
        </w:rPr>
        <w:t xml:space="preserve">” means the subordinated debentures, notes or other debt instruments of the Company of any Series authenticated and delivered under this Indenture. </w:t>
      </w:r>
    </w:p>
    <w:p>
      <w:pPr>
        <w:pStyle w:val="TextBody"/>
        <w:bidi w:val="0"/>
        <w:spacing w:before="240" w:after="0"/>
        <w:jc w:val="left"/>
        <w:rPr/>
      </w:pPr>
      <w:r>
        <w:rPr/>
        <w:t>“</w:t>
      </w:r>
      <w:r>
        <w:rPr>
          <w:rFonts w:ascii="Times New Roman" w:hAnsi="Times New Roman"/>
          <w:i/>
          <w:sz w:val="20"/>
        </w:rPr>
        <w:t>Series</w:t>
      </w:r>
      <w:r>
        <w:rPr>
          <w:rFonts w:ascii="Times New Roman" w:hAnsi="Times New Roman"/>
          <w:sz w:val="20"/>
        </w:rPr>
        <w:t>” or “</w:t>
      </w:r>
      <w:r>
        <w:rPr>
          <w:rFonts w:ascii="Times New Roman" w:hAnsi="Times New Roman"/>
          <w:i/>
          <w:sz w:val="20"/>
        </w:rPr>
        <w:t>Series of Securities</w:t>
      </w:r>
      <w:r>
        <w:rPr>
          <w:rFonts w:ascii="Times New Roman" w:hAnsi="Times New Roman"/>
          <w:sz w:val="20"/>
        </w:rPr>
        <w:t xml:space="preserve">” means each series of debentures, notes or other debt instruments of the Company created pursuant to Sections 2.1 and 2.2 hereof. </w:t>
      </w:r>
    </w:p>
    <w:p>
      <w:pPr>
        <w:pStyle w:val="TextBody"/>
        <w:bidi w:val="0"/>
        <w:spacing w:before="240" w:after="0"/>
        <w:jc w:val="left"/>
        <w:rPr/>
      </w:pPr>
      <w:r>
        <w:rPr/>
        <w:t>“</w:t>
      </w:r>
      <w:r>
        <w:rPr>
          <w:rFonts w:ascii="Times New Roman" w:hAnsi="Times New Roman"/>
          <w:i/>
          <w:sz w:val="20"/>
        </w:rPr>
        <w:t>Stated Maturity</w:t>
      </w:r>
      <w:r>
        <w:rPr>
          <w:rFonts w:ascii="Times New Roman" w:hAnsi="Times New Roman"/>
          <w:sz w:val="20"/>
        </w:rPr>
        <w:t xml:space="preserve">” when used with respect to any Security, means the date specified in such Security as the fixed date on which the principal of such Security is due and payable.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means, with respect to any person, any corporation, partnership, joint venture, limited liability company or other business entity of which a majority of the outstanding shares of Capital Stock or other interests having the power to vote in the election of directors, managers or trustees thereof is at the time directly or indirectly owned or controlled by such person or one or more of the other Subsidiaries of such person, or a combination thereof. </w:t>
      </w:r>
    </w:p>
    <w:p>
      <w:pPr>
        <w:pStyle w:val="TextBody"/>
        <w:bidi w:val="0"/>
        <w:spacing w:before="240" w:after="0"/>
        <w:jc w:val="left"/>
        <w:rPr/>
      </w:pPr>
      <w:r>
        <w:rPr/>
        <w:t>“</w:t>
      </w:r>
      <w:r>
        <w:rPr>
          <w:rFonts w:ascii="Times New Roman" w:hAnsi="Times New Roman"/>
          <w:i/>
          <w:sz w:val="20"/>
        </w:rPr>
        <w:t>TIA</w:t>
      </w:r>
      <w:r>
        <w:rPr>
          <w:rFonts w:ascii="Times New Roman" w:hAnsi="Times New Roman"/>
          <w:sz w:val="20"/>
        </w:rPr>
        <w:t xml:space="preserve">” means the Trust Indenture Act of 1939 (15 U.S. Code §§ 77aaa-77bbbb) as in effect on the date of this Indenture;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the Trust Indenture Act of 1939 is amended after such date, “TIA” means, to the extent required by any such amendment, the Trust Indenture Act as so amended. </w:t>
      </w:r>
    </w:p>
    <w:p>
      <w:pPr>
        <w:pStyle w:val="TextBody"/>
        <w:bidi w:val="0"/>
        <w:spacing w:before="240" w:after="0"/>
        <w:jc w:val="left"/>
        <w:rPr/>
      </w:pPr>
      <w:r>
        <w:rPr/>
        <w:t>“</w:t>
      </w:r>
      <w:r>
        <w:rPr>
          <w:rFonts w:ascii="Times New Roman" w:hAnsi="Times New Roman"/>
          <w:i/>
          <w:sz w:val="20"/>
        </w:rPr>
        <w:t>Trustee</w:t>
      </w:r>
      <w:r>
        <w:rPr>
          <w:rFonts w:ascii="Times New Roman" w:hAnsi="Times New Roman"/>
          <w:sz w:val="20"/>
        </w:rPr>
        <w:t xml:space="preserv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 </w:t>
      </w:r>
    </w:p>
    <w:p>
      <w:pPr>
        <w:pStyle w:val="TextBody"/>
        <w:bidi w:val="0"/>
        <w:spacing w:before="240" w:after="0"/>
        <w:jc w:val="left"/>
        <w:rPr/>
      </w:pPr>
      <w:r>
        <w:rPr/>
        <w:t>“</w:t>
      </w:r>
      <w:r>
        <w:rPr>
          <w:rFonts w:ascii="Times New Roman" w:hAnsi="Times New Roman"/>
          <w:i/>
          <w:sz w:val="20"/>
        </w:rPr>
        <w:t>United States</w:t>
      </w:r>
      <w:r>
        <w:rPr>
          <w:rFonts w:ascii="Times New Roman" w:hAnsi="Times New Roman"/>
          <w:sz w:val="20"/>
        </w:rPr>
        <w:t>” or “</w:t>
      </w:r>
      <w:r>
        <w:rPr>
          <w:rFonts w:ascii="Times New Roman" w:hAnsi="Times New Roman"/>
          <w:i/>
          <w:sz w:val="20"/>
        </w:rPr>
        <w:t>U.S.</w:t>
      </w:r>
      <w:r>
        <w:rPr>
          <w:rFonts w:ascii="Times New Roman" w:hAnsi="Times New Roman"/>
          <w:sz w:val="20"/>
        </w:rPr>
        <w:t xml:space="preserve">” means The United States of America (including the states thereof and the District of Columbia), its territories and possessions and other areas subject to its jurisdiction. </w:t>
      </w:r>
    </w:p>
    <w:p>
      <w:pPr>
        <w:pStyle w:val="TextBody"/>
        <w:bidi w:val="0"/>
        <w:spacing w:before="240" w:after="0"/>
        <w:jc w:val="left"/>
        <w:rPr/>
      </w:pPr>
      <w:r>
        <w:rPr/>
        <w:t>“</w:t>
      </w:r>
      <w:r>
        <w:rPr>
          <w:rFonts w:ascii="Times New Roman" w:hAnsi="Times New Roman"/>
          <w:i/>
          <w:sz w:val="20"/>
        </w:rPr>
        <w:t>U.S. Government Obligations</w:t>
      </w:r>
      <w:r>
        <w:rPr>
          <w:rFonts w:ascii="Times New Roman" w:hAnsi="Times New Roman"/>
          <w:sz w:val="20"/>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Other Definitions</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90"/>
        <w:gridCol w:w="407"/>
        <w:gridCol w:w="103"/>
        <w:gridCol w:w="977"/>
        <w:gridCol w:w="62"/>
      </w:tblGrid>
      <w:tr>
        <w:trPr/>
        <w:tc>
          <w:tcPr>
            <w:tcW w:w="5390" w:type="dxa"/>
            <w:tcBorders/>
            <w:vAlign w:val="center"/>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39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TERM</w:t>
            </w:r>
          </w:p>
        </w:tc>
        <w:tc>
          <w:tcPr>
            <w:tcW w:w="407" w:type="dxa"/>
            <w:tcBorders/>
            <w:vAlign w:val="bottom"/>
          </w:tcPr>
          <w:p>
            <w:pPr>
              <w:pStyle w:val="TableContents"/>
              <w:bidi w:val="0"/>
              <w:spacing w:before="0" w:after="283"/>
              <w:jc w:val="left"/>
              <w:rPr/>
            </w:pPr>
            <w:r>
              <w:rPr/>
              <w:t>  </w:t>
            </w:r>
          </w:p>
        </w:tc>
        <w:tc>
          <w:tcPr>
            <w:tcW w:w="1080" w:type="dxa"/>
            <w:gridSpan w:val="2"/>
            <w:tcBorders>
              <w:bottom w:val="single" w:sz="8" w:space="0" w:color="000000"/>
            </w:tcBorders>
            <w:tcMar>
              <w:bottom w:w="28" w:type="dxa"/>
            </w:tcMar>
            <w:vAlign w:val="bottom"/>
          </w:tcPr>
          <w:p>
            <w:pPr>
              <w:pStyle w:val="TableContents"/>
              <w:bidi w:val="0"/>
              <w:spacing w:before="0" w:after="283"/>
              <w:jc w:val="center"/>
              <w:rPr/>
            </w:pPr>
            <w:r>
              <w:rPr/>
              <w:t>DEFINED</w:t>
              <w:br/>
              <w:t>IN</w:t>
              <w:br/>
              <w:t>SECTION</w:t>
            </w:r>
          </w:p>
        </w:tc>
        <w:tc>
          <w:tcPr>
            <w:tcW w:w="62" w:type="dxa"/>
            <w:tcBorders/>
            <w:vAlign w:val="bottom"/>
          </w:tcPr>
          <w:p>
            <w:pPr>
              <w:pStyle w:val="TableContents"/>
              <w:bidi w:val="0"/>
              <w:spacing w:before="0" w:after="283"/>
              <w:jc w:val="left"/>
              <w:rPr/>
            </w:pPr>
            <w:r>
              <w:rPr/>
              <w:t> </w:t>
            </w:r>
          </w:p>
        </w:tc>
      </w:tr>
      <w:tr>
        <w:trPr/>
        <w:tc>
          <w:tcPr>
            <w:tcW w:w="5390" w:type="dxa"/>
            <w:tcBorders/>
          </w:tcPr>
          <w:p>
            <w:pPr>
              <w:pStyle w:val="TableContents"/>
              <w:bidi w:val="0"/>
              <w:spacing w:before="0" w:after="0"/>
              <w:jc w:val="left"/>
              <w:rPr/>
            </w:pPr>
            <w:r>
              <w:rPr/>
              <w:t>“</w:t>
            </w:r>
            <w:r>
              <w:rPr>
                <w:rFonts w:ascii="Times New Roman" w:hAnsi="Times New Roman"/>
                <w:i/>
                <w:sz w:val="20"/>
              </w:rPr>
              <w:t>Bankruptcy Law”</w:t>
            </w:r>
          </w:p>
        </w:tc>
        <w:tc>
          <w:tcPr>
            <w:tcW w:w="40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6.1</w:t>
            </w:r>
          </w:p>
        </w:tc>
        <w:tc>
          <w:tcPr>
            <w:tcW w:w="62" w:type="dxa"/>
            <w:tcBorders/>
            <w:vAlign w:val="bottom"/>
          </w:tcPr>
          <w:p>
            <w:pPr>
              <w:pStyle w:val="TableContents"/>
              <w:bidi w:val="0"/>
              <w:spacing w:before="0" w:after="283"/>
              <w:jc w:val="left"/>
              <w:rPr/>
            </w:pPr>
            <w:r>
              <w:rPr/>
              <w:t> </w:t>
            </w:r>
          </w:p>
        </w:tc>
      </w:tr>
      <w:tr>
        <w:trPr/>
        <w:tc>
          <w:tcPr>
            <w:tcW w:w="5390" w:type="dxa"/>
            <w:tcBorders/>
          </w:tcPr>
          <w:p>
            <w:pPr>
              <w:pStyle w:val="TableContents"/>
              <w:bidi w:val="0"/>
              <w:spacing w:before="0" w:after="0"/>
              <w:jc w:val="left"/>
              <w:rPr/>
            </w:pPr>
            <w:r>
              <w:rPr/>
              <w:t>“</w:t>
            </w:r>
            <w:r>
              <w:rPr>
                <w:rFonts w:ascii="Times New Roman" w:hAnsi="Times New Roman"/>
                <w:i/>
                <w:sz w:val="20"/>
              </w:rPr>
              <w:t>Custodian”</w:t>
            </w:r>
          </w:p>
        </w:tc>
        <w:tc>
          <w:tcPr>
            <w:tcW w:w="40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6.1</w:t>
            </w:r>
          </w:p>
        </w:tc>
        <w:tc>
          <w:tcPr>
            <w:tcW w:w="62" w:type="dxa"/>
            <w:tcBorders/>
            <w:vAlign w:val="bottom"/>
          </w:tcPr>
          <w:p>
            <w:pPr>
              <w:pStyle w:val="TableContents"/>
              <w:bidi w:val="0"/>
              <w:spacing w:before="0" w:after="283"/>
              <w:jc w:val="left"/>
              <w:rPr/>
            </w:pPr>
            <w:r>
              <w:rPr/>
              <w:t> </w:t>
            </w:r>
          </w:p>
        </w:tc>
      </w:tr>
      <w:tr>
        <w:trPr/>
        <w:tc>
          <w:tcPr>
            <w:tcW w:w="5390" w:type="dxa"/>
            <w:tcBorders/>
          </w:tcPr>
          <w:p>
            <w:pPr>
              <w:pStyle w:val="TableContents"/>
              <w:bidi w:val="0"/>
              <w:spacing w:before="0" w:after="0"/>
              <w:jc w:val="left"/>
              <w:rPr/>
            </w:pPr>
            <w:r>
              <w:rPr/>
              <w:t>“</w:t>
            </w:r>
            <w:r>
              <w:rPr>
                <w:rFonts w:ascii="Times New Roman" w:hAnsi="Times New Roman"/>
                <w:i/>
                <w:sz w:val="20"/>
              </w:rPr>
              <w:t>Event of Default”</w:t>
            </w:r>
          </w:p>
        </w:tc>
        <w:tc>
          <w:tcPr>
            <w:tcW w:w="40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6.1</w:t>
            </w:r>
          </w:p>
        </w:tc>
        <w:tc>
          <w:tcPr>
            <w:tcW w:w="62" w:type="dxa"/>
            <w:tcBorders/>
            <w:vAlign w:val="bottom"/>
          </w:tcPr>
          <w:p>
            <w:pPr>
              <w:pStyle w:val="TableContents"/>
              <w:bidi w:val="0"/>
              <w:spacing w:before="0" w:after="283"/>
              <w:jc w:val="left"/>
              <w:rPr/>
            </w:pPr>
            <w:r>
              <w:rPr/>
              <w:t> </w:t>
            </w:r>
          </w:p>
        </w:tc>
      </w:tr>
      <w:tr>
        <w:trPr/>
        <w:tc>
          <w:tcPr>
            <w:tcW w:w="5390" w:type="dxa"/>
            <w:tcBorders/>
          </w:tcPr>
          <w:p>
            <w:pPr>
              <w:pStyle w:val="TableContents"/>
              <w:bidi w:val="0"/>
              <w:spacing w:before="0" w:after="0"/>
              <w:jc w:val="left"/>
              <w:rPr/>
            </w:pPr>
            <w:r>
              <w:rPr/>
              <w:t>“</w:t>
            </w:r>
            <w:r>
              <w:rPr>
                <w:rFonts w:ascii="Times New Roman" w:hAnsi="Times New Roman"/>
                <w:i/>
                <w:sz w:val="20"/>
              </w:rPr>
              <w:t>Judgment Currency”</w:t>
            </w:r>
          </w:p>
        </w:tc>
        <w:tc>
          <w:tcPr>
            <w:tcW w:w="40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10.16</w:t>
            </w:r>
          </w:p>
        </w:tc>
        <w:tc>
          <w:tcPr>
            <w:tcW w:w="62" w:type="dxa"/>
            <w:tcBorders/>
            <w:vAlign w:val="bottom"/>
          </w:tcPr>
          <w:p>
            <w:pPr>
              <w:pStyle w:val="TableContents"/>
              <w:bidi w:val="0"/>
              <w:spacing w:before="0" w:after="283"/>
              <w:jc w:val="left"/>
              <w:rPr/>
            </w:pPr>
            <w:r>
              <w:rPr/>
              <w:t> </w:t>
            </w:r>
          </w:p>
        </w:tc>
      </w:tr>
      <w:tr>
        <w:trPr/>
        <w:tc>
          <w:tcPr>
            <w:tcW w:w="5390" w:type="dxa"/>
            <w:tcBorders/>
          </w:tcPr>
          <w:p>
            <w:pPr>
              <w:pStyle w:val="TableContents"/>
              <w:bidi w:val="0"/>
              <w:spacing w:before="0" w:after="0"/>
              <w:jc w:val="left"/>
              <w:rPr/>
            </w:pPr>
            <w:r>
              <w:rPr/>
              <w:t>“</w:t>
            </w:r>
            <w:r>
              <w:rPr>
                <w:rFonts w:ascii="Times New Roman" w:hAnsi="Times New Roman"/>
                <w:i/>
                <w:sz w:val="20"/>
              </w:rPr>
              <w:t>Legal Holiday”</w:t>
            </w:r>
          </w:p>
        </w:tc>
        <w:tc>
          <w:tcPr>
            <w:tcW w:w="40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10.7</w:t>
            </w:r>
          </w:p>
        </w:tc>
        <w:tc>
          <w:tcPr>
            <w:tcW w:w="62" w:type="dxa"/>
            <w:tcBorders/>
            <w:vAlign w:val="bottom"/>
          </w:tcPr>
          <w:p>
            <w:pPr>
              <w:pStyle w:val="TableContents"/>
              <w:bidi w:val="0"/>
              <w:spacing w:before="0" w:after="283"/>
              <w:jc w:val="left"/>
              <w:rPr/>
            </w:pPr>
            <w:r>
              <w:rPr/>
              <w:t> </w:t>
            </w:r>
          </w:p>
        </w:tc>
      </w:tr>
      <w:tr>
        <w:trPr/>
        <w:tc>
          <w:tcPr>
            <w:tcW w:w="5390" w:type="dxa"/>
            <w:tcBorders/>
          </w:tcPr>
          <w:p>
            <w:pPr>
              <w:pStyle w:val="TableContents"/>
              <w:bidi w:val="0"/>
              <w:spacing w:before="0" w:after="0"/>
              <w:jc w:val="left"/>
              <w:rPr/>
            </w:pPr>
            <w:r>
              <w:rPr/>
              <w:t>“</w:t>
            </w:r>
            <w:r>
              <w:rPr>
                <w:rFonts w:ascii="Times New Roman" w:hAnsi="Times New Roman"/>
                <w:i/>
                <w:sz w:val="20"/>
              </w:rPr>
              <w:t>mandatory sinking fund payment”</w:t>
            </w:r>
          </w:p>
        </w:tc>
        <w:tc>
          <w:tcPr>
            <w:tcW w:w="40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11.1</w:t>
            </w:r>
          </w:p>
        </w:tc>
        <w:tc>
          <w:tcPr>
            <w:tcW w:w="62" w:type="dxa"/>
            <w:tcBorders/>
            <w:vAlign w:val="bottom"/>
          </w:tcPr>
          <w:p>
            <w:pPr>
              <w:pStyle w:val="TableContents"/>
              <w:bidi w:val="0"/>
              <w:spacing w:before="0" w:after="283"/>
              <w:jc w:val="left"/>
              <w:rPr/>
            </w:pPr>
            <w:r>
              <w:rPr/>
              <w:t> </w:t>
            </w:r>
          </w:p>
        </w:tc>
      </w:tr>
      <w:tr>
        <w:trPr/>
        <w:tc>
          <w:tcPr>
            <w:tcW w:w="5390" w:type="dxa"/>
            <w:tcBorders/>
          </w:tcPr>
          <w:p>
            <w:pPr>
              <w:pStyle w:val="TableContents"/>
              <w:bidi w:val="0"/>
              <w:spacing w:before="0" w:after="0"/>
              <w:jc w:val="left"/>
              <w:rPr/>
            </w:pPr>
            <w:r>
              <w:rPr/>
              <w:t>“</w:t>
            </w:r>
            <w:r>
              <w:rPr>
                <w:rFonts w:ascii="Times New Roman" w:hAnsi="Times New Roman"/>
                <w:i/>
                <w:sz w:val="20"/>
              </w:rPr>
              <w:t>optional sinking fund payment”</w:t>
            </w:r>
          </w:p>
        </w:tc>
        <w:tc>
          <w:tcPr>
            <w:tcW w:w="40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11.1</w:t>
            </w:r>
          </w:p>
        </w:tc>
        <w:tc>
          <w:tcPr>
            <w:tcW w:w="62" w:type="dxa"/>
            <w:tcBorders/>
            <w:vAlign w:val="bottom"/>
          </w:tcPr>
          <w:p>
            <w:pPr>
              <w:pStyle w:val="TableContents"/>
              <w:bidi w:val="0"/>
              <w:spacing w:before="0" w:after="283"/>
              <w:jc w:val="left"/>
              <w:rPr/>
            </w:pPr>
            <w:r>
              <w:rPr/>
              <w:t> </w:t>
            </w:r>
          </w:p>
        </w:tc>
      </w:tr>
      <w:tr>
        <w:trPr/>
        <w:tc>
          <w:tcPr>
            <w:tcW w:w="5390" w:type="dxa"/>
            <w:tcBorders/>
          </w:tcPr>
          <w:p>
            <w:pPr>
              <w:pStyle w:val="TableContents"/>
              <w:bidi w:val="0"/>
              <w:spacing w:before="0" w:after="0"/>
              <w:jc w:val="left"/>
              <w:rPr/>
            </w:pPr>
            <w:r>
              <w:rPr/>
              <w:t>“</w:t>
            </w:r>
            <w:r>
              <w:rPr>
                <w:rFonts w:ascii="Times New Roman" w:hAnsi="Times New Roman"/>
                <w:i/>
                <w:sz w:val="20"/>
              </w:rPr>
              <w:t>Paying Agent”</w:t>
            </w:r>
          </w:p>
        </w:tc>
        <w:tc>
          <w:tcPr>
            <w:tcW w:w="40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5390" w:type="dxa"/>
            <w:tcBorders/>
          </w:tcPr>
          <w:p>
            <w:pPr>
              <w:pStyle w:val="TableContents"/>
              <w:bidi w:val="0"/>
              <w:spacing w:before="0" w:after="0"/>
              <w:jc w:val="left"/>
              <w:rPr/>
            </w:pPr>
            <w:r>
              <w:rPr/>
              <w:t>“</w:t>
            </w:r>
            <w:r>
              <w:rPr>
                <w:rFonts w:ascii="Times New Roman" w:hAnsi="Times New Roman"/>
                <w:i/>
                <w:sz w:val="20"/>
              </w:rPr>
              <w:t>Registrar”</w:t>
            </w:r>
          </w:p>
        </w:tc>
        <w:tc>
          <w:tcPr>
            <w:tcW w:w="40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5390" w:type="dxa"/>
            <w:tcBorders/>
          </w:tcPr>
          <w:p>
            <w:pPr>
              <w:pStyle w:val="TableContents"/>
              <w:bidi w:val="0"/>
              <w:spacing w:before="0" w:after="0"/>
              <w:jc w:val="left"/>
              <w:rPr/>
            </w:pPr>
            <w:r>
              <w:rPr/>
              <w:t>“</w:t>
            </w:r>
            <w:r>
              <w:rPr>
                <w:rFonts w:ascii="Times New Roman" w:hAnsi="Times New Roman"/>
                <w:i/>
                <w:sz w:val="20"/>
              </w:rPr>
              <w:t>Required Currency”</w:t>
            </w:r>
          </w:p>
        </w:tc>
        <w:tc>
          <w:tcPr>
            <w:tcW w:w="40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10.16</w:t>
            </w:r>
          </w:p>
        </w:tc>
        <w:tc>
          <w:tcPr>
            <w:tcW w:w="62" w:type="dxa"/>
            <w:tcBorders/>
            <w:vAlign w:val="bottom"/>
          </w:tcPr>
          <w:p>
            <w:pPr>
              <w:pStyle w:val="TableContents"/>
              <w:bidi w:val="0"/>
              <w:spacing w:before="0" w:after="283"/>
              <w:jc w:val="left"/>
              <w:rPr/>
            </w:pPr>
            <w:r>
              <w:rPr/>
              <w:t> </w:t>
            </w:r>
          </w:p>
        </w:tc>
      </w:tr>
      <w:tr>
        <w:trPr/>
        <w:tc>
          <w:tcPr>
            <w:tcW w:w="5390" w:type="dxa"/>
            <w:tcBorders/>
          </w:tcPr>
          <w:p>
            <w:pPr>
              <w:pStyle w:val="TableContents"/>
              <w:bidi w:val="0"/>
              <w:spacing w:before="0" w:after="0"/>
              <w:jc w:val="left"/>
              <w:rPr/>
            </w:pPr>
            <w:r>
              <w:rPr/>
              <w:t>“</w:t>
            </w:r>
            <w:r>
              <w:rPr>
                <w:rFonts w:ascii="Times New Roman" w:hAnsi="Times New Roman"/>
                <w:i/>
                <w:sz w:val="20"/>
              </w:rPr>
              <w:t>successor person”</w:t>
            </w:r>
          </w:p>
        </w:tc>
        <w:tc>
          <w:tcPr>
            <w:tcW w:w="40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5.1</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Incorporation by Reference of Trust Indenture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Whenever this Indenture refers to a provision of the TIA, the provision is incorporated by reference in and made a part of this Indenture. The following TIA terms used in this Indenture have the following meanings: </w:t>
      </w:r>
    </w:p>
    <w:p>
      <w:pPr>
        <w:pStyle w:val="TextBody"/>
        <w:bidi w:val="0"/>
        <w:spacing w:before="240" w:after="0"/>
        <w:jc w:val="left"/>
        <w:rPr/>
      </w:pPr>
      <w:r>
        <w:rPr/>
        <w:t>“</w:t>
      </w:r>
      <w:r>
        <w:rPr>
          <w:rFonts w:ascii="Times New Roman" w:hAnsi="Times New Roman"/>
          <w:i/>
          <w:sz w:val="20"/>
        </w:rPr>
        <w:t>Commission</w:t>
      </w:r>
      <w:r>
        <w:rPr>
          <w:rFonts w:ascii="Times New Roman" w:hAnsi="Times New Roman"/>
          <w:sz w:val="20"/>
        </w:rPr>
        <w:t xml:space="preserve">” means the SEC. </w:t>
      </w:r>
    </w:p>
    <w:p>
      <w:pPr>
        <w:pStyle w:val="TextBody"/>
        <w:bidi w:val="0"/>
        <w:spacing w:before="240" w:after="0"/>
        <w:jc w:val="left"/>
        <w:rPr/>
      </w:pPr>
      <w:r>
        <w:rPr/>
        <w:t>“</w:t>
      </w:r>
      <w:r>
        <w:rPr>
          <w:rFonts w:ascii="Times New Roman" w:hAnsi="Times New Roman"/>
          <w:i/>
          <w:sz w:val="20"/>
        </w:rPr>
        <w:t>indenture securities</w:t>
      </w:r>
      <w:r>
        <w:rPr>
          <w:rFonts w:ascii="Times New Roman" w:hAnsi="Times New Roman"/>
          <w:sz w:val="20"/>
        </w:rPr>
        <w:t xml:space="preserve">” means the Securities. </w:t>
      </w:r>
    </w:p>
    <w:p>
      <w:pPr>
        <w:pStyle w:val="TextBody"/>
        <w:bidi w:val="0"/>
        <w:spacing w:before="240" w:after="0"/>
        <w:jc w:val="left"/>
        <w:rPr/>
      </w:pPr>
      <w:r>
        <w:rPr/>
        <w:t>“</w:t>
      </w:r>
      <w:r>
        <w:rPr>
          <w:rFonts w:ascii="Times New Roman" w:hAnsi="Times New Roman"/>
          <w:i/>
          <w:sz w:val="20"/>
        </w:rPr>
        <w:t>obligor</w:t>
      </w:r>
      <w:r>
        <w:rPr>
          <w:rFonts w:ascii="Times New Roman" w:hAnsi="Times New Roman"/>
          <w:sz w:val="20"/>
        </w:rPr>
        <w:t xml:space="preserve">” on the indenture securities means the Company and any successor obligor upon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All other terms used in this Indenture that are defined by the TIA, defined by TIA reference to another statute or defined by SEC rule under the TIA and not otherwise defined herein are used herein as so defined.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Rules of Construction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Unless the context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(a) a term has the meaning assigned to it; </w:t>
      </w:r>
    </w:p>
    <w:p>
      <w:pPr>
        <w:pStyle w:val="TextBody"/>
        <w:bidi w:val="0"/>
        <w:spacing w:before="120" w:after="0"/>
        <w:jc w:val="left"/>
        <w:rPr>
          <w:rFonts w:ascii="Times New Roman" w:hAnsi="Times New Roman"/>
          <w:sz w:val="20"/>
        </w:rPr>
      </w:pPr>
      <w:r>
        <w:rPr>
          <w:rFonts w:ascii="Times New Roman" w:hAnsi="Times New Roman"/>
          <w:sz w:val="20"/>
        </w:rPr>
        <w:t xml:space="preserve">(b) an accounting term not otherwise defined has the meaning assigned to it in accordance with GAAP;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i/>
          <w:sz w:val="20"/>
        </w:rPr>
        <w:t>or</w:t>
      </w:r>
      <w:r>
        <w:rPr>
          <w:rFonts w:ascii="Times New Roman" w:hAnsi="Times New Roman"/>
          <w:sz w:val="20"/>
        </w:rPr>
        <w:t xml:space="preserve">” is not exclusive; </w:t>
      </w:r>
    </w:p>
    <w:p>
      <w:pPr>
        <w:pStyle w:val="TextBody"/>
        <w:bidi w:val="0"/>
        <w:spacing w:before="120" w:after="0"/>
        <w:jc w:val="left"/>
        <w:rPr>
          <w:rFonts w:ascii="Times New Roman" w:hAnsi="Times New Roman"/>
          <w:sz w:val="20"/>
        </w:rPr>
      </w:pPr>
      <w:r>
        <w:rPr>
          <w:rFonts w:ascii="Times New Roman" w:hAnsi="Times New Roman"/>
          <w:sz w:val="20"/>
        </w:rPr>
        <w:t xml:space="preserve">(d) words in the singular include the plural, and in the plural include the singular; and </w:t>
      </w:r>
    </w:p>
    <w:p>
      <w:pPr>
        <w:pStyle w:val="TextBody"/>
        <w:bidi w:val="0"/>
        <w:spacing w:before="120" w:after="0"/>
        <w:jc w:val="left"/>
        <w:rPr>
          <w:rFonts w:ascii="Times New Roman" w:hAnsi="Times New Roman"/>
          <w:sz w:val="20"/>
        </w:rPr>
      </w:pPr>
      <w:r>
        <w:rPr>
          <w:rFonts w:ascii="Times New Roman" w:hAnsi="Times New Roman"/>
          <w:sz w:val="20"/>
        </w:rPr>
        <w:t xml:space="preserve">(e) provisions apply to successive events and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II. </w:t>
      </w:r>
    </w:p>
    <w:p>
      <w:pPr>
        <w:pStyle w:val="TextBody"/>
        <w:bidi w:val="0"/>
        <w:spacing w:before="0" w:after="0"/>
        <w:jc w:val="center"/>
        <w:rPr>
          <w:rFonts w:ascii="Times New Roman" w:hAnsi="Times New Roman"/>
          <w:sz w:val="20"/>
        </w:rPr>
      </w:pPr>
      <w:r>
        <w:rPr>
          <w:rFonts w:ascii="Times New Roman" w:hAnsi="Times New Roman"/>
          <w:sz w:val="20"/>
        </w:rPr>
        <w:t xml:space="preserve">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Issuable in Series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supplemental indenture hereto or Officer’s Certificate establishing the terms of such Series. In the case of Securities of a Series to be issued from time to time, the Board Resolution, Officer’s Certificate or supplemental indenture establishing the terms thereof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Establishment of Terms of Series of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At or prior to the issuance of any Securities within a Series, the following shall be established (as to the Series generally, in the case of Subsection 2.2.1 and either as to such Securities within the Series or as to the Series generally in the case of Subsections 2.2.2 through 2.2.24) by or pursuant to a Board Resolution, and set forth or determined in the manner provided in a Board Resolution, supplemental indenture hereto or Officer’s Certificate: </w:t>
      </w:r>
    </w:p>
    <w:p>
      <w:pPr>
        <w:pStyle w:val="TextBody"/>
        <w:bidi w:val="0"/>
        <w:spacing w:before="120" w:after="0"/>
        <w:jc w:val="left"/>
        <w:rPr>
          <w:rFonts w:ascii="Times New Roman" w:hAnsi="Times New Roman"/>
          <w:sz w:val="20"/>
        </w:rPr>
      </w:pPr>
      <w:r>
        <w:rPr>
          <w:rFonts w:ascii="Times New Roman" w:hAnsi="Times New Roman"/>
          <w:sz w:val="20"/>
        </w:rPr>
        <w:t xml:space="preserve">2.2.1. the title (which shall distinguish the Securities of that particular Series from the Securities of any other Series) of the Series; </w:t>
      </w:r>
    </w:p>
    <w:p>
      <w:pPr>
        <w:pStyle w:val="TextBody"/>
        <w:bidi w:val="0"/>
        <w:spacing w:before="120" w:after="0"/>
        <w:jc w:val="left"/>
        <w:rPr>
          <w:rFonts w:ascii="Times New Roman" w:hAnsi="Times New Roman"/>
          <w:sz w:val="20"/>
        </w:rPr>
      </w:pPr>
      <w:r>
        <w:rPr>
          <w:rFonts w:ascii="Times New Roman" w:hAnsi="Times New Roman"/>
          <w:sz w:val="20"/>
        </w:rPr>
        <w:t xml:space="preserve">2.2.2. the price or prices (expressed as a percentage of the principal amount thereof) at which the Securities of the Series will be issued; </w:t>
      </w:r>
    </w:p>
    <w:p>
      <w:pPr>
        <w:pStyle w:val="TextBody"/>
        <w:bidi w:val="0"/>
        <w:spacing w:before="120" w:after="0"/>
        <w:jc w:val="left"/>
        <w:rPr>
          <w:rFonts w:ascii="Times New Roman" w:hAnsi="Times New Roman"/>
          <w:sz w:val="20"/>
        </w:rPr>
      </w:pPr>
      <w:r>
        <w:rPr>
          <w:rFonts w:ascii="Times New Roman" w:hAnsi="Times New Roman"/>
          <w:sz w:val="20"/>
        </w:rPr>
        <w:t xml:space="preserve">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2.8, 2.9, 2.12, 3.6 or 9.6); </w:t>
      </w:r>
    </w:p>
    <w:p>
      <w:pPr>
        <w:pStyle w:val="TextBody"/>
        <w:bidi w:val="0"/>
        <w:spacing w:before="120" w:after="0"/>
        <w:jc w:val="left"/>
        <w:rPr>
          <w:rFonts w:ascii="Times New Roman" w:hAnsi="Times New Roman"/>
          <w:sz w:val="20"/>
        </w:rPr>
      </w:pPr>
      <w:r>
        <w:rPr>
          <w:rFonts w:ascii="Times New Roman" w:hAnsi="Times New Roman"/>
          <w:sz w:val="20"/>
        </w:rPr>
        <w:t xml:space="preserve">2.2.4. the date or dates on which the principal of the Securities of the Series is payable; </w:t>
      </w:r>
    </w:p>
    <w:p>
      <w:pPr>
        <w:pStyle w:val="TextBody"/>
        <w:bidi w:val="0"/>
        <w:spacing w:before="120" w:after="0"/>
        <w:jc w:val="left"/>
        <w:rPr>
          <w:rFonts w:ascii="Times New Roman" w:hAnsi="Times New Roman"/>
          <w:sz w:val="20"/>
        </w:rPr>
      </w:pPr>
      <w:r>
        <w:rPr>
          <w:rFonts w:ascii="Times New Roman" w:hAnsi="Times New Roman"/>
          <w:sz w:val="20"/>
        </w:rPr>
        <w:t xml:space="preserve">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 </w:t>
      </w:r>
    </w:p>
    <w:p>
      <w:pPr>
        <w:pStyle w:val="TextBody"/>
        <w:bidi w:val="0"/>
        <w:spacing w:before="120" w:after="0"/>
        <w:jc w:val="left"/>
        <w:rPr>
          <w:rFonts w:ascii="Times New Roman" w:hAnsi="Times New Roman"/>
          <w:sz w:val="20"/>
        </w:rPr>
      </w:pPr>
      <w:r>
        <w:rPr>
          <w:rFonts w:ascii="Times New Roman" w:hAnsi="Times New Roman"/>
          <w:sz w:val="20"/>
        </w:rPr>
        <w:t xml:space="preserve">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 </w:t>
      </w:r>
    </w:p>
    <w:p>
      <w:pPr>
        <w:pStyle w:val="TextBody"/>
        <w:bidi w:val="0"/>
        <w:spacing w:before="120" w:after="0"/>
        <w:jc w:val="left"/>
        <w:rPr>
          <w:rFonts w:ascii="Times New Roman" w:hAnsi="Times New Roman"/>
          <w:sz w:val="20"/>
        </w:rPr>
      </w:pPr>
      <w:r>
        <w:rPr>
          <w:rFonts w:ascii="Times New Roman" w:hAnsi="Times New Roman"/>
          <w:sz w:val="20"/>
        </w:rPr>
        <w:t xml:space="preserve">2.2.7. if applicable, the period or periods within which, the price or prices at which and the terms and conditions upon which the Securities of the Series must be redeemed or may be redeemed, in whole or in part, at the option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 </w:t>
      </w:r>
    </w:p>
    <w:p>
      <w:pPr>
        <w:pStyle w:val="TextBody"/>
        <w:bidi w:val="0"/>
        <w:spacing w:before="120" w:after="0"/>
        <w:jc w:val="left"/>
        <w:rPr>
          <w:rFonts w:ascii="Times New Roman" w:hAnsi="Times New Roman"/>
          <w:sz w:val="20"/>
        </w:rPr>
      </w:pPr>
      <w:r>
        <w:rPr>
          <w:rFonts w:ascii="Times New Roman" w:hAnsi="Times New Roman"/>
          <w:sz w:val="20"/>
        </w:rPr>
        <w:t xml:space="preserve">2.2.9. the dates, if any, on which and the price or prices at which the Securities of the Series will be repurchased by the Company at the option of the Holders thereof and other detailed terms and provisions of such repurchase obligations; </w:t>
      </w:r>
    </w:p>
    <w:p>
      <w:pPr>
        <w:pStyle w:val="TextBody"/>
        <w:bidi w:val="0"/>
        <w:spacing w:before="120" w:after="0"/>
        <w:jc w:val="left"/>
        <w:rPr>
          <w:rFonts w:ascii="Times New Roman" w:hAnsi="Times New Roman"/>
          <w:sz w:val="20"/>
        </w:rPr>
      </w:pPr>
      <w:r>
        <w:rPr>
          <w:rFonts w:ascii="Times New Roman" w:hAnsi="Times New Roman"/>
          <w:sz w:val="20"/>
        </w:rPr>
        <w:t xml:space="preserve">2.2.10. if other than denominations of $1,000 and integral multiples of $1,000 in excess thereof, the denominations in which the Securities of the Series shall be issuable;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2.2.11. the forms of the Securities of the Series and whether the Securities will be issuable as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2.2.12. if other than the principal amount thereof, the portion of the principal amount of the Securities of the Series that shall be payable upon declaration of acceleration of the maturity thereof pursuant to Section 6.2; </w:t>
      </w:r>
    </w:p>
    <w:p>
      <w:pPr>
        <w:pStyle w:val="TextBody"/>
        <w:bidi w:val="0"/>
        <w:spacing w:before="120" w:after="0"/>
        <w:jc w:val="left"/>
        <w:rPr>
          <w:rFonts w:ascii="Times New Roman" w:hAnsi="Times New Roman"/>
          <w:sz w:val="20"/>
        </w:rPr>
      </w:pPr>
      <w:r>
        <w:rPr>
          <w:rFonts w:ascii="Times New Roman" w:hAnsi="Times New Roman"/>
          <w:sz w:val="20"/>
        </w:rPr>
        <w:t xml:space="preserve">2.2.13. the currency of denomination of the Securities of the Series, which may be Dollars or any Foreign Currency, and if such currency of denomination is a composite currency, the agency or organization, if any, responsible for overseeing such composite currency; </w:t>
      </w:r>
    </w:p>
    <w:p>
      <w:pPr>
        <w:pStyle w:val="TextBody"/>
        <w:bidi w:val="0"/>
        <w:spacing w:before="120" w:after="0"/>
        <w:jc w:val="left"/>
        <w:rPr>
          <w:rFonts w:ascii="Times New Roman" w:hAnsi="Times New Roman"/>
          <w:sz w:val="20"/>
        </w:rPr>
      </w:pPr>
      <w:r>
        <w:rPr>
          <w:rFonts w:ascii="Times New Roman" w:hAnsi="Times New Roman"/>
          <w:sz w:val="20"/>
        </w:rPr>
        <w:t xml:space="preserve">2.2.14. the designation of the currency, currencies or currency units in which payment of the principal of and interest, if any, on the Securities of the Series will be made; </w:t>
      </w:r>
    </w:p>
    <w:p>
      <w:pPr>
        <w:pStyle w:val="TextBody"/>
        <w:bidi w:val="0"/>
        <w:spacing w:before="120" w:after="0"/>
        <w:jc w:val="left"/>
        <w:rPr>
          <w:rFonts w:ascii="Times New Roman" w:hAnsi="Times New Roman"/>
          <w:sz w:val="20"/>
        </w:rPr>
      </w:pPr>
      <w:r>
        <w:rPr>
          <w:rFonts w:ascii="Times New Roman" w:hAnsi="Times New Roman"/>
          <w:sz w:val="20"/>
        </w:rPr>
        <w:t xml:space="preserve">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 </w:t>
      </w:r>
    </w:p>
    <w:p>
      <w:pPr>
        <w:pStyle w:val="TextBody"/>
        <w:bidi w:val="0"/>
        <w:spacing w:before="120" w:after="0"/>
        <w:jc w:val="left"/>
        <w:rPr>
          <w:rFonts w:ascii="Times New Roman" w:hAnsi="Times New Roman"/>
          <w:sz w:val="20"/>
        </w:rPr>
      </w:pPr>
      <w:r>
        <w:rPr>
          <w:rFonts w:ascii="Times New Roman" w:hAnsi="Times New Roman"/>
          <w:sz w:val="20"/>
        </w:rPr>
        <w:t xml:space="preserve">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 </w:t>
      </w:r>
    </w:p>
    <w:p>
      <w:pPr>
        <w:pStyle w:val="TextBody"/>
        <w:bidi w:val="0"/>
        <w:spacing w:before="120" w:after="0"/>
        <w:jc w:val="left"/>
        <w:rPr>
          <w:rFonts w:ascii="Times New Roman" w:hAnsi="Times New Roman"/>
          <w:sz w:val="20"/>
        </w:rPr>
      </w:pPr>
      <w:r>
        <w:rPr>
          <w:rFonts w:ascii="Times New Roman" w:hAnsi="Times New Roman"/>
          <w:sz w:val="20"/>
        </w:rPr>
        <w:t xml:space="preserve">2.2.17. the provisions, if any, relating to any security provided for the Securities of the Series; </w:t>
      </w:r>
    </w:p>
    <w:p>
      <w:pPr>
        <w:pStyle w:val="TextBody"/>
        <w:bidi w:val="0"/>
        <w:spacing w:before="120" w:after="0"/>
        <w:jc w:val="left"/>
        <w:rPr>
          <w:rFonts w:ascii="Times New Roman" w:hAnsi="Times New Roman"/>
          <w:sz w:val="20"/>
        </w:rPr>
      </w:pPr>
      <w:r>
        <w:rPr>
          <w:rFonts w:ascii="Times New Roman" w:hAnsi="Times New Roman"/>
          <w:sz w:val="20"/>
        </w:rPr>
        <w:t xml:space="preserve">2.2.18. any addition to, deletion of or change in the Events of Default which applies to any Securities of the Series and any change in the right of the Trustee or the requisite Holders of such Securities to declare the principal amount thereof due and payable pursuant to Section 6.2; </w:t>
      </w:r>
    </w:p>
    <w:p>
      <w:pPr>
        <w:pStyle w:val="TextBody"/>
        <w:bidi w:val="0"/>
        <w:spacing w:before="120" w:after="0"/>
        <w:jc w:val="left"/>
        <w:rPr>
          <w:rFonts w:ascii="Times New Roman" w:hAnsi="Times New Roman"/>
          <w:sz w:val="20"/>
        </w:rPr>
      </w:pPr>
      <w:r>
        <w:rPr>
          <w:rFonts w:ascii="Times New Roman" w:hAnsi="Times New Roman"/>
          <w:sz w:val="20"/>
        </w:rPr>
        <w:t xml:space="preserve">2.2.19. any addition to, deletion of or change in the covenants set forth in Articles IV or V which applies to Securities of the Series; </w:t>
      </w:r>
    </w:p>
    <w:p>
      <w:pPr>
        <w:pStyle w:val="TextBody"/>
        <w:bidi w:val="0"/>
        <w:spacing w:before="120" w:after="0"/>
        <w:jc w:val="left"/>
        <w:rPr>
          <w:rFonts w:ascii="Times New Roman" w:hAnsi="Times New Roman"/>
          <w:sz w:val="20"/>
        </w:rPr>
      </w:pPr>
      <w:r>
        <w:rPr>
          <w:rFonts w:ascii="Times New Roman" w:hAnsi="Times New Roman"/>
          <w:sz w:val="20"/>
        </w:rPr>
        <w:t xml:space="preserve">2.2.20. any Depositaries, trustees, interest rate calculation agents, exchange rate calculation agents or other agents with respect to Securities of such Series if other than those appointed herein; </w:t>
      </w:r>
    </w:p>
    <w:p>
      <w:pPr>
        <w:pStyle w:val="TextBody"/>
        <w:bidi w:val="0"/>
        <w:spacing w:before="120" w:after="0"/>
        <w:jc w:val="left"/>
        <w:rPr>
          <w:rFonts w:ascii="Times New Roman" w:hAnsi="Times New Roman"/>
          <w:sz w:val="20"/>
        </w:rPr>
      </w:pPr>
      <w:r>
        <w:rPr>
          <w:rFonts w:ascii="Times New Roman" w:hAnsi="Times New Roman"/>
          <w:sz w:val="20"/>
        </w:rPr>
        <w:t xml:space="preserve">2.2.21. the provisions, if any, relating to conversion or exchange of any Securities of such Series, including if applicable, the conversion or exchange price, the conversion or exchange period, the securities or other property into which the Securities will be convertible,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 </w:t>
      </w:r>
    </w:p>
    <w:p>
      <w:pPr>
        <w:pStyle w:val="TextBody"/>
        <w:bidi w:val="0"/>
        <w:spacing w:before="120" w:after="0"/>
        <w:jc w:val="left"/>
        <w:rPr>
          <w:rFonts w:ascii="Times New Roman" w:hAnsi="Times New Roman"/>
          <w:sz w:val="20"/>
        </w:rPr>
      </w:pPr>
      <w:r>
        <w:rPr>
          <w:rFonts w:ascii="Times New Roman" w:hAnsi="Times New Roman"/>
          <w:sz w:val="20"/>
        </w:rPr>
        <w:t xml:space="preserve">2.2.22. whether any of the Company’s direct or indirect Subsidiaries will guarantee the Securities of that Series, including the terms of subordination, if any, of such guarantees; </w:t>
      </w:r>
    </w:p>
    <w:p>
      <w:pPr>
        <w:pStyle w:val="TextBody"/>
        <w:bidi w:val="0"/>
        <w:spacing w:before="120" w:after="0"/>
        <w:jc w:val="left"/>
        <w:rPr>
          <w:rFonts w:ascii="Times New Roman" w:hAnsi="Times New Roman"/>
          <w:sz w:val="20"/>
        </w:rPr>
      </w:pPr>
      <w:r>
        <w:rPr>
          <w:rFonts w:ascii="Times New Roman" w:hAnsi="Times New Roman"/>
          <w:sz w:val="20"/>
        </w:rPr>
        <w:t xml:space="preserve">2.2.23. the subordination terms of the Securities of the Series; and </w:t>
      </w:r>
    </w:p>
    <w:p>
      <w:pPr>
        <w:pStyle w:val="TextBody"/>
        <w:bidi w:val="0"/>
        <w:spacing w:before="120" w:after="0"/>
        <w:jc w:val="left"/>
        <w:rPr>
          <w:rFonts w:ascii="Times New Roman" w:hAnsi="Times New Roman"/>
          <w:sz w:val="20"/>
        </w:rPr>
      </w:pPr>
      <w:r>
        <w:rPr>
          <w:rFonts w:ascii="Times New Roman" w:hAnsi="Times New Roman"/>
          <w:sz w:val="20"/>
        </w:rPr>
        <w:t xml:space="preserve">2.2.24.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of any one Series need not be issued at the same time and may be issued from time to time, consistent with the terms of this Indenture, if so provided by or pursuant to the Board Resolution, supplemental indenture hereto or Officer’s Certificate referred to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Denominations; Provision for Payment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of any Series shall be issuable, except as otherwise provided with respect to Securities of any Series pursuant to Section 2.2, as registered Securities in the denominations of one thousand Dollars ($1,000) or any integral multiples of $1,000 in excess thereof. Unless otherwise provided with respect to Securities of any Series pursuant to Section 2.2, the principal of and the interest on the Securities of any Series, if any, thereon, shall by payable in Dollars at the Corporate Trust Office of the Trustee. Unless otherwise specified pursuant to Section 2.2 with respect to any Securities of any Series, interest on the Securities of any Series shall be computed on the basis of a 360-day year consisting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Execution and Authentication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Two Officers shall sign the Securities for the Company by manual or facsimile signature. </w:t>
      </w:r>
    </w:p>
    <w:p>
      <w:pPr>
        <w:pStyle w:val="TextBody"/>
        <w:bidi w:val="0"/>
        <w:spacing w:before="240" w:after="0"/>
        <w:jc w:val="left"/>
        <w:rPr>
          <w:rFonts w:ascii="Times New Roman" w:hAnsi="Times New Roman"/>
          <w:sz w:val="20"/>
        </w:rPr>
      </w:pPr>
      <w:r>
        <w:rPr>
          <w:rFonts w:ascii="Times New Roman" w:hAnsi="Times New Roman"/>
          <w:sz w:val="20"/>
        </w:rPr>
        <w:t xml:space="preserve">If an Officer whose signature is on a Security no longer holds that office at the time the Security is authenticated, the Security shall nevertheless be valid. </w:t>
      </w:r>
    </w:p>
    <w:p>
      <w:pPr>
        <w:pStyle w:val="TextBody"/>
        <w:bidi w:val="0"/>
        <w:spacing w:before="240" w:after="0"/>
        <w:jc w:val="left"/>
        <w:rPr>
          <w:rFonts w:ascii="Times New Roman" w:hAnsi="Times New Roman"/>
          <w:sz w:val="20"/>
        </w:rPr>
      </w:pPr>
      <w:r>
        <w:rPr>
          <w:rFonts w:ascii="Times New Roman" w:hAnsi="Times New Roman"/>
          <w:sz w:val="20"/>
        </w:rPr>
        <w:t xml:space="preserve">A Security shall not be valid until authenticated by the manual signature of the Trustee or an authenticating agent. The signature shall be conclusive evidence that the Security has been authenticated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2.9. </w:t>
      </w:r>
    </w:p>
    <w:p>
      <w:pPr>
        <w:pStyle w:val="TextBody"/>
        <w:bidi w:val="0"/>
        <w:spacing w:before="240" w:after="0"/>
        <w:jc w:val="left"/>
        <w:rPr>
          <w:rFonts w:ascii="Times New Roman" w:hAnsi="Times New Roman"/>
          <w:sz w:val="20"/>
        </w:rPr>
      </w:pPr>
      <w:r>
        <w:rPr>
          <w:rFonts w:ascii="Times New Roman" w:hAnsi="Times New Roman"/>
          <w:sz w:val="20"/>
        </w:rPr>
        <w:t xml:space="preserve">Prior to the issuance of Securities of any Series, the Trustee shall have received and (subject to Section 7.1) shall be fully protected in conclusively relying on: (a) the Board Resolution, supplemental indenture hereto or Officer’s Certificate delivered pursuant to Section 2.2 establishing the form of the Securities of that Series or of Securities within that Series and the terms of the Securities of that Series or of Securities within that Series, (b) an Officer’s Certificate complying with Section 9.7 (with respect to the execution of supplemental indentures) and Section 10.4, and (c) an Opinion of Counsel complying with Section 9.7 (with respect to the execution of supplemental indentures) and Section 10.4.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the right, but not the obligation, to decline to authenticate and deliver any Securities of such Series: (a) if the Trustee, being advised by counsel, determines that such action may not be taken lawfully; or (b) if the Trustee in good faith determines that such action would expose the Trustee to personal liability.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Registrar and Paying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Company shall maintain, with respect to each Series of Securities, at the place or places specified with respect to such Series, an office or agency where Securities of such Series may be presented or surrendered for payment (“</w:t>
      </w:r>
      <w:r>
        <w:rPr>
          <w:rFonts w:ascii="Times New Roman" w:hAnsi="Times New Roman"/>
          <w:i/>
          <w:sz w:val="20"/>
        </w:rPr>
        <w:t>Paying Agent</w:t>
      </w:r>
      <w:r>
        <w:rPr>
          <w:rFonts w:ascii="Times New Roman" w:hAnsi="Times New Roman"/>
          <w:sz w:val="20"/>
        </w:rPr>
        <w:t>”) and where Securities of such Series may be surrendered for registration of transfer or exchange (“</w:t>
      </w:r>
      <w:r>
        <w:rPr>
          <w:rFonts w:ascii="Times New Roman" w:hAnsi="Times New Roman"/>
          <w:i/>
          <w:sz w:val="20"/>
        </w:rPr>
        <w:t>Registrar</w:t>
      </w:r>
      <w:r>
        <w:rPr>
          <w:rFonts w:ascii="Times New Roman" w:hAnsi="Times New Roman"/>
          <w:sz w:val="20"/>
        </w:rPr>
        <w:t>”). The Registrar shall keep a register with respect to each Series of Securities and to their transfer and exchange (the “</w:t>
      </w:r>
      <w:r>
        <w:rPr>
          <w:rFonts w:ascii="Times New Roman" w:hAnsi="Times New Roman"/>
          <w:i/>
          <w:sz w:val="20"/>
        </w:rPr>
        <w:t>Security Register</w:t>
      </w:r>
      <w:r>
        <w:rPr>
          <w:rFonts w:ascii="Times New Roman" w:hAnsi="Times New Roman"/>
          <w:sz w:val="20"/>
        </w:rPr>
        <w:t xml:space="preserve">”). The Company will give prompt written notice to the Trustee of the name and address, and any change in the name or address, of each Registrar or Paying Agent. If at any time the Company shall fail to maintain any such required Registrar or Paying Agent or shall fail to furnish the Trustee with the name and address thereof, such presentations and surrenders may be made or served at the Corporate Trust Office of the Trustee, and the Company hereby appoints the Trustee as its agent to receive all such presentations and surrenders.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may also from time to time designate one or more co-registrars or additional paying agents and may from time to time rescind such designations;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no such designation or rescission shall in any manner relieve the Company of its obligations to maintain a Registrar or Paying Agent in each place so specified for Securities of any Series for such purposes. The Company will give prompt written notice to the Trustee of any such designation or rescission and of any change in the name or address of any such co-registrar or additional paying agent. The term “</w:t>
      </w:r>
      <w:r>
        <w:rPr>
          <w:rFonts w:ascii="Times New Roman" w:hAnsi="Times New Roman"/>
          <w:i/>
          <w:sz w:val="20"/>
        </w:rPr>
        <w:t>Registrar</w:t>
      </w:r>
      <w:r>
        <w:rPr>
          <w:rFonts w:ascii="Times New Roman" w:hAnsi="Times New Roman"/>
          <w:sz w:val="20"/>
        </w:rPr>
        <w:t>” includes any co-registrar; and the term “</w:t>
      </w:r>
      <w:r>
        <w:rPr>
          <w:rFonts w:ascii="Times New Roman" w:hAnsi="Times New Roman"/>
          <w:i/>
          <w:sz w:val="20"/>
        </w:rPr>
        <w:t>Paying Agent</w:t>
      </w:r>
      <w:r>
        <w:rPr>
          <w:rFonts w:ascii="Times New Roman" w:hAnsi="Times New Roman"/>
          <w:sz w:val="20"/>
        </w:rPr>
        <w:t xml:space="preserve">” includes any additional paying agent. The Company or any of its Affiliates may serve as Registrar or Paying Agent.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appoints the Trustee as the initial Registrar and Paying Agent for each Series unless another Registrar or Paying Agent, as the case may be, is appointed prior to the time Securities of that Series are first issued.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Paying Agent to Hold Money in Trust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Securities of that Series,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2.7. </w:t>
      </w:r>
      <w:r>
        <w:rPr>
          <w:rFonts w:ascii="Times New Roman" w:hAnsi="Times New Roman"/>
          <w:sz w:val="20"/>
          <w:u w:val="single"/>
        </w:rPr>
        <w:t>Securityholder Lists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within 30 days after receipt by the Company of any such request, a list, in such form and as of such date as the Trustee may reasonably require, of the names and addresses of Securityholders of each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2.8. </w:t>
      </w:r>
      <w:r>
        <w:rPr>
          <w:rFonts w:ascii="Times New Roman" w:hAnsi="Times New Roman"/>
          <w:sz w:val="20"/>
          <w:u w:val="single"/>
        </w:rPr>
        <w:t>Transfer and Exchange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2.12, 3.6 or 9.6). </w:t>
      </w:r>
    </w:p>
    <w:p>
      <w:pPr>
        <w:pStyle w:val="TextBody"/>
        <w:bidi w:val="0"/>
        <w:spacing w:before="240" w:after="0"/>
        <w:jc w:val="left"/>
        <w:rPr>
          <w:rFonts w:ascii="Times New Roman" w:hAnsi="Times New Roman"/>
          <w:sz w:val="20"/>
        </w:rPr>
      </w:pPr>
      <w:r>
        <w:rPr>
          <w:rFonts w:ascii="Times New Roman" w:hAnsi="Times New Roman"/>
          <w:sz w:val="20"/>
        </w:rPr>
        <w:t xml:space="preserve">Neither the Company nor the Registrar shall be required (a) to issue, register the transfer of, or exchange Securities of any Series for the period beginning at the opening of business 15 days immediately preceding the mailing of a notice of redemption of Securities of that Series selected for redemption and ending at the close of business on the day of such mailing, or (b) to register the transfer of or exchange Securities of any Series selected, called or being called for redemption as a whole or the portion being redeemed of any such Securities selected, called or being called for redemption in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2.9. </w:t>
      </w:r>
      <w:r>
        <w:rPr>
          <w:rFonts w:ascii="Times New Roman" w:hAnsi="Times New Roman"/>
          <w:sz w:val="20"/>
          <w:u w:val="single"/>
        </w:rPr>
        <w:t>Mutilated, Destroyed, Lost and Stolen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any mutilated Security is surrendered to the Trustee, the Company shall execute and the Trustee shall authenticate and deliver in exchange therefor a new Security of the same Series and of like tenor and principal amount and bearing a number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 xml:space="preserve">If there shall be delivered to the Company and the Trustee (a) evidence to their satisfaction of the destruction, loss or theft of any Security and (b) such security or indemnity bond as may be required by each of them to hold itself and any of its agents harmless, then, in the absence of written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 xml:space="preserve">In case any such mutilated, destroyed, lost or stolen Security has become or is about to become due and payable, the Company in its discretion may, instead of issuing a new Security, pay such Security. </w:t>
      </w:r>
    </w:p>
    <w:p>
      <w:pPr>
        <w:pStyle w:val="TextBody"/>
        <w:bidi w:val="0"/>
        <w:spacing w:before="240" w:after="0"/>
        <w:jc w:val="left"/>
        <w:rPr>
          <w:rFonts w:ascii="Times New Roman" w:hAnsi="Times New Roman"/>
          <w:sz w:val="20"/>
        </w:rPr>
      </w:pPr>
      <w:r>
        <w:rPr>
          <w:rFonts w:ascii="Times New Roman" w:hAnsi="Times New Roman"/>
          <w:sz w:val="20"/>
        </w:rPr>
        <w:t xml:space="preserve">Upon the issuance of any new Security under this Section 2.9, the Company may require the payment of a sum sufficient to cover any tax or other governmental charge that may be imposed in relation thereto and any other expenses (including the fees and expenses of the Trustee) connected therewith. </w:t>
      </w:r>
    </w:p>
    <w:p>
      <w:pPr>
        <w:pStyle w:val="TextBody"/>
        <w:bidi w:val="0"/>
        <w:spacing w:before="240" w:after="0"/>
        <w:jc w:val="left"/>
        <w:rPr>
          <w:rFonts w:ascii="Times New Roman" w:hAnsi="Times New Roman"/>
          <w:sz w:val="20"/>
        </w:rPr>
      </w:pPr>
      <w:r>
        <w:rPr>
          <w:rFonts w:ascii="Times New Roman" w:hAnsi="Times New Roman"/>
          <w:sz w:val="20"/>
        </w:rPr>
        <w:t xml:space="preserve">Every new Security of any Series issued pursuant to this Section 2.9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Section 2.9 are exclusive and shall preclude (to the extent lawful) all other rights and remedies with respect to the replacement or payment of mutilated, destroyed, lost or stolen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Outstanding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outstanding at any time are all the Securities authenticated by the Trustee except for those canceled by the Registrar and those described in this Section 2.10 as not outstanding. </w:t>
      </w:r>
    </w:p>
    <w:p>
      <w:pPr>
        <w:pStyle w:val="TextBody"/>
        <w:bidi w:val="0"/>
        <w:spacing w:before="240" w:after="0"/>
        <w:jc w:val="left"/>
        <w:rPr>
          <w:rFonts w:ascii="Times New Roman" w:hAnsi="Times New Roman"/>
          <w:sz w:val="20"/>
        </w:rPr>
      </w:pPr>
      <w:r>
        <w:rPr>
          <w:rFonts w:ascii="Times New Roman" w:hAnsi="Times New Roman"/>
          <w:sz w:val="20"/>
        </w:rPr>
        <w:t xml:space="preserve">If a Security is replaced pursuant to Section 2.9, it ceases to be outstanding unless the Trustee receives proof satisfactory to it that the replaced Security is held by a bona fide purchaser. </w:t>
      </w:r>
    </w:p>
    <w:p>
      <w:pPr>
        <w:pStyle w:val="TextBody"/>
        <w:bidi w:val="0"/>
        <w:spacing w:before="240" w:after="0"/>
        <w:jc w:val="left"/>
        <w:rPr>
          <w:rFonts w:ascii="Times New Roman" w:hAnsi="Times New Roman"/>
          <w:sz w:val="20"/>
        </w:rPr>
      </w:pPr>
      <w:r>
        <w:rPr>
          <w:rFonts w:ascii="Times New Roman" w:hAnsi="Times New Roman"/>
          <w:sz w:val="20"/>
        </w:rPr>
        <w:t xml:space="preserve">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purchase or otherwise acquire the Securities, whether by open market purchases, negotiated transactions or otherwise. A Security does not cease to be outstanding because the Company or an Affiliate of the Company holds the Security.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Treasury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conclusively relying on any such request, demand, authorization, direction, notice, consent or waiver, only Securities of a Series that a Responsible Officer of the Trustee actually knows are so owned shall be so disregarded. Securities so owned which have been pledged in good faith shall not be disregarded if the pledgee establishes to the satisfaction of the Trustee the pledgee’s right to deliver any such request, demand, authorization, direction, notice, consent or waiver with respect to the Securities and that the pledgee is not the Company or any other obligor upon the Securities or any Affiliate of the Company or of such other obligor.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Temporary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Cancellation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at any time may deliver Securities to the Trustee for cancellation. The Registrar and the Paying Agent, if not the Trustee, shall forward to the Trustee any Securities surrendered to them for registration of transfer, exchange or payment. The Trustee shall cancel all Securities surrendered for transfer, exchange, payment, replacement, conversion or cancellation and shall dispose of such canceled Securities (subject to the record retention requirement of the Exchange Act and the Trustee) in accordance with its customary procedures and deliver a certificate of such cancellation to the Company upon written request of the Company. The Company may not issue new Securities to replace Securities that it has paid or delivered to the Trustee for cancellation. </w:t>
      </w:r>
    </w:p>
    <w:p>
      <w:pPr>
        <w:pStyle w:val="TextBody"/>
        <w:bidi w:val="0"/>
        <w:spacing w:before="240" w:after="0"/>
        <w:jc w:val="left"/>
        <w:rPr>
          <w:rFonts w:ascii="Times New Roman" w:hAnsi="Times New Roman"/>
          <w:sz w:val="20"/>
        </w:rPr>
      </w:pPr>
      <w:r>
        <w:rPr>
          <w:rFonts w:ascii="Times New Roman" w:hAnsi="Times New Roman"/>
          <w:sz w:val="20"/>
        </w:rPr>
        <w:t xml:space="preserve">Section 2.14. </w:t>
      </w:r>
      <w:r>
        <w:rPr>
          <w:rFonts w:ascii="Times New Roman" w:hAnsi="Times New Roman"/>
          <w:sz w:val="20"/>
          <w:u w:val="single"/>
        </w:rPr>
        <w:t>Defaulted 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defaults in a payment of interest on a Series of Securities, it may pay the defaulted interest, plus, to the extent permitted by law, any interest payable on the defaulted interest, to the persons who are Securityholders of the Series on a subsequent special record date. The Company shall fix the record date and payment date. At least ten days before the special record date, the Company shall mail to the Trustee and to each Securityholder of the Series a notice that states the special record date, the payment date and the amount of interest to be paid. The Company may pay defaulted interest in any other lawful manner. </w:t>
      </w:r>
    </w:p>
    <w:p>
      <w:pPr>
        <w:pStyle w:val="TextBody"/>
        <w:bidi w:val="0"/>
        <w:spacing w:before="240" w:after="0"/>
        <w:jc w:val="left"/>
        <w:rPr>
          <w:rFonts w:ascii="Times New Roman" w:hAnsi="Times New Roman"/>
          <w:sz w:val="20"/>
        </w:rPr>
      </w:pPr>
      <w:r>
        <w:rPr>
          <w:rFonts w:ascii="Times New Roman" w:hAnsi="Times New Roman"/>
          <w:sz w:val="20"/>
        </w:rPr>
        <w:t xml:space="preserve">Section 2.15. </w:t>
      </w:r>
      <w:r>
        <w:rPr>
          <w:rFonts w:ascii="Times New Roman" w:hAnsi="Times New Roman"/>
          <w:sz w:val="20"/>
          <w:u w:val="single"/>
        </w:rPr>
        <w:t>Global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2.15.1. </w:t>
      </w:r>
      <w:r>
        <w:rPr>
          <w:rFonts w:ascii="Times New Roman" w:hAnsi="Times New Roman"/>
          <w:sz w:val="20"/>
          <w:u w:val="single"/>
        </w:rPr>
        <w:t>Terms of Securities</w:t>
      </w:r>
      <w:r>
        <w:rPr>
          <w:rFonts w:ascii="Times New Roman" w:hAnsi="Times New Roman"/>
          <w:sz w:val="20"/>
        </w:rPr>
        <w:t xml:space="preserve">. A Board Resolution, a supplemental indenture hereto or an Officer’s Certificate shall establish whether the Securities of a Series shall be issued in whole or in part in the form of one or more Global Securities and the Depositary for such Global Security or Securities. </w:t>
      </w:r>
    </w:p>
    <w:p>
      <w:pPr>
        <w:pStyle w:val="TextBody"/>
        <w:bidi w:val="0"/>
        <w:spacing w:before="120" w:after="0"/>
        <w:jc w:val="left"/>
        <w:rPr>
          <w:rFonts w:ascii="Times New Roman" w:hAnsi="Times New Roman"/>
          <w:sz w:val="20"/>
        </w:rPr>
      </w:pPr>
      <w:r>
        <w:rPr>
          <w:rFonts w:ascii="Times New Roman" w:hAnsi="Times New Roman"/>
          <w:sz w:val="20"/>
        </w:rPr>
        <w:t xml:space="preserve">2.15.2. </w:t>
      </w:r>
      <w:r>
        <w:rPr>
          <w:rFonts w:ascii="Times New Roman" w:hAnsi="Times New Roman"/>
          <w:sz w:val="20"/>
          <w:u w:val="single"/>
        </w:rPr>
        <w:t>Transfer and Exchange</w:t>
      </w:r>
      <w:r>
        <w:rPr>
          <w:rFonts w:ascii="Times New Roman" w:hAnsi="Times New Roman"/>
          <w:sz w:val="20"/>
        </w:rPr>
        <w:t xml:space="preserve">. Notwithstanding any provisions to the contrary contained in Section 2.8 of this Indenture and in addition thereto, any Global Security shall be exchangeable pursuant to Section 2.8 of this Indenture for Securities registered in the names of Holders other than the Depositary for such Security or its nominee only if (a)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(b) the Company determines in its sole discretion not to have such Securities represented by one or more Global Securities and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Except as provided in this Section 2.15.2,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 </w:t>
      </w:r>
    </w:p>
    <w:p>
      <w:pPr>
        <w:pStyle w:val="TextBody"/>
        <w:bidi w:val="0"/>
        <w:spacing w:before="120" w:after="0"/>
        <w:jc w:val="left"/>
        <w:rPr>
          <w:rFonts w:ascii="Times New Roman" w:hAnsi="Times New Roman"/>
          <w:sz w:val="20"/>
        </w:rPr>
      </w:pPr>
      <w:r>
        <w:rPr>
          <w:rFonts w:ascii="Times New Roman" w:hAnsi="Times New Roman"/>
          <w:sz w:val="20"/>
        </w:rPr>
        <w:t xml:space="preserve">2.15.3. </w:t>
      </w:r>
      <w:r>
        <w:rPr>
          <w:rFonts w:ascii="Times New Roman" w:hAnsi="Times New Roman"/>
          <w:sz w:val="20"/>
          <w:u w:val="single"/>
        </w:rPr>
        <w:t>Legend</w:t>
      </w:r>
      <w:r>
        <w:rPr>
          <w:rFonts w:ascii="Times New Roman" w:hAnsi="Times New Roman"/>
          <w:sz w:val="20"/>
        </w:rPr>
        <w:t xml:space="preserve">. Any Global Security issued hereunder shall bear a legend in substantially the following form: </w:t>
      </w:r>
    </w:p>
    <w:p>
      <w:pPr>
        <w:pStyle w:val="TextBody"/>
        <w:bidi w:val="0"/>
        <w:spacing w:before="240" w:after="0"/>
        <w:jc w:val="left"/>
        <w:rPr/>
      </w:pPr>
      <w:r>
        <w:rPr/>
        <w:t>“</w:t>
      </w:r>
      <w:r>
        <w:rPr>
          <w:rFonts w:ascii="Times New Roman" w:hAnsi="Times New Roman"/>
          <w:sz w:val="20"/>
        </w:rPr>
        <w:t xml:space="preserve">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w:t>
      </w:r>
    </w:p>
    <w:p>
      <w:pPr>
        <w:pStyle w:val="TextBody"/>
        <w:bidi w:val="0"/>
        <w:spacing w:before="120" w:after="0"/>
        <w:jc w:val="left"/>
        <w:rPr>
          <w:rFonts w:ascii="Times New Roman" w:hAnsi="Times New Roman"/>
          <w:sz w:val="20"/>
        </w:rPr>
      </w:pPr>
      <w:r>
        <w:rPr>
          <w:rFonts w:ascii="Times New Roman" w:hAnsi="Times New Roman"/>
          <w:sz w:val="20"/>
        </w:rPr>
        <w:t xml:space="preserve">2.15.4. </w:t>
      </w:r>
      <w:r>
        <w:rPr>
          <w:rFonts w:ascii="Times New Roman" w:hAnsi="Times New Roman"/>
          <w:sz w:val="20"/>
          <w:u w:val="single"/>
        </w:rPr>
        <w:t>Acts of Holders</w:t>
      </w:r>
      <w:r>
        <w:rPr>
          <w:rFonts w:ascii="Times New Roman" w:hAnsi="Times New Roman"/>
          <w:sz w:val="20"/>
        </w:rPr>
        <w:t xml:space="preserve">. The Depositary, as a Holder, may appoint agents and otherwise authorize participants to give or take any request, demand, authorization, direction, notice, consent, waiver or other action which a Holder is entitled to give or take under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2.15.5. </w:t>
      </w:r>
      <w:r>
        <w:rPr>
          <w:rFonts w:ascii="Times New Roman" w:hAnsi="Times New Roman"/>
          <w:sz w:val="20"/>
          <w:u w:val="single"/>
        </w:rPr>
        <w:t>Payments</w:t>
      </w:r>
      <w:r>
        <w:rPr>
          <w:rFonts w:ascii="Times New Roman" w:hAnsi="Times New Roman"/>
          <w:sz w:val="20"/>
        </w:rPr>
        <w:t xml:space="preserve">. Notwithstanding the other provisions of this Indenture, unless otherwise specified as contemplated by Section 2.2, payment of the principal of and interest, if any, on any Global Security shall be made to the Holder thereof, which in the case of a Depositary therefor will be made in accordance with its applicable procedures. </w:t>
      </w:r>
    </w:p>
    <w:p>
      <w:pPr>
        <w:pStyle w:val="TextBody"/>
        <w:bidi w:val="0"/>
        <w:spacing w:before="120" w:after="0"/>
        <w:jc w:val="left"/>
        <w:rPr>
          <w:rFonts w:ascii="Times New Roman" w:hAnsi="Times New Roman"/>
          <w:sz w:val="20"/>
        </w:rPr>
      </w:pPr>
      <w:r>
        <w:rPr>
          <w:rFonts w:ascii="Times New Roman" w:hAnsi="Times New Roman"/>
          <w:sz w:val="20"/>
        </w:rPr>
        <w:t xml:space="preserve">2.15.6. </w:t>
      </w:r>
      <w:r>
        <w:rPr>
          <w:rFonts w:ascii="Times New Roman" w:hAnsi="Times New Roman"/>
          <w:sz w:val="20"/>
          <w:u w:val="single"/>
        </w:rPr>
        <w:t>Consents, Declaration and Directions</w:t>
      </w:r>
      <w:r>
        <w:rPr>
          <w:rFonts w:ascii="Times New Roman" w:hAnsi="Times New Roman"/>
          <w:sz w:val="20"/>
        </w:rPr>
        <w:t xml:space="preserve">. The Company, the Trustee and any Agent shall treat a person as the Holder of such principal amount of outstanding Securities of such Series represented by a Global Security as shall be specified in a written statement of the Depositary or by the applicable procedures of such Depositary with respect to such Global Security, for purposes of obtaining any consents, declarations, waivers or directions required to be given by the Holders pursuant to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2.16. </w:t>
      </w:r>
      <w:r>
        <w:rPr>
          <w:rFonts w:ascii="Times New Roman" w:hAnsi="Times New Roman"/>
          <w:sz w:val="20"/>
          <w:u w:val="single"/>
        </w:rPr>
        <w:t>CUSIP Numbers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Trustee shall have no liability for any defect in the “CUSIP” numbers as they appear on any Security, notice or elsewhere. The Company will promptly notify the Trustee in writing of any change in the “CUSIP” numbers. </w:t>
      </w:r>
    </w:p>
    <w:p>
      <w:pPr>
        <w:pStyle w:val="TextBody"/>
        <w:bidi w:val="0"/>
        <w:spacing w:before="240" w:after="0"/>
        <w:jc w:val="left"/>
        <w:rPr>
          <w:rFonts w:ascii="Times New Roman" w:hAnsi="Times New Roman"/>
          <w:sz w:val="20"/>
        </w:rPr>
      </w:pPr>
      <w:r>
        <w:rPr>
          <w:rFonts w:ascii="Times New Roman" w:hAnsi="Times New Roman"/>
          <w:sz w:val="20"/>
        </w:rPr>
        <w:t xml:space="preserve">Section 2.17. </w:t>
      </w:r>
      <w:r>
        <w:rPr>
          <w:rFonts w:ascii="Times New Roman" w:hAnsi="Times New Roman"/>
          <w:sz w:val="20"/>
          <w:u w:val="single"/>
        </w:rPr>
        <w:t>Evidence of Ownership</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the Trustee and any agent of the Company or the Trustee may deem and treat the person in whose name any registered Security shall be registered upon the Security Register for such series as the absolute owner of such registered Security (whether or not such registered Security shall be overdue and notwithstanding any notation of ownership or other writing thereon) for the purpose of receiving payment of or on account of the principal of and, subject to the provisions of this Indenture, interest on such registered Security and for all other purposes; and neither the Company nor the Trustee nor any agent of the Company or the Trustee shall be affected by any notice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III. </w:t>
      </w:r>
    </w:p>
    <w:p>
      <w:pPr>
        <w:pStyle w:val="TextBody"/>
        <w:bidi w:val="0"/>
        <w:spacing w:before="0" w:after="0"/>
        <w:jc w:val="center"/>
        <w:rPr>
          <w:rFonts w:ascii="Times New Roman" w:hAnsi="Times New Roman"/>
          <w:sz w:val="20"/>
        </w:rPr>
      </w:pPr>
      <w:r>
        <w:rPr>
          <w:rFonts w:ascii="Times New Roman" w:hAnsi="Times New Roman"/>
          <w:sz w:val="20"/>
        </w:rPr>
        <w:t xml:space="preserve">REDEMPTION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Notice to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The Company shall give the notice to the Trustee at least 45 days before the redemption date, unless a shorter period is satisfactory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Selection of Securities to be Redeemed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for a particular Series by a Board Resolution, a supplemental indenture hereto or an Officer’s Certificate, if less than all the Securities of a Series are to be redeemed, the Trustee shall select the Securities of the Series to be redeemed in any manner that the Trustee deems fair and appropriate, including selecting by lot or other method, unless otherwise required by law or applicable stock exchange requirements, subject, in the case of Global Securities, to the applicable rules and procedures of the Depositary; </w:t>
      </w:r>
      <w:r>
        <w:rPr>
          <w:rFonts w:ascii="Times New Roman" w:hAnsi="Times New Roman"/>
          <w:i/>
          <w:sz w:val="20"/>
        </w:rPr>
        <w:t xml:space="preserve">provided that </w:t>
      </w:r>
      <w:r>
        <w:rPr>
          <w:rFonts w:ascii="Times New Roman" w:hAnsi="Times New Roman"/>
          <w:sz w:val="20"/>
        </w:rPr>
        <w:t xml:space="preserve">the unredeemed portion of the principal amount of any Security shall be in an authorized denomination (which shall not be less than the minimum authorized denomination) for such Security. The Trustee shall make the selection from Securities of the Series outstanding not previously called for redemption. Provisions of this Indenture that apply to Securities of a Series called for redemption also apply to portions of Securities of that Series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Notice of Redemption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for a particular Series by Board Resolution, a supplemental indenture hereto or an Officer’s Certificate, at least 30 days but not more than 60 days before a redemption date, the Company shall mail a notice of redemption by first-class mail to each Holder whose Securities are to be redeemed. </w:t>
      </w:r>
    </w:p>
    <w:p>
      <w:pPr>
        <w:pStyle w:val="TextBody"/>
        <w:bidi w:val="0"/>
        <w:spacing w:before="120" w:after="0"/>
        <w:jc w:val="left"/>
        <w:rPr>
          <w:rFonts w:ascii="Times New Roman" w:hAnsi="Times New Roman"/>
          <w:sz w:val="20"/>
        </w:rPr>
      </w:pPr>
      <w:r>
        <w:rPr>
          <w:rFonts w:ascii="Times New Roman" w:hAnsi="Times New Roman"/>
          <w:sz w:val="20"/>
        </w:rPr>
        <w:t xml:space="preserve">The notice shall identify the Securities of the Series to be redeemed and shall state: </w:t>
      </w:r>
    </w:p>
    <w:p>
      <w:pPr>
        <w:pStyle w:val="TextBody"/>
        <w:bidi w:val="0"/>
        <w:spacing w:before="120" w:after="0"/>
        <w:jc w:val="left"/>
        <w:rPr>
          <w:rFonts w:ascii="Times New Roman" w:hAnsi="Times New Roman"/>
          <w:sz w:val="20"/>
        </w:rPr>
      </w:pPr>
      <w:r>
        <w:rPr>
          <w:rFonts w:ascii="Times New Roman" w:hAnsi="Times New Roman"/>
          <w:sz w:val="20"/>
        </w:rPr>
        <w:t xml:space="preserve">(a)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(b) the redemption price and the amount of accrued interest, if any, to be paid; </w:t>
      </w:r>
    </w:p>
    <w:p>
      <w:pPr>
        <w:pStyle w:val="TextBody"/>
        <w:bidi w:val="0"/>
        <w:spacing w:before="120" w:after="0"/>
        <w:jc w:val="left"/>
        <w:rPr>
          <w:rFonts w:ascii="Times New Roman" w:hAnsi="Times New Roman"/>
          <w:sz w:val="20"/>
        </w:rPr>
      </w:pPr>
      <w:r>
        <w:rPr>
          <w:rFonts w:ascii="Times New Roman" w:hAnsi="Times New Roman"/>
          <w:sz w:val="20"/>
        </w:rPr>
        <w:t xml:space="preserve">(c) the name and address of the Paying Agent and, if applicable, the conversion Agent; </w:t>
      </w:r>
    </w:p>
    <w:p>
      <w:pPr>
        <w:pStyle w:val="TextBody"/>
        <w:bidi w:val="0"/>
        <w:spacing w:before="120" w:after="0"/>
        <w:jc w:val="left"/>
        <w:rPr>
          <w:rFonts w:ascii="Times New Roman" w:hAnsi="Times New Roman"/>
          <w:sz w:val="20"/>
        </w:rPr>
      </w:pPr>
      <w:r>
        <w:rPr>
          <w:rFonts w:ascii="Times New Roman" w:hAnsi="Times New Roman"/>
          <w:sz w:val="20"/>
        </w:rPr>
        <w:t xml:space="preserve">(d) for convertible Securities, the conversion price; </w:t>
      </w:r>
    </w:p>
    <w:p>
      <w:pPr>
        <w:pStyle w:val="TextBody"/>
        <w:bidi w:val="0"/>
        <w:spacing w:before="120" w:after="0"/>
        <w:jc w:val="left"/>
        <w:rPr>
          <w:rFonts w:ascii="Times New Roman" w:hAnsi="Times New Roman"/>
          <w:sz w:val="20"/>
        </w:rPr>
      </w:pPr>
      <w:r>
        <w:rPr>
          <w:rFonts w:ascii="Times New Roman" w:hAnsi="Times New Roman"/>
          <w:sz w:val="20"/>
        </w:rPr>
        <w:t xml:space="preserve">(e) if any Global Security is being redeemed in part, the portion of the principal amount of such Global Security to be redeemed and that, after the redemption date upon surrender of such Global Security, the principal amount thereof will be decreased by the portion thereof redeemed pursuant thereto; </w:t>
      </w:r>
    </w:p>
    <w:p>
      <w:pPr>
        <w:pStyle w:val="TextBody"/>
        <w:bidi w:val="0"/>
        <w:spacing w:before="120" w:after="0"/>
        <w:jc w:val="left"/>
        <w:rPr>
          <w:rFonts w:ascii="Times New Roman" w:hAnsi="Times New Roman"/>
          <w:sz w:val="20"/>
        </w:rPr>
      </w:pPr>
      <w:r>
        <w:rPr>
          <w:rFonts w:ascii="Times New Roman" w:hAnsi="Times New Roman"/>
          <w:sz w:val="20"/>
        </w:rPr>
        <w:t xml:space="preserve">(f) if any Certificated Security is being redeemed in part, the portion of the principal amount of such Security to be redeemed, and that, after the redemption date, upon surrender of such Security, a new Certificated Security in principal amount equal to the unredeemed portion thereof will be issued in the name of the Holder thereof upon cancellation of the original Certificated Security; </w:t>
      </w:r>
    </w:p>
    <w:p>
      <w:pPr>
        <w:pStyle w:val="TextBody"/>
        <w:bidi w:val="0"/>
        <w:spacing w:before="120" w:after="0"/>
        <w:jc w:val="left"/>
        <w:rPr>
          <w:rFonts w:ascii="Times New Roman" w:hAnsi="Times New Roman"/>
          <w:sz w:val="20"/>
        </w:rPr>
      </w:pPr>
      <w:r>
        <w:rPr>
          <w:rFonts w:ascii="Times New Roman" w:hAnsi="Times New Roman"/>
          <w:sz w:val="20"/>
        </w:rPr>
        <w:t xml:space="preserve">(g) that Securities of the Series (or portion thereof) called for redemption must be surrendered to the Paying Agent to collect the 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(h) that interest on Securities of the Series called for redemption ceases to accrue on and after the redemption date unless the Company defaults in the deposit of the redemption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CUSIP number, if any, and state that no representation is made as to the correctness or accuracy of the CUSIP number, if any, listed in the SEC’s notice or printed on the Securities; and </w:t>
      </w:r>
    </w:p>
    <w:p>
      <w:pPr>
        <w:pStyle w:val="TextBody"/>
        <w:bidi w:val="0"/>
        <w:spacing w:before="120" w:after="0"/>
        <w:jc w:val="left"/>
        <w:rPr>
          <w:rFonts w:ascii="Times New Roman" w:hAnsi="Times New Roman"/>
          <w:sz w:val="20"/>
        </w:rPr>
      </w:pPr>
      <w:r>
        <w:rPr>
          <w:rFonts w:ascii="Times New Roman" w:hAnsi="Times New Roman"/>
          <w:sz w:val="20"/>
        </w:rPr>
        <w:t xml:space="preserve">(j) any other information as may be required by the terms of the particular Series or the Securities of a Series being redeemed. </w:t>
      </w:r>
    </w:p>
    <w:p>
      <w:pPr>
        <w:pStyle w:val="TextBody"/>
        <w:bidi w:val="0"/>
        <w:spacing w:before="240" w:after="0"/>
        <w:jc w:val="left"/>
        <w:rPr>
          <w:rFonts w:ascii="Times New Roman" w:hAnsi="Times New Roman"/>
          <w:sz w:val="20"/>
        </w:rPr>
      </w:pPr>
      <w:r>
        <w:rPr>
          <w:rFonts w:ascii="Times New Roman" w:hAnsi="Times New Roman"/>
          <w:sz w:val="20"/>
        </w:rPr>
        <w:t xml:space="preserve">At the Company’s request, the Trustee shall give the notice of redemption in the Company’s name and at its expense,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has delivered to the Trustee, at least 15 days (unless a shorter time shall be acceptable to the Trustee) prior to the notice date, an Officer’s Certificate requesting that the Trustee give such notice and setting forth the information to be stated in such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Effect of Notice of Redemption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Once notice of redemption is mailed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 other than Securities or portions of Securities called for redemption which have been delivered by the Company to the Registrar for cancellation. The Paying Agent shall return to the Company any money not required for that purpose. </w:t>
      </w:r>
    </w:p>
    <w:p>
      <w:pPr>
        <w:pStyle w:val="TextBody"/>
        <w:bidi w:val="0"/>
        <w:spacing w:before="240" w:after="0"/>
        <w:jc w:val="left"/>
        <w:rPr>
          <w:rFonts w:ascii="Times New Roman" w:hAnsi="Times New Roman"/>
          <w:sz w:val="20"/>
        </w:rPr>
      </w:pPr>
      <w:r>
        <w:rPr>
          <w:rFonts w:ascii="Times New Roman" w:hAnsi="Times New Roman"/>
          <w:sz w:val="20"/>
        </w:rPr>
        <w:t xml:space="preserve">Unless the Company shall default in the payment of Securities (and accrued interest) called for redemption, interest on such Securities shall cease to accrue after the redemption date. Convertible Securities called for redemption shall cease to be convertible after the close of business on the Business Day immediately preceding the redemption date, unless the Company shall default in the payment of such Securities on the redemption date, in which event the Securities shall remain convertible until paid (together with accrued interest). </w:t>
      </w:r>
    </w:p>
    <w:p>
      <w:pPr>
        <w:pStyle w:val="TextBody"/>
        <w:bidi w:val="0"/>
        <w:spacing w:before="240" w:after="0"/>
        <w:jc w:val="left"/>
        <w:rPr>
          <w:rFonts w:ascii="Times New Roman" w:hAnsi="Times New Roman"/>
          <w:sz w:val="20"/>
        </w:rPr>
      </w:pPr>
      <w:r>
        <w:rPr>
          <w:rFonts w:ascii="Times New Roman" w:hAnsi="Times New Roman"/>
          <w:sz w:val="20"/>
        </w:rPr>
        <w:t xml:space="preserve">Failure to give notice of redemption, or any defect in such notice to the Holder of any Security of a Series designated for redemption, in whole or in part, shall not affect the sufficiency of any notice of redemption with respect to the Holder of any other Security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Deposit of Redemption Price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On or before 10:00 a.m., New York City time, on the redemption date, the Company shall deposit with the Paying Agent money sufficient to pay the redemption price of and accrued interest, if any, on all Securities to be redeemed on that date. </w:t>
      </w:r>
    </w:p>
    <w:p>
      <w:pPr>
        <w:pStyle w:val="TextBody"/>
        <w:bidi w:val="0"/>
        <w:spacing w:before="240" w:after="0"/>
        <w:jc w:val="left"/>
        <w:rPr>
          <w:rFonts w:ascii="Times New Roman" w:hAnsi="Times New Roman"/>
          <w:sz w:val="20"/>
        </w:rPr>
      </w:pPr>
      <w:r>
        <w:rPr>
          <w:rFonts w:ascii="Times New Roman" w:hAnsi="Times New Roman"/>
          <w:sz w:val="20"/>
        </w:rPr>
        <w:t xml:space="preserve">Section 3.6. </w:t>
      </w:r>
      <w:r>
        <w:rPr>
          <w:rFonts w:ascii="Times New Roman" w:hAnsi="Times New Roman"/>
          <w:sz w:val="20"/>
          <w:u w:val="single"/>
        </w:rPr>
        <w:t>Securities Redeemed in Part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surrender of a Certificated Security that is redeemed in part, the Trustee shall authenticate for the Holder a new Certificated Security of the same Series and the same maturity equal in principal amount to the unredeemed portion of the Security surrendered and concurrently cancel the surrendered Certificated Security.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0" w:after="0"/>
        <w:jc w:val="center"/>
        <w:rPr>
          <w:rFonts w:ascii="Times New Roman" w:hAnsi="Times New Roman"/>
          <w:sz w:val="20"/>
        </w:rPr>
      </w:pPr>
      <w:r>
        <w:rPr>
          <w:rFonts w:ascii="Times New Roman" w:hAnsi="Times New Roman"/>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Payment of Principal and 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10:00 a.m., New York City time, on the applicable payment date, the Company shall deposit with the Paying Agent money sufficient to pay the principal of and interest, if any, on the Securities of each Series in accordance with the terms of such Securities and this Indenture. Principal and interest shall be considered paid on the date due if the Paying Agent holds in accordance with this Indenture on that date money sufficient to pay all principal and interest then due and the Paying Agent is not prohibited from paying such money to the Holders on such date pursuant to the terms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Reports by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As long as any Securities are outstanding, the Company shall file with the Trustee, and transmit to the Holders, such information, documents and other reports, and such summaries thereof, as may be required pursuant to TIA § 314(a). All reports, information and documents referred to in this Section 4.2 will be deemed to be filed with the Trustee and transmitted to the Holders at the time such reports, information or documents are publicly filed with the SEC via the SEC’s EDGAR filing system (or any successor system), it being understood that the Trustee shall have no responsibility whatsoever to determine if such filings have been made. </w:t>
      </w:r>
    </w:p>
    <w:p>
      <w:pPr>
        <w:pStyle w:val="TextBody"/>
        <w:bidi w:val="0"/>
        <w:spacing w:before="120" w:after="0"/>
        <w:jc w:val="left"/>
        <w:rPr>
          <w:rFonts w:ascii="Times New Roman" w:hAnsi="Times New Roman"/>
          <w:sz w:val="20"/>
        </w:rPr>
      </w:pPr>
      <w:r>
        <w:rPr>
          <w:rFonts w:ascii="Times New Roman" w:hAnsi="Times New Roman"/>
          <w:sz w:val="20"/>
        </w:rPr>
        <w:t xml:space="preserve">(b) Delivery of reports, information and documents to the Trustee under this Section 4.2 are for informational purposes only and shall not constitute a representation or warranty as to the accuracy or completeness of the reports, information and documents. The Trustee’s receipt of the foregoing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Compliance Certificate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To the extent any Securities of a Series are outstanding, the Company shall deliver to the Trustee, within 120 days after the end of each fiscal year of the Company, an Officer’s Certificate (which need not contain the statements provided for in Section 10.4) from its principal executive officer, principal financial officer or principal accounting officer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such Officer signing such certificate, that to his or her knowledge the Company is not in default in the performance or observance of any of the terms, provisions and conditions hereof (or, if a Default or Event of Default shall have occurred, describing all such Defaults or Events of Default of which the Officer has knowledge). Such Officer’s Certificate need not include a reference to any non-compliance that has been fully cured prior to the date as of which such certificate speaks.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Stay, Extension and Usury 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 </w:t>
      </w:r>
    </w:p>
    <w:p>
      <w:pPr>
        <w:pStyle w:val="TextBody"/>
        <w:bidi w:val="0"/>
        <w:spacing w:before="240" w:after="0"/>
        <w:jc w:val="left"/>
        <w:rPr>
          <w:rFonts w:ascii="Times New Roman" w:hAnsi="Times New Roman"/>
          <w:sz w:val="20"/>
        </w:rPr>
      </w:pPr>
      <w:r>
        <w:rPr>
          <w:rFonts w:ascii="Times New Roman" w:hAnsi="Times New Roman"/>
          <w:sz w:val="20"/>
        </w:rPr>
        <w:t xml:space="preserve">Section 4.5. </w:t>
      </w:r>
      <w:r>
        <w:rPr>
          <w:rFonts w:ascii="Times New Roman" w:hAnsi="Times New Roman"/>
          <w:sz w:val="20"/>
          <w:u w:val="single"/>
        </w:rPr>
        <w:t>Corporate Existence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Subject to Article V, the Company will do or cause to be done all things necessary to preserve and keep in full force and effect its corporate existence and rights (charter and statutory);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be required to preserve any such right if the Board of Directors shall determine that the preservation thereof is no longer desirable in the conduct of the business of the Company and its Subsidiaries taken as a whole and that the loss thereof is not adverse in any material respect to the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 </w:t>
      </w:r>
    </w:p>
    <w:p>
      <w:pPr>
        <w:pStyle w:val="TextBody"/>
        <w:bidi w:val="0"/>
        <w:spacing w:before="0" w:after="0"/>
        <w:jc w:val="center"/>
        <w:rPr>
          <w:rFonts w:ascii="Times New Roman" w:hAnsi="Times New Roman"/>
          <w:sz w:val="20"/>
        </w:rPr>
      </w:pPr>
      <w:r>
        <w:rPr>
          <w:rFonts w:ascii="Times New Roman" w:hAnsi="Times New Roman"/>
          <w:sz w:val="20"/>
        </w:rPr>
        <w:t xml:space="preserve">SUCCESSORS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Consolidation, Merger and Sale of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Company may not consolidate with or merge with or into, sell, convey, transfer or dispose of all or substantially all of its assets to any other person (a “</w:t>
      </w:r>
      <w:r>
        <w:rPr>
          <w:rFonts w:ascii="Times New Roman" w:hAnsi="Times New Roman"/>
          <w:i/>
          <w:sz w:val="20"/>
        </w:rPr>
        <w:t>successor person</w:t>
      </w:r>
      <w:r>
        <w:rPr>
          <w:rFonts w:ascii="Times New Roman" w:hAnsi="Times New Roman"/>
          <w:sz w:val="20"/>
        </w:rPr>
        <w:t xml:space="preserve">”), whether in one transaction or a series of related transactions, unless: </w:t>
      </w:r>
    </w:p>
    <w:p>
      <w:pPr>
        <w:pStyle w:val="TextBody"/>
        <w:bidi w:val="0"/>
        <w:spacing w:before="120" w:after="0"/>
        <w:jc w:val="left"/>
        <w:rPr>
          <w:rFonts w:ascii="Times New Roman" w:hAnsi="Times New Roman"/>
          <w:sz w:val="20"/>
        </w:rPr>
      </w:pPr>
      <w:r>
        <w:rPr>
          <w:rFonts w:ascii="Times New Roman" w:hAnsi="Times New Roman"/>
          <w:sz w:val="20"/>
        </w:rPr>
        <w:t xml:space="preserve">(a) (i) the Company is the surviving corporation or (ii) the successor person (if other than the Company) (A) is a corporation, limited liability corporation, partnership or trust organized under the laws of the United States; and (B) expressly assumes, by an indenture supplemental hereto, the Company’s obligations on the Securities and under this Indenture; and </w:t>
      </w:r>
    </w:p>
    <w:p>
      <w:pPr>
        <w:pStyle w:val="TextBody"/>
        <w:bidi w:val="0"/>
        <w:spacing w:before="120" w:after="0"/>
        <w:jc w:val="left"/>
        <w:rPr>
          <w:rFonts w:ascii="Times New Roman" w:hAnsi="Times New Roman"/>
          <w:sz w:val="20"/>
        </w:rPr>
      </w:pPr>
      <w:r>
        <w:rPr>
          <w:rFonts w:ascii="Times New Roman" w:hAnsi="Times New Roman"/>
          <w:sz w:val="20"/>
        </w:rPr>
        <w:t xml:space="preserve">(b) immediately after giving effect to the transaction, no Default or Event of Default shall have happened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deliver to the Trustee prior to the consummation of the proposed transaction an Officer’s Certificate to the foregoing effect and an Opinion of Counsel stating that the proposed transaction and any supplemental indenture comply with Section 5.1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any Subsidiary of the Company may consolidate with, merge into or transfer all or part of its properties to the Company. Neither an Officer’s Certificate nor an Opinion of Counsel shall be required to be delivered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Successor Person Substituted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any consolidation or merger, or any sale, conveyance, transfer, or lease of all or substantially all of the assets of the Company and its Subsidiaries in accordance with Section 5.1, the successor person formed by such consolidation or into or with which the Company is merged or to which such sale, conveyance, transfer, or lease is made shall succeed to, and be substituted for, and may exercise every right and power of, the Company under this Indenture and the Securities with the same effect as if such successor person has been named as the Company herein; and, thereafter, the predecessor Company, in the case of a sale, conveyance or transfer (other than a lease), shall be released from all obligations and covenants under this Indenture and the Securities.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p>
    <w:p>
      <w:pPr>
        <w:pStyle w:val="TextBody"/>
        <w:bidi w:val="0"/>
        <w:spacing w:before="0" w:after="0"/>
        <w:jc w:val="center"/>
        <w:rPr>
          <w:rFonts w:ascii="Times New Roman" w:hAnsi="Times New Roman"/>
          <w:sz w:val="20"/>
        </w:rPr>
      </w:pPr>
      <w:r>
        <w:rPr>
          <w:rFonts w:ascii="Times New Roman" w:hAnsi="Times New Roman"/>
          <w:sz w:val="20"/>
        </w:rPr>
        <w:t xml:space="preserve">DEFAULTS AND REMEDIES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Events of Default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Event of Default</w:t>
      </w:r>
      <w:r>
        <w:rPr>
          <w:rFonts w:ascii="Times New Roman" w:hAnsi="Times New Roman"/>
          <w:sz w:val="20"/>
        </w:rPr>
        <w:t xml:space="preserve">,” wherever used herein with respect to Securities of any Series, means any one of the following events, unless in the establishing Board Resolution, supplemental indenture or Officer’s Certificate, it is provided that such Series shall not have the benefit of said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(a) failure to pay any interest on any Security of that Series when it becomes due and payable, and continuance of such default for a period of 30 days (unless the entire amount of such payment is deposited by the Company with the Trustee or with a Paying Agent prior to 10:00 a.m., New York City time, on the 30th day of such period); </w:t>
      </w:r>
    </w:p>
    <w:p>
      <w:pPr>
        <w:pStyle w:val="TextBody"/>
        <w:bidi w:val="0"/>
        <w:spacing w:before="120" w:after="0"/>
        <w:jc w:val="left"/>
        <w:rPr>
          <w:rFonts w:ascii="Times New Roman" w:hAnsi="Times New Roman"/>
          <w:sz w:val="20"/>
        </w:rPr>
      </w:pPr>
      <w:r>
        <w:rPr>
          <w:rFonts w:ascii="Times New Roman" w:hAnsi="Times New Roman"/>
          <w:sz w:val="20"/>
        </w:rPr>
        <w:t xml:space="preserve">(b) failure to pay principal of any Security of that Series at its Maturity; </w:t>
      </w:r>
    </w:p>
    <w:p>
      <w:pPr>
        <w:pStyle w:val="TextBody"/>
        <w:bidi w:val="0"/>
        <w:spacing w:before="120" w:after="0"/>
        <w:jc w:val="left"/>
        <w:rPr>
          <w:rFonts w:ascii="Times New Roman" w:hAnsi="Times New Roman"/>
          <w:sz w:val="20"/>
        </w:rPr>
      </w:pPr>
      <w:r>
        <w:rPr>
          <w:rFonts w:ascii="Times New Roman" w:hAnsi="Times New Roman"/>
          <w:sz w:val="20"/>
        </w:rPr>
        <w:t xml:space="preserve">(c) default in the performance or breach of any covenant of the Company in this Indenture (other than defaults pursuant to sub-clauses (a) through (c) above or defaults related to a covenant that has been included in this Indenture solely for the benefit of a Series of Securities other than that Series), which default continues uncured for a period of 90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Company pursuant to or within the meaning of any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(i) commences a voluntary case, </w:t>
      </w:r>
    </w:p>
    <w:p>
      <w:pPr>
        <w:pStyle w:val="TextBody"/>
        <w:bidi w:val="0"/>
        <w:spacing w:before="120" w:after="0"/>
        <w:jc w:val="left"/>
        <w:rPr>
          <w:rFonts w:ascii="Times New Roman" w:hAnsi="Times New Roman"/>
          <w:sz w:val="20"/>
        </w:rPr>
      </w:pPr>
      <w:r>
        <w:rPr>
          <w:rFonts w:ascii="Times New Roman" w:hAnsi="Times New Roman"/>
          <w:sz w:val="20"/>
        </w:rPr>
        <w:t xml:space="preserve">(ii) consents to the entry of an order for relief against it in an involuntary case, </w:t>
      </w:r>
    </w:p>
    <w:p>
      <w:pPr>
        <w:pStyle w:val="TextBody"/>
        <w:bidi w:val="0"/>
        <w:spacing w:before="120" w:after="0"/>
        <w:jc w:val="left"/>
        <w:rPr>
          <w:rFonts w:ascii="Times New Roman" w:hAnsi="Times New Roman"/>
          <w:sz w:val="20"/>
        </w:rPr>
      </w:pPr>
      <w:r>
        <w:rPr>
          <w:rFonts w:ascii="Times New Roman" w:hAnsi="Times New Roman"/>
          <w:sz w:val="20"/>
        </w:rPr>
        <w:t xml:space="preserve">(iii) consents to the appointment of a Custodian of it or for all or substantially all of its property, or </w:t>
      </w:r>
    </w:p>
    <w:p>
      <w:pPr>
        <w:pStyle w:val="TextBody"/>
        <w:bidi w:val="0"/>
        <w:spacing w:before="120" w:after="0"/>
        <w:jc w:val="left"/>
        <w:rPr>
          <w:rFonts w:ascii="Times New Roman" w:hAnsi="Times New Roman"/>
          <w:sz w:val="20"/>
        </w:rPr>
      </w:pPr>
      <w:r>
        <w:rPr>
          <w:rFonts w:ascii="Times New Roman" w:hAnsi="Times New Roman"/>
          <w:sz w:val="20"/>
        </w:rPr>
        <w:t xml:space="preserve">(iv) makes a general assignment for the benefit of its creditors; </w:t>
      </w:r>
    </w:p>
    <w:p>
      <w:pPr>
        <w:pStyle w:val="TextBody"/>
        <w:bidi w:val="0"/>
        <w:spacing w:before="120" w:after="0"/>
        <w:jc w:val="left"/>
        <w:rPr>
          <w:rFonts w:ascii="Times New Roman" w:hAnsi="Times New Roman"/>
          <w:sz w:val="20"/>
        </w:rPr>
      </w:pPr>
      <w:r>
        <w:rPr>
          <w:rFonts w:ascii="Times New Roman" w:hAnsi="Times New Roman"/>
          <w:sz w:val="20"/>
        </w:rPr>
        <w:t xml:space="preserve">(e) a court of competent jurisdiction enters an order or decree under any Bankruptcy Law that: </w:t>
      </w:r>
    </w:p>
    <w:p>
      <w:pPr>
        <w:pStyle w:val="TextBody"/>
        <w:bidi w:val="0"/>
        <w:spacing w:before="120" w:after="0"/>
        <w:jc w:val="left"/>
        <w:rPr>
          <w:rFonts w:ascii="Times New Roman" w:hAnsi="Times New Roman"/>
          <w:sz w:val="20"/>
        </w:rPr>
      </w:pPr>
      <w:r>
        <w:rPr>
          <w:rFonts w:ascii="Times New Roman" w:hAnsi="Times New Roman"/>
          <w:sz w:val="20"/>
        </w:rPr>
        <w:t xml:space="preserve">(i) is for relief against the Company in an involuntary case, </w:t>
      </w:r>
    </w:p>
    <w:p>
      <w:pPr>
        <w:pStyle w:val="TextBody"/>
        <w:bidi w:val="0"/>
        <w:spacing w:before="120" w:after="0"/>
        <w:jc w:val="left"/>
        <w:rPr>
          <w:rFonts w:ascii="Times New Roman" w:hAnsi="Times New Roman"/>
          <w:sz w:val="20"/>
        </w:rPr>
      </w:pPr>
      <w:r>
        <w:rPr>
          <w:rFonts w:ascii="Times New Roman" w:hAnsi="Times New Roman"/>
          <w:sz w:val="20"/>
        </w:rPr>
        <w:t xml:space="preserve">(ii) appoints a Custodian of the Company or for all or substantially all of its property, or </w:t>
      </w:r>
    </w:p>
    <w:p>
      <w:pPr>
        <w:pStyle w:val="TextBody"/>
        <w:bidi w:val="0"/>
        <w:spacing w:before="120" w:after="0"/>
        <w:jc w:val="left"/>
        <w:rPr>
          <w:rFonts w:ascii="Times New Roman" w:hAnsi="Times New Roman"/>
          <w:sz w:val="20"/>
        </w:rPr>
      </w:pPr>
      <w:r>
        <w:rPr>
          <w:rFonts w:ascii="Times New Roman" w:hAnsi="Times New Roman"/>
          <w:sz w:val="20"/>
        </w:rPr>
        <w:t xml:space="preserve">(iii) orders the liquidation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and the order or decree remains unstayed and in effect for 60 days; or </w:t>
      </w:r>
    </w:p>
    <w:p>
      <w:pPr>
        <w:pStyle w:val="TextBody"/>
        <w:bidi w:val="0"/>
        <w:spacing w:before="120" w:after="0"/>
        <w:jc w:val="left"/>
        <w:rPr>
          <w:rFonts w:ascii="Times New Roman" w:hAnsi="Times New Roman"/>
          <w:sz w:val="20"/>
        </w:rPr>
      </w:pPr>
      <w:r>
        <w:rPr>
          <w:rFonts w:ascii="Times New Roman" w:hAnsi="Times New Roman"/>
          <w:sz w:val="20"/>
        </w:rPr>
        <w:t xml:space="preserve">(f) any other Event of Default provided with respect to Securities of that Series, which is specified in a Board Resolution, a supplemental indenture hereto or an Officer’s Certificate, in accordance with Section 2.2.18.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i/>
          <w:sz w:val="20"/>
        </w:rPr>
        <w:t>Bankruptcy Law</w:t>
      </w:r>
      <w:r>
        <w:rPr>
          <w:rFonts w:ascii="Times New Roman" w:hAnsi="Times New Roman"/>
          <w:sz w:val="20"/>
        </w:rPr>
        <w:t>” means title 11, U.S. Code or any similar federal or state law for the relief of debtors. The term “</w:t>
      </w:r>
      <w:r>
        <w:rPr>
          <w:rFonts w:ascii="Times New Roman" w:hAnsi="Times New Roman"/>
          <w:i/>
          <w:sz w:val="20"/>
        </w:rPr>
        <w:t>Custodian</w:t>
      </w:r>
      <w:r>
        <w:rPr>
          <w:rFonts w:ascii="Times New Roman" w:hAnsi="Times New Roman"/>
          <w:sz w:val="20"/>
        </w:rPr>
        <w:t xml:space="preserve">” means any receiver, trustee, assignee, liquidator or similar official under any Bankruptcy Law. </w:t>
      </w:r>
    </w:p>
    <w:p>
      <w:pPr>
        <w:pStyle w:val="TextBody"/>
        <w:bidi w:val="0"/>
        <w:spacing w:before="240" w:after="0"/>
        <w:jc w:val="left"/>
        <w:rPr>
          <w:rFonts w:ascii="Times New Roman" w:hAnsi="Times New Roman"/>
          <w:sz w:val="20"/>
        </w:rPr>
      </w:pPr>
      <w:r>
        <w:rPr>
          <w:rFonts w:ascii="Times New Roman" w:hAnsi="Times New Roman"/>
          <w:sz w:val="20"/>
        </w:rPr>
        <w:t xml:space="preserve">A Default under one Series of Securities issued under this Indenture will not necessarily be a default under another Series of Securities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so long as any of the Securities are outstanding, deliver to the Trustee, within 30 days of becoming aware of any Default or Event of Default, an Officer’s Certificate specifying such Default or Event of Default and what action the Company is taking or proposes to take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Acceleration of Maturity; Rescission and Annulment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Times New Roman" w:hAnsi="Times New Roman"/>
          <w:i/>
          <w:sz w:val="20"/>
        </w:rPr>
        <w:t xml:space="preserve">ipso facto </w:t>
      </w:r>
      <w:r>
        <w:rPr>
          <w:rFonts w:ascii="Times New Roman" w:hAnsi="Times New Roman"/>
          <w:sz w:val="20"/>
        </w:rPr>
        <w:t xml:space="preserve">become and be immediately due and payable without any declaration or other act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such rescission shall affect any subsequent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Collection of Indebtedness and Suits for Enforcement by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covenants that if </w:t>
      </w:r>
    </w:p>
    <w:p>
      <w:pPr>
        <w:pStyle w:val="TextBody"/>
        <w:bidi w:val="0"/>
        <w:spacing w:before="120" w:after="0"/>
        <w:jc w:val="left"/>
        <w:rPr>
          <w:rFonts w:ascii="Times New Roman" w:hAnsi="Times New Roman"/>
          <w:sz w:val="20"/>
        </w:rPr>
      </w:pPr>
      <w:r>
        <w:rPr>
          <w:rFonts w:ascii="Times New Roman" w:hAnsi="Times New Roman"/>
          <w:sz w:val="20"/>
        </w:rPr>
        <w:t xml:space="preserve">(a) default is made in the payment of any interest on any Security when such interest becomes due and payable and such default continues for a period of 30 days, or </w:t>
      </w:r>
    </w:p>
    <w:p>
      <w:pPr>
        <w:pStyle w:val="TextBody"/>
        <w:bidi w:val="0"/>
        <w:spacing w:before="120" w:after="0"/>
        <w:jc w:val="left"/>
        <w:rPr>
          <w:rFonts w:ascii="Times New Roman" w:hAnsi="Times New Roman"/>
          <w:sz w:val="20"/>
        </w:rPr>
      </w:pPr>
      <w:r>
        <w:rPr>
          <w:rFonts w:ascii="Times New Roman" w:hAnsi="Times New Roman"/>
          <w:sz w:val="20"/>
        </w:rPr>
        <w:t xml:space="preserve">(b) default is made in the payment of principal of any Security at the Maturity thereof, or </w:t>
      </w:r>
    </w:p>
    <w:p>
      <w:pPr>
        <w:pStyle w:val="TextBody"/>
        <w:bidi w:val="0"/>
        <w:spacing w:before="120" w:after="0"/>
        <w:jc w:val="left"/>
        <w:rPr>
          <w:rFonts w:ascii="Times New Roman" w:hAnsi="Times New Roman"/>
          <w:sz w:val="20"/>
        </w:rPr>
      </w:pPr>
      <w:r>
        <w:rPr>
          <w:rFonts w:ascii="Times New Roman" w:hAnsi="Times New Roman"/>
          <w:sz w:val="20"/>
        </w:rPr>
        <w:t xml:space="preserve">(c) default is made in the deposit of any sinking fund payment, if any, when and as due by the terms of a Security, </w:t>
      </w:r>
    </w:p>
    <w:p>
      <w:pPr>
        <w:pStyle w:val="TextBody"/>
        <w:bidi w:val="0"/>
        <w:spacing w:before="240" w:after="0"/>
        <w:jc w:val="left"/>
        <w:rPr>
          <w:rFonts w:ascii="Times New Roman" w:hAnsi="Times New Roman"/>
          <w:sz w:val="20"/>
        </w:rPr>
      </w:pPr>
      <w:r>
        <w:rPr>
          <w:rFonts w:ascii="Times New Roman" w:hAnsi="Times New Roman"/>
          <w:i/>
          <w:sz w:val="20"/>
        </w:rPr>
        <w:t xml:space="preserve">then, </w:t>
      </w:r>
      <w:r>
        <w:rPr>
          <w:rFonts w:ascii="Times New Roman" w:hAnsi="Times New Roman"/>
          <w:sz w:val="20"/>
        </w:rPr>
        <w:t xml:space="preserve">the Company will, upon demand of the Trustee, pay to it, for the benefit of the Holders of such Securities, the whole amount then due and 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 </w:t>
      </w:r>
    </w:p>
    <w:p>
      <w:pPr>
        <w:pStyle w:val="TextBody"/>
        <w:bidi w:val="0"/>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Trustee May File Proofs of Claim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case of the pendency of any receivership, insolvency, liquidation, bankruptcy, reorganization, arrangement, adjustment, composition or other judicial proceeding relating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 </w:t>
      </w:r>
    </w:p>
    <w:p>
      <w:pPr>
        <w:pStyle w:val="TextBody"/>
        <w:bidi w:val="0"/>
        <w:spacing w:before="120" w:after="0"/>
        <w:jc w:val="left"/>
        <w:rPr>
          <w:rFonts w:ascii="Times New Roman" w:hAnsi="Times New Roman"/>
          <w:sz w:val="20"/>
        </w:rPr>
      </w:pPr>
      <w:r>
        <w:rPr>
          <w:rFonts w:ascii="Times New Roman" w:hAnsi="Times New Roman"/>
          <w:sz w:val="20"/>
        </w:rPr>
        <w:t xml:space="preserve">(a) 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 </w:t>
      </w:r>
    </w:p>
    <w:p>
      <w:pPr>
        <w:pStyle w:val="TextBody"/>
        <w:bidi w:val="0"/>
        <w:spacing w:before="120" w:after="0"/>
        <w:jc w:val="left"/>
        <w:rPr>
          <w:rFonts w:ascii="Times New Roman" w:hAnsi="Times New Roman"/>
          <w:sz w:val="20"/>
        </w:rPr>
      </w:pPr>
      <w:r>
        <w:rPr>
          <w:rFonts w:ascii="Times New Roman" w:hAnsi="Times New Roman"/>
          <w:sz w:val="20"/>
        </w:rPr>
        <w:t xml:space="preserve">(b) to collect and receive any moneys or other property payable or deliverable on any such claims and to distribute the same,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7.7. </w:t>
      </w:r>
    </w:p>
    <w:p>
      <w:pPr>
        <w:pStyle w:val="TextBody"/>
        <w:bidi w:val="0"/>
        <w:spacing w:before="240" w:after="0"/>
        <w:jc w:val="left"/>
        <w:rPr>
          <w:rFonts w:ascii="Times New Roman" w:hAnsi="Times New Roman"/>
          <w:sz w:val="20"/>
        </w:rPr>
      </w:pPr>
      <w:r>
        <w:rPr>
          <w:rFonts w:ascii="Times New Roman" w:hAnsi="Times New Roman"/>
          <w:sz w:val="20"/>
        </w:rPr>
        <w:t xml:space="preserve">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Trustee May Enforce Claims Without Possession of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 </w:t>
      </w:r>
    </w:p>
    <w:p>
      <w:pPr>
        <w:pStyle w:val="TextBody"/>
        <w:bidi w:val="0"/>
        <w:spacing w:before="240" w:after="0"/>
        <w:jc w:val="left"/>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Application of Money Collected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 </w:t>
      </w:r>
    </w:p>
    <w:p>
      <w:pPr>
        <w:pStyle w:val="TextBody"/>
        <w:bidi w:val="0"/>
        <w:spacing w:before="240" w:after="0"/>
        <w:jc w:val="left"/>
        <w:rPr>
          <w:rFonts w:ascii="Times New Roman" w:hAnsi="Times New Roman"/>
          <w:sz w:val="20"/>
        </w:rPr>
      </w:pPr>
      <w:r>
        <w:rPr>
          <w:rFonts w:ascii="Times New Roman" w:hAnsi="Times New Roman"/>
          <w:sz w:val="20"/>
        </w:rPr>
        <w:t xml:space="preserve">First: To the payment of all amounts due to the Trustee under this Indenture; and </w:t>
      </w:r>
    </w:p>
    <w:p>
      <w:pPr>
        <w:pStyle w:val="TextBody"/>
        <w:bidi w:val="0"/>
        <w:spacing w:before="240" w:after="0"/>
        <w:jc w:val="left"/>
        <w:rPr>
          <w:rFonts w:ascii="Times New Roman" w:hAnsi="Times New Roman"/>
          <w:sz w:val="20"/>
        </w:rPr>
      </w:pPr>
      <w:r>
        <w:rPr>
          <w:rFonts w:ascii="Times New Roman" w:hAnsi="Times New Roman"/>
          <w:sz w:val="20"/>
        </w:rPr>
        <w:t xml:space="preserve">Second: To the payment of all indebtedness of the Company to which such Series of Securities is subordinated to the extent required by Article 12 of this Indenture; and </w:t>
      </w:r>
    </w:p>
    <w:p>
      <w:pPr>
        <w:pStyle w:val="TextBody"/>
        <w:bidi w:val="0"/>
        <w:spacing w:before="240" w:after="0"/>
        <w:jc w:val="left"/>
        <w:rPr>
          <w:rFonts w:ascii="Times New Roman" w:hAnsi="Times New Roman"/>
          <w:sz w:val="20"/>
        </w:rPr>
      </w:pPr>
      <w:r>
        <w:rPr>
          <w:rFonts w:ascii="Times New Roman" w:hAnsi="Times New Roman"/>
          <w:sz w:val="20"/>
        </w:rPr>
        <w:t xml:space="preserve">Third: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 </w:t>
      </w:r>
    </w:p>
    <w:p>
      <w:pPr>
        <w:pStyle w:val="TextBody"/>
        <w:bidi w:val="0"/>
        <w:spacing w:before="240" w:after="0"/>
        <w:jc w:val="left"/>
        <w:rPr>
          <w:rFonts w:ascii="Times New Roman" w:hAnsi="Times New Roman"/>
          <w:sz w:val="20"/>
        </w:rPr>
      </w:pPr>
      <w:r>
        <w:rPr>
          <w:rFonts w:ascii="Times New Roman" w:hAnsi="Times New Roman"/>
          <w:sz w:val="20"/>
        </w:rPr>
        <w:t xml:space="preserve">Fourth: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6.7. </w:t>
      </w:r>
      <w:r>
        <w:rPr>
          <w:rFonts w:ascii="Times New Roman" w:hAnsi="Times New Roman"/>
          <w:sz w:val="20"/>
          <w:u w:val="single"/>
        </w:rPr>
        <w:t>Limitation on Suits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 Holder of any Security of any Series shall have any right to institute any proceeding, judicial or otherwise, with respect to this Indenture, or for the appointment of a receiver or trustee, or for any other remedy hereunder, unless: </w:t>
      </w:r>
    </w:p>
    <w:p>
      <w:pPr>
        <w:pStyle w:val="TextBody"/>
        <w:bidi w:val="0"/>
        <w:spacing w:before="120" w:after="0"/>
        <w:jc w:val="left"/>
        <w:rPr>
          <w:rFonts w:ascii="Times New Roman" w:hAnsi="Times New Roman"/>
          <w:sz w:val="20"/>
        </w:rPr>
      </w:pPr>
      <w:r>
        <w:rPr>
          <w:rFonts w:ascii="Times New Roman" w:hAnsi="Times New Roman"/>
          <w:sz w:val="20"/>
        </w:rPr>
        <w:t xml:space="preserve">(a) such Holder has previously given written notice to the Trustee of a continuing Event of Default with respect to the Securities of that Series; </w:t>
      </w:r>
    </w:p>
    <w:p>
      <w:pPr>
        <w:pStyle w:val="TextBody"/>
        <w:bidi w:val="0"/>
        <w:spacing w:before="120" w:after="0"/>
        <w:jc w:val="left"/>
        <w:rPr>
          <w:rFonts w:ascii="Times New Roman" w:hAnsi="Times New Roman"/>
          <w:sz w:val="20"/>
        </w:rPr>
      </w:pPr>
      <w:r>
        <w:rPr>
          <w:rFonts w:ascii="Times New Roman" w:hAnsi="Times New Roman"/>
          <w:sz w:val="20"/>
        </w:rPr>
        <w:t xml:space="preserve">(b) the Holders of not less than 25% in principal amount of the outstanding Securities of that Series have made written request to the Trustee to institute proceedings in respect of such Event of Default in its own name as Trustee hereunder; </w:t>
      </w:r>
    </w:p>
    <w:p>
      <w:pPr>
        <w:pStyle w:val="TextBody"/>
        <w:bidi w:val="0"/>
        <w:spacing w:before="120" w:after="0"/>
        <w:jc w:val="left"/>
        <w:rPr>
          <w:rFonts w:ascii="Times New Roman" w:hAnsi="Times New Roman"/>
          <w:sz w:val="20"/>
        </w:rPr>
      </w:pPr>
      <w:r>
        <w:rPr>
          <w:rFonts w:ascii="Times New Roman" w:hAnsi="Times New Roman"/>
          <w:sz w:val="20"/>
        </w:rPr>
        <w:t xml:space="preserve">(c) such Holder or Holders have offered to the Trustee indemnity or security satisfactory to the Trustee against the costs, expenses and liabilities which might be incurred by the Trustee in compliance with such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Trustee has failed to institute any such proceeding for 60 days after its receipt of such notice, request and offer of indemnity; and </w:t>
      </w:r>
    </w:p>
    <w:p>
      <w:pPr>
        <w:pStyle w:val="TextBody"/>
        <w:bidi w:val="0"/>
        <w:spacing w:before="120" w:after="0"/>
        <w:jc w:val="left"/>
        <w:rPr>
          <w:rFonts w:ascii="Times New Roman" w:hAnsi="Times New Roman"/>
          <w:sz w:val="20"/>
        </w:rPr>
      </w:pPr>
      <w:r>
        <w:rPr>
          <w:rFonts w:ascii="Times New Roman" w:hAnsi="Times New Roman"/>
          <w:sz w:val="20"/>
        </w:rPr>
        <w:t xml:space="preserve">(e) no direction inconsistent with such written request has been given to the Trustee during such 60-day period by the Holders of a majority in principal amount of the outstanding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Trustee does not have an affirmative duty to ascertain whether or not such actions or forbearances are unduly prejudicial to such 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6.8. </w:t>
      </w:r>
      <w:r>
        <w:rPr>
          <w:rFonts w:ascii="Times New Roman" w:hAnsi="Times New Roman"/>
          <w:sz w:val="20"/>
          <w:u w:val="single"/>
        </w:rPr>
        <w:t>Unconditional Right of Holders to Receive Principal and 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other provision in this Indenture, the Holder of any Security has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6.9. </w:t>
      </w:r>
      <w:r>
        <w:rPr>
          <w:rFonts w:ascii="Times New Roman" w:hAnsi="Times New Roman"/>
          <w:sz w:val="20"/>
          <w:u w:val="single"/>
        </w:rPr>
        <w:t>Restoration of Rights and Remedies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Rights and Remedies Cumulative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with respect to the replacement or payment of mutilated, destroyed, lost or stolen Securities in Section 2.9,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Delay or Omission Not Waiver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Control by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such direction shall not be in conflict with any rule of law or with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(b) the Trustee may take any other action deemed proper by the Trustee which is not inconsistent with such direction; </w:t>
      </w:r>
    </w:p>
    <w:p>
      <w:pPr>
        <w:pStyle w:val="TextBody"/>
        <w:bidi w:val="0"/>
        <w:spacing w:before="120" w:after="0"/>
        <w:jc w:val="left"/>
        <w:rPr>
          <w:rFonts w:ascii="Times New Roman" w:hAnsi="Times New Roman"/>
          <w:sz w:val="20"/>
        </w:rPr>
      </w:pPr>
      <w:r>
        <w:rPr>
          <w:rFonts w:ascii="Times New Roman" w:hAnsi="Times New Roman"/>
          <w:sz w:val="20"/>
        </w:rPr>
        <w:t xml:space="preserve">(c) 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 </w:t>
      </w:r>
    </w:p>
    <w:p>
      <w:pPr>
        <w:pStyle w:val="TextBody"/>
        <w:bidi w:val="0"/>
        <w:spacing w:before="120" w:after="0"/>
        <w:jc w:val="left"/>
        <w:rPr>
          <w:rFonts w:ascii="Times New Roman" w:hAnsi="Times New Roman"/>
          <w:sz w:val="20"/>
        </w:rPr>
      </w:pPr>
      <w:r>
        <w:rPr>
          <w:rFonts w:ascii="Times New Roman" w:hAnsi="Times New Roman"/>
          <w:sz w:val="20"/>
        </w:rPr>
        <w:t xml:space="preserve">(d) prior to taking any action as directed under this Section 6.12, the Trustee shall be entitled to indemnity satisfactory to it against the costs, expenses and liabilities which might be incurred by it in compliance with such request or direction. </w:t>
      </w:r>
    </w:p>
    <w:p>
      <w:pPr>
        <w:pStyle w:val="TextBody"/>
        <w:bidi w:val="0"/>
        <w:spacing w:before="240" w:after="0"/>
        <w:jc w:val="left"/>
        <w:rPr>
          <w:rFonts w:ascii="Times New Roman" w:hAnsi="Times New Roman"/>
          <w:sz w:val="20"/>
        </w:rPr>
      </w:pPr>
      <w:r>
        <w:rPr>
          <w:rFonts w:ascii="Times New Roman" w:hAnsi="Times New Roman"/>
          <w:sz w:val="20"/>
        </w:rPr>
        <w:t xml:space="preserve">Section 6.13. </w:t>
      </w:r>
      <w:r>
        <w:rPr>
          <w:rFonts w:ascii="Times New Roman" w:hAnsi="Times New Roman"/>
          <w:sz w:val="20"/>
          <w:u w:val="single"/>
        </w:rPr>
        <w:t>Waiver of Past Defaults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Holders of not less than a majority in principal amount of the outstanding Securities of any Series may on behalf of the Holders of all the Securities of such Series waive any past Default hereunder with respect to such Series and its consequences, except a Default in the payment of the principal of or interest on any Security of such Series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6.14. </w:t>
      </w:r>
      <w:r>
        <w:rPr>
          <w:rFonts w:ascii="Times New Roman" w:hAnsi="Times New Roman"/>
          <w:sz w:val="20"/>
          <w:u w:val="single"/>
        </w:rPr>
        <w:t>Undertaking for Costs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6.14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 </w:t>
      </w:r>
    </w:p>
    <w:p>
      <w:pPr>
        <w:pStyle w:val="TextBody"/>
        <w:bidi w:val="0"/>
        <w:spacing w:before="480" w:after="0"/>
        <w:jc w:val="center"/>
        <w:rPr>
          <w:rFonts w:ascii="Times New Roman" w:hAnsi="Times New Roman"/>
          <w:sz w:val="20"/>
        </w:rPr>
      </w:pPr>
      <w:r>
        <w:rPr>
          <w:rFonts w:ascii="Times New Roman" w:hAnsi="Times New Roman"/>
          <w:sz w:val="20"/>
        </w:rPr>
        <w:t xml:space="preserve">ARTICLE VII. </w:t>
      </w:r>
    </w:p>
    <w:p>
      <w:pPr>
        <w:pStyle w:val="TextBody"/>
        <w:bidi w:val="0"/>
        <w:spacing w:before="0" w:after="0"/>
        <w:jc w:val="center"/>
        <w:rPr>
          <w:rFonts w:ascii="Times New Roman" w:hAnsi="Times New Roman"/>
          <w:sz w:val="20"/>
        </w:rPr>
      </w:pPr>
      <w:r>
        <w:rPr>
          <w:rFonts w:ascii="Times New Roman" w:hAnsi="Times New Roman"/>
          <w:sz w:val="20"/>
        </w:rPr>
        <w:t xml:space="preserve">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Duties of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 </w:t>
      </w:r>
    </w:p>
    <w:p>
      <w:pPr>
        <w:pStyle w:val="TextBody"/>
        <w:bidi w:val="0"/>
        <w:spacing w:before="120" w:after="0"/>
        <w:jc w:val="left"/>
        <w:rPr>
          <w:rFonts w:ascii="Times New Roman" w:hAnsi="Times New Roman"/>
          <w:sz w:val="20"/>
        </w:rPr>
      </w:pPr>
      <w:r>
        <w:rPr>
          <w:rFonts w:ascii="Times New Roman" w:hAnsi="Times New Roman"/>
          <w:sz w:val="20"/>
        </w:rPr>
        <w:t xml:space="preserve">(b) Except during the continuance of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(i) The Trustee need perform only those duties that are specifically set forth in this Indenture and no others.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Times New Roman" w:hAnsi="Times New Roman"/>
          <w:sz w:val="20"/>
          <w:u w:val="single"/>
        </w:rPr>
        <w:t>however</w:t>
      </w:r>
      <w:r>
        <w:rPr>
          <w:rFonts w:ascii="Times New Roman" w:hAnsi="Times New Roman"/>
          <w:sz w:val="20"/>
        </w:rPr>
        <w:t xml:space="preserve">,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requirements of this Indenture (but need not confirm or investigate the accuracy of mathematical calculations or other facts stated therein). </w:t>
      </w:r>
    </w:p>
    <w:p>
      <w:pPr>
        <w:pStyle w:val="TextBody"/>
        <w:bidi w:val="0"/>
        <w:spacing w:before="120" w:after="0"/>
        <w:jc w:val="left"/>
        <w:rPr>
          <w:rFonts w:ascii="Times New Roman" w:hAnsi="Times New Roman"/>
          <w:sz w:val="20"/>
        </w:rPr>
      </w:pPr>
      <w:r>
        <w:rPr>
          <w:rFonts w:ascii="Times New Roman" w:hAnsi="Times New Roman"/>
          <w:sz w:val="20"/>
        </w:rPr>
        <w:t xml:space="preserve">(c) The Trustee may not be relieved from liability for its own negligent action, its own negligent failure to act or its own willful misconduct, except that: </w:t>
      </w:r>
    </w:p>
    <w:p>
      <w:pPr>
        <w:pStyle w:val="TextBody"/>
        <w:bidi w:val="0"/>
        <w:spacing w:before="120" w:after="0"/>
        <w:jc w:val="left"/>
        <w:rPr>
          <w:rFonts w:ascii="Times New Roman" w:hAnsi="Times New Roman"/>
          <w:sz w:val="20"/>
        </w:rPr>
      </w:pPr>
      <w:r>
        <w:rPr>
          <w:rFonts w:ascii="Times New Roman" w:hAnsi="Times New Roman"/>
          <w:sz w:val="20"/>
        </w:rPr>
        <w:t xml:space="preserve">(i) This sub-clause (c) does not limit the effect of sub-clause (b) of this Section 7.1. </w:t>
      </w:r>
    </w:p>
    <w:p>
      <w:pPr>
        <w:pStyle w:val="TextBody"/>
        <w:bidi w:val="0"/>
        <w:spacing w:before="120" w:after="0"/>
        <w:jc w:val="left"/>
        <w:rPr>
          <w:rFonts w:ascii="Times New Roman" w:hAnsi="Times New Roman"/>
          <w:sz w:val="20"/>
        </w:rPr>
      </w:pPr>
      <w:r>
        <w:rPr>
          <w:rFonts w:ascii="Times New Roman" w:hAnsi="Times New Roman"/>
          <w:sz w:val="20"/>
        </w:rPr>
        <w:t xml:space="preserve">(ii) The Trustee shall not be liable for any error of judgment made in good faith by a Responsible Officer, unless it is proved that the Trustee was negligent in ascertaining the pertinent facts. </w:t>
      </w:r>
    </w:p>
    <w:p>
      <w:pPr>
        <w:pStyle w:val="TextBody"/>
        <w:bidi w:val="0"/>
        <w:spacing w:before="120" w:after="0"/>
        <w:jc w:val="left"/>
        <w:rPr>
          <w:rFonts w:ascii="Times New Roman" w:hAnsi="Times New Roman"/>
          <w:sz w:val="20"/>
        </w:rPr>
      </w:pPr>
      <w:r>
        <w:rPr>
          <w:rFonts w:ascii="Times New Roman" w:hAnsi="Times New Roman"/>
          <w:sz w:val="20"/>
        </w:rPr>
        <w:t xml:space="preserve">(iii) 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 </w:t>
      </w:r>
    </w:p>
    <w:p>
      <w:pPr>
        <w:pStyle w:val="TextBody"/>
        <w:bidi w:val="0"/>
        <w:spacing w:before="120" w:after="0"/>
        <w:jc w:val="left"/>
        <w:rPr>
          <w:rFonts w:ascii="Times New Roman" w:hAnsi="Times New Roman"/>
          <w:sz w:val="20"/>
        </w:rPr>
      </w:pPr>
      <w:r>
        <w:rPr>
          <w:rFonts w:ascii="Times New Roman" w:hAnsi="Times New Roman"/>
          <w:sz w:val="20"/>
        </w:rPr>
        <w:t xml:space="preserve">(d) Every provision of this Indenture that in any way relates to the Trustee is subject to sub-clauses (a), (b) and (c) of this Section 7.1. </w:t>
      </w:r>
    </w:p>
    <w:p>
      <w:pPr>
        <w:pStyle w:val="TextBody"/>
        <w:bidi w:val="0"/>
        <w:spacing w:before="120" w:after="0"/>
        <w:jc w:val="left"/>
        <w:rPr>
          <w:rFonts w:ascii="Times New Roman" w:hAnsi="Times New Roman"/>
          <w:sz w:val="20"/>
        </w:rPr>
      </w:pPr>
      <w:r>
        <w:rPr>
          <w:rFonts w:ascii="Times New Roman" w:hAnsi="Times New Roman"/>
          <w:sz w:val="20"/>
        </w:rPr>
        <w:t xml:space="preserve">(e) The Trustee may refuse to perform any duty or exercise any right or power unless it receives indemnity satisfactory to it against the costs, expenses and liabilities which might be incurred by it in performing such duty or exercising such right or power. </w:t>
      </w:r>
    </w:p>
    <w:p>
      <w:pPr>
        <w:pStyle w:val="TextBody"/>
        <w:bidi w:val="0"/>
        <w:spacing w:before="120" w:after="0"/>
        <w:jc w:val="left"/>
        <w:rPr>
          <w:rFonts w:ascii="Times New Roman" w:hAnsi="Times New Roman"/>
          <w:sz w:val="20"/>
        </w:rPr>
      </w:pPr>
      <w:r>
        <w:rPr>
          <w:rFonts w:ascii="Times New Roman" w:hAnsi="Times New Roman"/>
          <w:sz w:val="20"/>
        </w:rPr>
        <w:t xml:space="preserve">(f) The Trustee shall not be liable for interest on any money received by it, except as the Trustee may agree in writing with the Company. Money held in trust by the Trustee need not be segregated from other funds except to the extent required by law. </w:t>
      </w:r>
    </w:p>
    <w:p>
      <w:pPr>
        <w:pStyle w:val="TextBody"/>
        <w:bidi w:val="0"/>
        <w:spacing w:before="120" w:after="0"/>
        <w:jc w:val="left"/>
        <w:rPr>
          <w:rFonts w:ascii="Times New Roman" w:hAnsi="Times New Roman"/>
          <w:sz w:val="20"/>
        </w:rPr>
      </w:pPr>
      <w:r>
        <w:rPr>
          <w:rFonts w:ascii="Times New Roman" w:hAnsi="Times New Roman"/>
          <w:sz w:val="20"/>
        </w:rPr>
        <w:t xml:space="preserve">(g) No provision of this Indenture shall require the Trustee to risk its own funds or otherwise incur any financial liability in the performance of any of its duties, or in the exercise of any of its rights or powers, if adequate indemnity against such risk is not assured to the Trustee in its satisfaction. </w:t>
      </w:r>
    </w:p>
    <w:p>
      <w:pPr>
        <w:pStyle w:val="TextBody"/>
        <w:bidi w:val="0"/>
        <w:spacing w:before="120" w:after="0"/>
        <w:jc w:val="left"/>
        <w:rPr>
          <w:rFonts w:ascii="Times New Roman" w:hAnsi="Times New Roman"/>
          <w:sz w:val="20"/>
        </w:rPr>
      </w:pPr>
      <w:r>
        <w:rPr>
          <w:rFonts w:ascii="Times New Roman" w:hAnsi="Times New Roman"/>
          <w:sz w:val="20"/>
        </w:rPr>
        <w:t xml:space="preserve">(h) The Paying Agent, the Registrar and any authenticating agent shall be entitled to the protections and immunities as are set forth in sub-clauses (e), (f) and (g) of this Section 7.1 and in Section 7.2, each with respect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Rights of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Trustee may conclusively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 </w:t>
      </w:r>
    </w:p>
    <w:p>
      <w:pPr>
        <w:pStyle w:val="TextBody"/>
        <w:bidi w:val="0"/>
        <w:spacing w:before="120" w:after="0"/>
        <w:jc w:val="left"/>
        <w:rPr>
          <w:rFonts w:ascii="Times New Roman" w:hAnsi="Times New Roman"/>
          <w:sz w:val="20"/>
        </w:rPr>
      </w:pPr>
      <w:r>
        <w:rPr>
          <w:rFonts w:ascii="Times New Roman" w:hAnsi="Times New Roman"/>
          <w:sz w:val="20"/>
        </w:rPr>
        <w:t xml:space="preserve">(b) Before the Trustee acts or refrains from acting, it shall be entitled to receive an Officer’s Certificate or an Opinion of Counsel or both. The Trustee shall not be liable for any action it takes or omits to take in good faith in conclusive reliance on such Officer’s Certificate or Opinion of Counsel. </w:t>
      </w:r>
    </w:p>
    <w:p>
      <w:pPr>
        <w:pStyle w:val="TextBody"/>
        <w:bidi w:val="0"/>
        <w:spacing w:before="120" w:after="0"/>
        <w:jc w:val="left"/>
        <w:rPr>
          <w:rFonts w:ascii="Times New Roman" w:hAnsi="Times New Roman"/>
          <w:sz w:val="20"/>
        </w:rPr>
      </w:pPr>
      <w:r>
        <w:rPr>
          <w:rFonts w:ascii="Times New Roman" w:hAnsi="Times New Roman"/>
          <w:sz w:val="20"/>
        </w:rPr>
        <w:t xml:space="preserve">(c) The Trustee may act through agents and shall not be responsible for the misconduct or negligence of any agent appointed with due care. No Depositary shall be deemed an agent of the Trustee and the Trustee shall not be responsible for any act or omission by any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Trustee shall not be liable for any action it takes or omits to take in good faith which it believes to be authorized or within its rights or powers, provided that the Trustee’s conduct does not constitute willful misconduct or negligence. </w:t>
      </w:r>
    </w:p>
    <w:p>
      <w:pPr>
        <w:pStyle w:val="TextBody"/>
        <w:bidi w:val="0"/>
        <w:spacing w:before="120" w:after="0"/>
        <w:jc w:val="left"/>
        <w:rPr>
          <w:rFonts w:ascii="Times New Roman" w:hAnsi="Times New Roman"/>
          <w:sz w:val="20"/>
        </w:rPr>
      </w:pPr>
      <w:r>
        <w:rPr>
          <w:rFonts w:ascii="Times New Roman" w:hAnsi="Times New Roman"/>
          <w:sz w:val="20"/>
        </w:rPr>
        <w:t xml:space="preserve">(e) The Trustee may consult with counsel of its selection and the advice of such counsel or any Opinion of Counsel shall be full and complete authorization and protection in respect of any action taken, suffered or omitted by it hereunder in good faith and in reliance thereon. </w:t>
      </w:r>
    </w:p>
    <w:p>
      <w:pPr>
        <w:pStyle w:val="TextBody"/>
        <w:bidi w:val="0"/>
        <w:spacing w:before="120" w:after="0"/>
        <w:jc w:val="left"/>
        <w:rPr>
          <w:rFonts w:ascii="Times New Roman" w:hAnsi="Times New Roman"/>
          <w:sz w:val="20"/>
        </w:rPr>
      </w:pPr>
      <w:r>
        <w:rPr>
          <w:rFonts w:ascii="Times New Roman" w:hAnsi="Times New Roman"/>
          <w:sz w:val="20"/>
        </w:rPr>
        <w:t xml:space="preserve">(f) The Trustee shall be under no obligation to exercise any of the rights or powers vested in it by this Indenture at the request or direction of any of the Holders of Securities unless such Holders shall have offered to the Trustee security or indemnity reasonably satisfactory to it against the costs, expenses and liabilities which might be incurred by it in compliance with such request or direction. </w:t>
      </w:r>
    </w:p>
    <w:p>
      <w:pPr>
        <w:pStyle w:val="TextBody"/>
        <w:bidi w:val="0"/>
        <w:spacing w:before="120" w:after="0"/>
        <w:jc w:val="left"/>
        <w:rPr>
          <w:rFonts w:ascii="Times New Roman" w:hAnsi="Times New Roman"/>
          <w:sz w:val="20"/>
        </w:rPr>
      </w:pPr>
      <w:r>
        <w:rPr>
          <w:rFonts w:ascii="Times New Roman" w:hAnsi="Times New Roman"/>
          <w:sz w:val="20"/>
        </w:rPr>
        <w:t xml:space="preserve">(g)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shall incur no liability or additional liability of any kind by reason of such inquiry or investigation. </w:t>
      </w:r>
    </w:p>
    <w:p>
      <w:pPr>
        <w:pStyle w:val="TextBody"/>
        <w:bidi w:val="0"/>
        <w:spacing w:before="120" w:after="0"/>
        <w:jc w:val="left"/>
        <w:rPr>
          <w:rFonts w:ascii="Times New Roman" w:hAnsi="Times New Roman"/>
          <w:sz w:val="20"/>
        </w:rPr>
      </w:pPr>
      <w:r>
        <w:rPr>
          <w:rFonts w:ascii="Times New Roman" w:hAnsi="Times New Roman"/>
          <w:sz w:val="20"/>
        </w:rPr>
        <w:t xml:space="preserve">(h) The Trustee shall not be deemed to have notice of any Default or Event of Default unless a Responsible Officer of the Trustee has actual knowledge thereof or unless written notice of any event which is in fact such a default is received by a Responsible Officer of the Trustee at the Corporate Trust Office of the Trustee, and such notice references the Securities generally or the Securities of a particular Series and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(i) In no event shall the Trustee be liable to any person for special, punitive, indirect, consequential or incidental loss or damage of any kind whatsoever (including but not limited to lost profits), even if the Trustee has been advised of the likelihood of such loss or damage. </w:t>
      </w:r>
    </w:p>
    <w:p>
      <w:pPr>
        <w:pStyle w:val="TextBody"/>
        <w:bidi w:val="0"/>
        <w:spacing w:before="120" w:after="0"/>
        <w:jc w:val="left"/>
        <w:rPr>
          <w:rFonts w:ascii="Times New Roman" w:hAnsi="Times New Roman"/>
          <w:sz w:val="20"/>
        </w:rPr>
      </w:pPr>
      <w:r>
        <w:rPr>
          <w:rFonts w:ascii="Times New Roman" w:hAnsi="Times New Roman"/>
          <w:sz w:val="20"/>
        </w:rPr>
        <w:t xml:space="preserve">(j) The permissive right of the Trustee to take the actions permitted by this Indenture shall not be construed as an obligation or duty to do so. </w:t>
      </w:r>
    </w:p>
    <w:p>
      <w:pPr>
        <w:pStyle w:val="TextBody"/>
        <w:bidi w:val="0"/>
        <w:spacing w:before="120" w:after="0"/>
        <w:jc w:val="left"/>
        <w:rPr>
          <w:rFonts w:ascii="Times New Roman" w:hAnsi="Times New Roman"/>
          <w:sz w:val="20"/>
        </w:rPr>
      </w:pPr>
      <w:r>
        <w:rPr>
          <w:rFonts w:ascii="Times New Roman" w:hAnsi="Times New Roman"/>
          <w:sz w:val="20"/>
        </w:rPr>
        <w:t xml:space="preserve">(k)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 </w:t>
      </w:r>
    </w:p>
    <w:p>
      <w:pPr>
        <w:pStyle w:val="TextBody"/>
        <w:bidi w:val="0"/>
        <w:spacing w:before="120" w:after="0"/>
        <w:jc w:val="left"/>
        <w:rPr>
          <w:rFonts w:ascii="Times New Roman" w:hAnsi="Times New Roman"/>
          <w:sz w:val="20"/>
        </w:rPr>
      </w:pPr>
      <w:r>
        <w:rPr>
          <w:rFonts w:ascii="Times New Roman" w:hAnsi="Times New Roman"/>
          <w:sz w:val="20"/>
        </w:rPr>
        <w:t xml:space="preserve">(l) The Trustee shall not be required to give any bond or surety in respect of the performance of its powers and duties hereunder. </w:t>
      </w:r>
    </w:p>
    <w:p>
      <w:pPr>
        <w:pStyle w:val="TextBody"/>
        <w:bidi w:val="0"/>
        <w:spacing w:before="120" w:after="0"/>
        <w:jc w:val="left"/>
        <w:rPr>
          <w:rFonts w:ascii="Times New Roman" w:hAnsi="Times New Roman"/>
          <w:sz w:val="20"/>
        </w:rPr>
      </w:pPr>
      <w:r>
        <w:rPr>
          <w:rFonts w:ascii="Times New Roman" w:hAnsi="Times New Roman"/>
          <w:sz w:val="20"/>
        </w:rPr>
        <w:t xml:space="preserve">(m) The Trustee may request that the Company deliver a certificate setting forth the names of individuals and/or titles of officers authorized at such time to take specified actions pursuant to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Individual Rights of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in its individual or any other capacity may become the owner or pledgee of Securities and may otherwise deal with the Company or an Affiliate of the Company with the same rights it would have if it were not Trustee. Any Agent may do the same with like rights. However, the Trustee is also subject to Sections 7.10 and 7.11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Trustee’s Disclaimer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makes no representation as to the validity or adequacy of this Indenture or the Securities, it shall not be accountable for the Company’s use of the proceeds from the Securities, and it shall not be responsible for any statement in the Securities other than its authentication.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Notice of Defaults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 Default or Event of Default occurs and is continuing with respect to the Securities of any Series and if it is actually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 in good faith determines that withholding the notice is in the interests of Securityholders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7.6. </w:t>
      </w:r>
      <w:r>
        <w:rPr>
          <w:rFonts w:ascii="Times New Roman" w:hAnsi="Times New Roman"/>
          <w:sz w:val="20"/>
          <w:u w:val="single"/>
        </w:rPr>
        <w:t>Reports by Trustee to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Within 60 days after each anniversary of the date of this Indenture, the Trustee shall transmit by mail to all Securityholders, as their names and addresses appear on the register kept by the Registrar, a brief report dated as of such reporting date, in accordance with, and to the extent required under, TIA § 313. </w:t>
      </w:r>
    </w:p>
    <w:p>
      <w:pPr>
        <w:pStyle w:val="TextBody"/>
        <w:bidi w:val="0"/>
        <w:spacing w:before="240" w:after="0"/>
        <w:jc w:val="left"/>
        <w:rPr>
          <w:rFonts w:ascii="Times New Roman" w:hAnsi="Times New Roman"/>
          <w:sz w:val="20"/>
        </w:rPr>
      </w:pPr>
      <w:r>
        <w:rPr>
          <w:rFonts w:ascii="Times New Roman" w:hAnsi="Times New Roman"/>
          <w:sz w:val="20"/>
        </w:rPr>
        <w:t xml:space="preserve">A copy of each report at the time of its mailing to Securityholders of any Series shall be filed with the SEC and each national securities exchange on which the Securities of that Series are listed. The Company shall promptly notify the Trustee in writing when Securities of any Series are listed on any national securities exchange or of any delisting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7.7. </w:t>
      </w:r>
      <w:r>
        <w:rPr>
          <w:rFonts w:ascii="Times New Roman" w:hAnsi="Times New Roman"/>
          <w:sz w:val="20"/>
          <w:u w:val="single"/>
        </w:rPr>
        <w:t>Compensation and Indemnity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indemnify each of the Trustee and any predecessor Trustee against any cost, expense, claim (whether asserted by the Company, a Holder or any other person) or liability (including the cost of defending itself), including taxes (other than taxes based upon, measured by or determined by the income of the Trustee), incurred by it except as set forth in the next paragraph in the performance of its duties under this Indenture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Company need not reimburse any expense or indemnify against any loss or liability incurred by the Trustee or by any officer, director, employee or shareholder of the Trustee through willful misconduct or negligence. </w:t>
      </w:r>
    </w:p>
    <w:p>
      <w:pPr>
        <w:pStyle w:val="TextBody"/>
        <w:bidi w:val="0"/>
        <w:spacing w:before="240" w:after="0"/>
        <w:jc w:val="left"/>
        <w:rPr>
          <w:rFonts w:ascii="Times New Roman" w:hAnsi="Times New Roman"/>
          <w:sz w:val="20"/>
        </w:rPr>
      </w:pPr>
      <w:r>
        <w:rPr>
          <w:rFonts w:ascii="Times New Roman" w:hAnsi="Times New Roman"/>
          <w:sz w:val="20"/>
        </w:rPr>
        <w:t xml:space="preserve">To secure the Company’s payment obligations in this Section 7.7, the Trustee shall have a lien prior to the Securities of any Series on all money or property held or collected by the Trustee, except that held in trust to pay principal of and interest on particular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When the Trustee incurs expenses or renders services after an Event of Default specified in Section 6.1(f) or (g) occurs, the expenses and the compensation for the services are intended to constitute expenses of administration under any Bankruptcy Law.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Section 7.7 shall survive the termination of this Indenture or the resignation or removal of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7.8. </w:t>
      </w:r>
      <w:r>
        <w:rPr>
          <w:rFonts w:ascii="Times New Roman" w:hAnsi="Times New Roman"/>
          <w:sz w:val="20"/>
          <w:u w:val="single"/>
        </w:rPr>
        <w:t>Replacement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resignation or removal of the Trustee and appointment of a successor Trustee shall become effective only upon the successor Trustee’s acceptance of appointment as provided in this Section 7.8.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resign at any time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in writing. The Company may remove the Trustee with respect to Securities of one or more Series if: </w:t>
      </w:r>
    </w:p>
    <w:p>
      <w:pPr>
        <w:pStyle w:val="TextBody"/>
        <w:bidi w:val="0"/>
        <w:spacing w:before="120" w:after="0"/>
        <w:jc w:val="left"/>
        <w:rPr>
          <w:rFonts w:ascii="Times New Roman" w:hAnsi="Times New Roman"/>
          <w:sz w:val="20"/>
        </w:rPr>
      </w:pPr>
      <w:r>
        <w:rPr>
          <w:rFonts w:ascii="Times New Roman" w:hAnsi="Times New Roman"/>
          <w:sz w:val="20"/>
        </w:rPr>
        <w:t xml:space="preserve">(a) the Trustee fails to comply with Section 7.10; </w:t>
      </w:r>
    </w:p>
    <w:p>
      <w:pPr>
        <w:pStyle w:val="TextBody"/>
        <w:bidi w:val="0"/>
        <w:spacing w:before="120" w:after="0"/>
        <w:jc w:val="left"/>
        <w:rPr>
          <w:rFonts w:ascii="Times New Roman" w:hAnsi="Times New Roman"/>
          <w:sz w:val="20"/>
        </w:rPr>
      </w:pPr>
      <w:r>
        <w:rPr>
          <w:rFonts w:ascii="Times New Roman" w:hAnsi="Times New Roman"/>
          <w:sz w:val="20"/>
        </w:rPr>
        <w:t xml:space="preserve">(b) the Trustee is adjudged a bankrupt or an insolvent or an order for relief is entered with respect to the Trustee under any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(c) a Custodian or public officer takes charge of the Trustee or its property; or </w:t>
      </w:r>
    </w:p>
    <w:p>
      <w:pPr>
        <w:pStyle w:val="TextBody"/>
        <w:bidi w:val="0"/>
        <w:spacing w:before="120" w:after="0"/>
        <w:jc w:val="left"/>
        <w:rPr>
          <w:rFonts w:ascii="Times New Roman" w:hAnsi="Times New Roman"/>
          <w:sz w:val="20"/>
        </w:rPr>
      </w:pPr>
      <w:r>
        <w:rPr>
          <w:rFonts w:ascii="Times New Roman" w:hAnsi="Times New Roman"/>
          <w:sz w:val="20"/>
        </w:rPr>
        <w:t xml:space="preserve">(d) the Trustee becomes incapable of acting.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If a successor Trustee with respect to the Securities of any one or more Series does not take office within 30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 at the expense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 Securityholder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 </w:t>
      </w:r>
    </w:p>
    <w:p>
      <w:pPr>
        <w:pStyle w:val="TextBody"/>
        <w:bidi w:val="0"/>
        <w:spacing w:before="240" w:after="0"/>
        <w:jc w:val="left"/>
        <w:rPr>
          <w:rFonts w:ascii="Times New Roman" w:hAnsi="Times New Roman"/>
          <w:sz w:val="20"/>
        </w:rPr>
      </w:pPr>
      <w:r>
        <w:rPr>
          <w:rFonts w:ascii="Times New Roman" w:hAnsi="Times New Roman"/>
          <w:sz w:val="20"/>
        </w:rPr>
        <w:t xml:space="preserve">Section 7.9. </w:t>
      </w:r>
      <w:r>
        <w:rPr>
          <w:rFonts w:ascii="Times New Roman" w:hAnsi="Times New Roman"/>
          <w:sz w:val="20"/>
          <w:u w:val="single"/>
        </w:rPr>
        <w:t>Successor Trustee by Merger,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Trustee consolidates with, merges or converts into, or transfers all or substantially all of its corporate trust business to, another corporation, the successor corporation without any further act shall be the successor Trustee, if such successor corporation is eligible and qualified under Section 7.10.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Eligibility; Disqualification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Indenture shall always have a Trustee who satisfies the requirements of TIA § 310(a)(1), (2) and (5). The Trustee shall always have a combined capital and surplus of at least $25,000,000 as set forth in its most recent published annual report of condition. The Trustee shall comply with TIA § 310(b).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Preferential Collection of Claims Against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is subject to TIA § 311(a), excluding any creditor relationship listed in TIA § 311(b). A Trustee who has resigned or been removed shall be subject to TIA § 311(a) to the extent indicated.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0" w:after="0"/>
        <w:jc w:val="center"/>
        <w:rPr>
          <w:rFonts w:ascii="Times New Roman" w:hAnsi="Times New Roman"/>
          <w:sz w:val="20"/>
        </w:rPr>
      </w:pPr>
      <w:r>
        <w:rPr>
          <w:rFonts w:ascii="Times New Roman" w:hAnsi="Times New Roman"/>
          <w:sz w:val="20"/>
        </w:rPr>
        <w:t xml:space="preserve">SATISFACTION AND DISCHARGE; DEFEASANCE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Satisfaction and Discharge of Indenture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Indenture shall upon Company Order cease to be of further effect (except as hereinafter provided in this Section 8.1), and the Trustee, at the expense of the Company, shall execute instruments acknowledging satisfaction and discharge of this Indenture, when </w:t>
      </w:r>
    </w:p>
    <w:p>
      <w:pPr>
        <w:pStyle w:val="TextBody"/>
        <w:bidi w:val="0"/>
        <w:spacing w:before="120" w:after="0"/>
        <w:jc w:val="left"/>
        <w:rPr>
          <w:rFonts w:ascii="Times New Roman" w:hAnsi="Times New Roman"/>
          <w:sz w:val="20"/>
        </w:rPr>
      </w:pPr>
      <w:r>
        <w:rPr>
          <w:rFonts w:ascii="Times New Roman" w:hAnsi="Times New Roman"/>
          <w:sz w:val="20"/>
        </w:rPr>
        <w:t xml:space="preserve">(a) either </w:t>
      </w:r>
    </w:p>
    <w:p>
      <w:pPr>
        <w:pStyle w:val="TextBody"/>
        <w:bidi w:val="0"/>
        <w:spacing w:before="120" w:after="0"/>
        <w:jc w:val="left"/>
        <w:rPr>
          <w:rFonts w:ascii="Times New Roman" w:hAnsi="Times New Roman"/>
          <w:sz w:val="20"/>
        </w:rPr>
      </w:pPr>
      <w:r>
        <w:rPr>
          <w:rFonts w:ascii="Times New Roman" w:hAnsi="Times New Roman"/>
          <w:sz w:val="20"/>
        </w:rPr>
        <w:t xml:space="preserve">(i) all Securities theretofore authenticated and delivered (other than Securities that have been destroyed, lost or stolen and that have been replaced or paid as provided in Section 2.9) have been delivered to the Trustee for cancellation; or </w:t>
      </w:r>
    </w:p>
    <w:p>
      <w:pPr>
        <w:pStyle w:val="TextBody"/>
        <w:bidi w:val="0"/>
        <w:spacing w:before="120" w:after="0"/>
        <w:jc w:val="left"/>
        <w:rPr>
          <w:rFonts w:ascii="Times New Roman" w:hAnsi="Times New Roman"/>
          <w:sz w:val="20"/>
        </w:rPr>
      </w:pPr>
      <w:r>
        <w:rPr>
          <w:rFonts w:ascii="Times New Roman" w:hAnsi="Times New Roman"/>
          <w:sz w:val="20"/>
        </w:rPr>
        <w:t xml:space="preserve">(ii) all such Securities not theretofore delivered to the Trustee for cancellation: </w:t>
      </w:r>
    </w:p>
    <w:p>
      <w:pPr>
        <w:pStyle w:val="TextBody"/>
        <w:bidi w:val="0"/>
        <w:spacing w:before="120" w:after="0"/>
        <w:jc w:val="left"/>
        <w:rPr>
          <w:rFonts w:ascii="Times New Roman" w:hAnsi="Times New Roman"/>
          <w:sz w:val="20"/>
        </w:rPr>
      </w:pPr>
      <w:r>
        <w:rPr>
          <w:rFonts w:ascii="Times New Roman" w:hAnsi="Times New Roman"/>
          <w:sz w:val="20"/>
        </w:rPr>
        <w:t xml:space="preserve">(1) have become due and payable, or </w:t>
      </w:r>
    </w:p>
    <w:p>
      <w:pPr>
        <w:pStyle w:val="TextBody"/>
        <w:bidi w:val="0"/>
        <w:spacing w:before="120" w:after="0"/>
        <w:jc w:val="left"/>
        <w:rPr>
          <w:rFonts w:ascii="Times New Roman" w:hAnsi="Times New Roman"/>
          <w:sz w:val="20"/>
        </w:rPr>
      </w:pPr>
      <w:r>
        <w:rPr>
          <w:rFonts w:ascii="Times New Roman" w:hAnsi="Times New Roman"/>
          <w:sz w:val="20"/>
        </w:rPr>
        <w:t xml:space="preserve">(2) will become due and payable at their Stated Maturity within one year, or </w:t>
      </w:r>
    </w:p>
    <w:p>
      <w:pPr>
        <w:pStyle w:val="TextBody"/>
        <w:bidi w:val="0"/>
        <w:spacing w:before="120" w:after="0"/>
        <w:jc w:val="left"/>
        <w:rPr>
          <w:rFonts w:ascii="Times New Roman" w:hAnsi="Times New Roman"/>
          <w:sz w:val="20"/>
        </w:rPr>
      </w:pPr>
      <w:r>
        <w:rPr>
          <w:rFonts w:ascii="Times New Roman" w:hAnsi="Times New Roman"/>
          <w:sz w:val="20"/>
        </w:rPr>
        <w:t xml:space="preserve">(3) have been called for redemption or are to be called for redemption within one year under arrangements satisfactory to the Trustee for the giving of notice of redemption by the Trustee in the name, and at the expense,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and the Company, in the case of (1), (2) or (3) above, has irrevocably deposited or caused to be deposited with the Trustee as trust funds in trust an amount of money or U.S. Government Obligations sufficient for the purpose of paying and discharging the entire indebtedness on such Securities not theretofore delivered to the Trustee for cancellation, for principal and interest to the date of such deposit (in the case of Securities which have become due and payable on or prior to the date of such deposit) or to the Stated Maturity or redemption date,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(b) the Company has paid or caused to be paid all other sums payable hereunder by the Company; and </w:t>
      </w:r>
    </w:p>
    <w:p>
      <w:pPr>
        <w:pStyle w:val="TextBody"/>
        <w:bidi w:val="0"/>
        <w:spacing w:before="120" w:after="0"/>
        <w:jc w:val="left"/>
        <w:rPr>
          <w:rFonts w:ascii="Times New Roman" w:hAnsi="Times New Roman"/>
          <w:sz w:val="20"/>
        </w:rPr>
      </w:pPr>
      <w:r>
        <w:rPr>
          <w:rFonts w:ascii="Times New Roman" w:hAnsi="Times New Roman"/>
          <w:sz w:val="20"/>
        </w:rPr>
        <w:t xml:space="preserve">(c) the Company has delivered to the Trustee an Officer’s Certificate and an Opinion of Counsel, each stating that all conditions precedent herein provided for relating to the satisfaction and discharge of this Indenture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satisfaction and discharge of this Indenture, the obligations of the Company to the Trustee under Section 7.7, and, if money shall have been deposited with the Trustee pursuant to sub-clause (a) of this Section 8.1, the provisions of Sections 2.5, 2.8, 2.9, 8.2 and 8.5 shall survive. </w:t>
      </w:r>
    </w:p>
    <w:p>
      <w:pPr>
        <w:pStyle w:val="TextBody"/>
        <w:bidi w:val="0"/>
        <w:spacing w:before="12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Application of Trust Funds; Indemnification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provisions of Section 8.5, all money or U.S. Government Obligations deposited with the Trustee pursuant to Section 8.1, all money and U.S. Government Obligations or Foreign Government Obligations deposited with the Trustee pursuant to Section 8.3 or 8.4 and all money received by the Trustee in respect of U.S. Government Obligations or Foreign Government Obligations deposited with the Trustee pursuant to Section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8.3 or 8.4.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shall pay and shall indemnify the Trustee against any tax, fee or other charge imposed on or assessed against U.S. Government Obligations or Foreign Government Obligations deposited pursuant to Sections 8.3 or 8.4 or the interest and principal received in respect of such obligations other than any payable by or on behalf of Holders. </w:t>
      </w:r>
    </w:p>
    <w:p>
      <w:pPr>
        <w:pStyle w:val="TextBody"/>
        <w:bidi w:val="0"/>
        <w:spacing w:before="120" w:after="0"/>
        <w:jc w:val="left"/>
        <w:rPr>
          <w:rFonts w:ascii="Times New Roman" w:hAnsi="Times New Roman"/>
          <w:sz w:val="20"/>
        </w:rPr>
      </w:pPr>
      <w:r>
        <w:rPr>
          <w:rFonts w:ascii="Times New Roman" w:hAnsi="Times New Roman"/>
          <w:sz w:val="20"/>
        </w:rPr>
        <w:t xml:space="preserve">(c) 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8.3. </w:t>
      </w:r>
      <w:r>
        <w:rPr>
          <w:rFonts w:ascii="Times New Roman" w:hAnsi="Times New Roman"/>
          <w:sz w:val="20"/>
          <w:u w:val="single"/>
        </w:rPr>
        <w:t>Legal Defeasance of Securities of any Series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sub-clause (d) hereof, and the provisions of this Indenture, as it relates to such outstanding Securities of such Series, shall no longer be in effect (and the Trustee, at the expense of the Company, shall, upon receipt of a Company Order, execute instruments acknowledging the same), except as to: </w:t>
      </w:r>
    </w:p>
    <w:p>
      <w:pPr>
        <w:pStyle w:val="TextBody"/>
        <w:bidi w:val="0"/>
        <w:spacing w:before="120" w:after="0"/>
        <w:jc w:val="left"/>
        <w:rPr>
          <w:rFonts w:ascii="Times New Roman" w:hAnsi="Times New Roman"/>
          <w:sz w:val="20"/>
        </w:rPr>
      </w:pPr>
      <w:r>
        <w:rPr>
          <w:rFonts w:ascii="Times New Roman" w:hAnsi="Times New Roman"/>
          <w:sz w:val="20"/>
        </w:rPr>
        <w:t xml:space="preserve">(a) the rights of Holders of Securities of such Series to receive, from the trust funds described in sub-clause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 </w:t>
      </w:r>
    </w:p>
    <w:p>
      <w:pPr>
        <w:pStyle w:val="TextBody"/>
        <w:bidi w:val="0"/>
        <w:spacing w:before="120" w:after="0"/>
        <w:jc w:val="left"/>
        <w:rPr>
          <w:rFonts w:ascii="Times New Roman" w:hAnsi="Times New Roman"/>
          <w:sz w:val="20"/>
        </w:rPr>
      </w:pPr>
      <w:r>
        <w:rPr>
          <w:rFonts w:ascii="Times New Roman" w:hAnsi="Times New Roman"/>
          <w:sz w:val="20"/>
        </w:rPr>
        <w:t xml:space="preserve">(b) the provisions of Sections 2.5, 2.8, 2.9, 8.2, 8.3 and 8.5; and </w:t>
      </w:r>
    </w:p>
    <w:p>
      <w:pPr>
        <w:pStyle w:val="TextBody"/>
        <w:bidi w:val="0"/>
        <w:spacing w:before="120" w:after="0"/>
        <w:jc w:val="left"/>
        <w:rPr>
          <w:rFonts w:ascii="Times New Roman" w:hAnsi="Times New Roman"/>
          <w:sz w:val="20"/>
        </w:rPr>
      </w:pPr>
      <w:r>
        <w:rPr>
          <w:rFonts w:ascii="Times New Roman" w:hAnsi="Times New Roman"/>
          <w:sz w:val="20"/>
        </w:rPr>
        <w:t xml:space="preserve">(c) the rights, powers, trust and immunities of the Trustee hereunder and the Company’s obligations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provided that, the following conditions shall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(d) the Company shall have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(and without reinvestment), will provide,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if any, on and any mandatory sinking fund payments in respect of all the Securities of such Series on the dates such installments of interest or principal and such sinking fund payments are due; </w:t>
      </w:r>
    </w:p>
    <w:p>
      <w:pPr>
        <w:pStyle w:val="TextBody"/>
        <w:bidi w:val="0"/>
        <w:spacing w:before="120" w:after="0"/>
        <w:jc w:val="left"/>
        <w:rPr>
          <w:rFonts w:ascii="Times New Roman" w:hAnsi="Times New Roman"/>
          <w:sz w:val="20"/>
        </w:rPr>
      </w:pPr>
      <w:r>
        <w:rPr>
          <w:rFonts w:ascii="Times New Roman" w:hAnsi="Times New Roman"/>
          <w:sz w:val="20"/>
        </w:rPr>
        <w:t xml:space="preserve">(e) such deposit will not result in a breach or violation of, or constitute a default under, this Indenture or any other agreement or instrument to which the Company is a party or by which it is bound;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no Default or Event of Default with respect to the Securities of such Series shall have occurred and be continuing on the date of such deposit or during the period ending on the 91st day after such date; </w:t>
      </w:r>
    </w:p>
    <w:p>
      <w:pPr>
        <w:pStyle w:val="TextBody"/>
        <w:bidi w:val="0"/>
        <w:spacing w:before="120" w:after="0"/>
        <w:jc w:val="left"/>
        <w:rPr>
          <w:rFonts w:ascii="Times New Roman" w:hAnsi="Times New Roman"/>
          <w:sz w:val="20"/>
        </w:rPr>
      </w:pPr>
      <w:r>
        <w:rPr>
          <w:rFonts w:ascii="Times New Roman" w:hAnsi="Times New Roman"/>
          <w:sz w:val="20"/>
        </w:rPr>
        <w:t xml:space="preserve">(g) 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U.S. federal income tax law, in either case to the effect that, and based thereon such Opinion of Counsel shall confirm that, the Holders of the Securities of such Series will not recognize income, gain or loss for U.S. federal income tax purposes as a result of such deposit, defeasance and discharge and will be subject to U.S. federal income tax on the same amount and in the same manner and at the same times as would have been the case if such deposit, defeasance and discharge had not occurred; </w:t>
      </w:r>
    </w:p>
    <w:p>
      <w:pPr>
        <w:pStyle w:val="TextBody"/>
        <w:bidi w:val="0"/>
        <w:spacing w:before="120" w:after="0"/>
        <w:jc w:val="left"/>
        <w:rPr>
          <w:rFonts w:ascii="Times New Roman" w:hAnsi="Times New Roman"/>
          <w:sz w:val="20"/>
        </w:rPr>
      </w:pPr>
      <w:r>
        <w:rPr>
          <w:rFonts w:ascii="Times New Roman" w:hAnsi="Times New Roman"/>
          <w:sz w:val="20"/>
        </w:rPr>
        <w:t xml:space="preserve">(h) the Company shall have delivered to the Trustee an Officer’s Certificate stating that the deposit was not made by the Company with the intent of defeating, hindering, delaying or defrauding any other creditors of the Company; and </w:t>
      </w:r>
    </w:p>
    <w:p>
      <w:pPr>
        <w:pStyle w:val="TextBody"/>
        <w:bidi w:val="0"/>
        <w:spacing w:before="120" w:after="0"/>
        <w:jc w:val="left"/>
        <w:rPr>
          <w:rFonts w:ascii="Times New Roman" w:hAnsi="Times New Roman"/>
          <w:sz w:val="20"/>
        </w:rPr>
      </w:pPr>
      <w:r>
        <w:rPr>
          <w:rFonts w:ascii="Times New Roman" w:hAnsi="Times New Roman"/>
          <w:sz w:val="20"/>
        </w:rPr>
        <w:t xml:space="preserve">(i) the Company shall have delivered to the Trustee an Officer’s Certificate and an Opinion of Counsel, each stating that all conditions precedent provided for relating to the defeasance contemplated by this Section 8.3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8.4. </w:t>
      </w:r>
      <w:r>
        <w:rPr>
          <w:rFonts w:ascii="Times New Roman" w:hAnsi="Times New Roman"/>
          <w:sz w:val="20"/>
          <w:u w:val="single"/>
        </w:rPr>
        <w:t>Covenant Defeasance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Unless this Section 8.4 is otherwise specified pursuant to Section 2.2 to be inapplicable to Securities of any Series, the Company may omit to comply with respect to the Securities of any Series with any term, provision or condition set forth under Sections 4.2 and 4.3, 4.4 and 5.1as well as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2.2.18 and designated as an Event of Default shall not constitute a Default or Event of Default hereunder, with respect to the Securities of such Series, provided that the following conditions shall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(a) With reference to this Section 8.4, the Company has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(and without reinvestment), will provide,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of and interest, if any, on and any mandatory sinking fund payments in respect of the Securities of such Series on the dates such installments of interest or principal and such sinking fund payments are due; </w:t>
      </w:r>
    </w:p>
    <w:p>
      <w:pPr>
        <w:pStyle w:val="TextBody"/>
        <w:bidi w:val="0"/>
        <w:spacing w:before="120" w:after="0"/>
        <w:jc w:val="left"/>
        <w:rPr>
          <w:rFonts w:ascii="Times New Roman" w:hAnsi="Times New Roman"/>
          <w:sz w:val="20"/>
        </w:rPr>
      </w:pPr>
      <w:r>
        <w:rPr>
          <w:rFonts w:ascii="Times New Roman" w:hAnsi="Times New Roman"/>
          <w:sz w:val="20"/>
        </w:rPr>
        <w:t xml:space="preserve">(b) Such deposit will not result in a breach or violation of, or constitute a default under, this Indenture or any other agreement or instrument to which the Company is a party or by which it is bound; </w:t>
      </w:r>
    </w:p>
    <w:p>
      <w:pPr>
        <w:pStyle w:val="TextBody"/>
        <w:bidi w:val="0"/>
        <w:spacing w:before="120" w:after="0"/>
        <w:jc w:val="left"/>
        <w:rPr>
          <w:rFonts w:ascii="Times New Roman" w:hAnsi="Times New Roman"/>
          <w:sz w:val="20"/>
        </w:rPr>
      </w:pPr>
      <w:r>
        <w:rPr>
          <w:rFonts w:ascii="Times New Roman" w:hAnsi="Times New Roman"/>
          <w:sz w:val="20"/>
        </w:rPr>
        <w:t xml:space="preserve">(c) No Default or Event of Default with respect to the Securities of such Series shall have occurred and be continuing on the date of such deposit; </w:t>
      </w:r>
    </w:p>
    <w:p>
      <w:pPr>
        <w:pStyle w:val="TextBody"/>
        <w:bidi w:val="0"/>
        <w:spacing w:before="120" w:after="0"/>
        <w:jc w:val="left"/>
        <w:rPr>
          <w:rFonts w:ascii="Times New Roman" w:hAnsi="Times New Roman"/>
          <w:sz w:val="20"/>
        </w:rPr>
      </w:pPr>
      <w:r>
        <w:rPr>
          <w:rFonts w:ascii="Times New Roman" w:hAnsi="Times New Roman"/>
          <w:sz w:val="20"/>
        </w:rPr>
        <w:t xml:space="preserve">(d) The Company shall have delivered to the Trustee an Opinion of Counsel to the effect that Holders of the Securities of such Series will not recognize income, gain or loss for U.S. federal income tax purposes as a result of such deposit and covenant defeasance and will be subject to U.S. federal income tax on the same amounts, in the same manner and at the same times as would have been the case if such deposit and covenant defeasance had not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Company shall have delivered to the Trustee an Officer’s Certificate stating the deposit was not made by the Company with the intent of defeating, hindering, delaying or defrauding any other creditors of the Company; and </w:t>
      </w:r>
    </w:p>
    <w:p>
      <w:pPr>
        <w:pStyle w:val="TextBody"/>
        <w:bidi w:val="0"/>
        <w:spacing w:before="120" w:after="0"/>
        <w:jc w:val="left"/>
        <w:rPr>
          <w:rFonts w:ascii="Times New Roman" w:hAnsi="Times New Roman"/>
          <w:sz w:val="20"/>
        </w:rPr>
      </w:pPr>
      <w:r>
        <w:rPr>
          <w:rFonts w:ascii="Times New Roman" w:hAnsi="Times New Roman"/>
          <w:sz w:val="20"/>
        </w:rPr>
        <w:t xml:space="preserve">(f) The Company shall have delivered to the Trustee an Officer’s Certificate and an Opinion of Counsel, each stating that all conditions precedent herein provided for relating to the covenant defeasance contemplated by this Section 8.4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8.5. </w:t>
      </w:r>
      <w:r>
        <w:rPr>
          <w:rFonts w:ascii="Times New Roman" w:hAnsi="Times New Roman"/>
          <w:sz w:val="20"/>
          <w:u w:val="single"/>
        </w:rPr>
        <w:t>Repayment to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abandoned property law, the Trustee and the Paying Agent shall pay to the Company upon request any money held by them for the payment of principal or interest that remains unclaimed for two years after such principal or interest has become due and payable. After that, Securityholders entitled to the money must look to the Company for payment as general creditors unless an applicable abandoned property law designates another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8.6. </w:t>
      </w:r>
      <w:r>
        <w:rPr>
          <w:rFonts w:ascii="Times New Roman" w:hAnsi="Times New Roman"/>
          <w:sz w:val="20"/>
          <w:u w:val="single"/>
        </w:rPr>
        <w:t>Reinstatement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Company has made any payment of principal of or interest on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 </w:t>
      </w:r>
    </w:p>
    <w:p>
      <w:pPr>
        <w:pStyle w:val="TextBody"/>
        <w:bidi w:val="0"/>
        <w:spacing w:before="480" w:after="0"/>
        <w:jc w:val="center"/>
        <w:rPr>
          <w:rFonts w:ascii="Times New Roman" w:hAnsi="Times New Roman"/>
          <w:sz w:val="20"/>
        </w:rPr>
      </w:pPr>
      <w:r>
        <w:rPr>
          <w:rFonts w:ascii="Times New Roman" w:hAnsi="Times New Roman"/>
          <w:sz w:val="20"/>
        </w:rPr>
        <w:t xml:space="preserve">ARTICLE IX. </w:t>
      </w:r>
    </w:p>
    <w:p>
      <w:pPr>
        <w:pStyle w:val="TextBody"/>
        <w:bidi w:val="0"/>
        <w:spacing w:before="0" w:after="0"/>
        <w:jc w:val="center"/>
        <w:rPr>
          <w:rFonts w:ascii="Times New Roman" w:hAnsi="Times New Roman"/>
          <w:sz w:val="20"/>
        </w:rPr>
      </w:pPr>
      <w:r>
        <w:rPr>
          <w:rFonts w:ascii="Times New Roman" w:hAnsi="Times New Roman"/>
          <w:sz w:val="20"/>
        </w:rPr>
        <w:t xml:space="preserve">AMENDMENTS AND WAIVERS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Without Consent of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the Trustee may amend or supplement this Indenture or the Securities of one or more Series without the consent of any Securityholder: </w:t>
      </w:r>
    </w:p>
    <w:p>
      <w:pPr>
        <w:pStyle w:val="TextBody"/>
        <w:bidi w:val="0"/>
        <w:spacing w:before="120" w:after="0"/>
        <w:jc w:val="left"/>
        <w:rPr>
          <w:rFonts w:ascii="Times New Roman" w:hAnsi="Times New Roman"/>
          <w:sz w:val="20"/>
        </w:rPr>
      </w:pPr>
      <w:r>
        <w:rPr>
          <w:rFonts w:ascii="Times New Roman" w:hAnsi="Times New Roman"/>
          <w:sz w:val="20"/>
        </w:rPr>
        <w:t xml:space="preserve">(a) to add guarantees with respect to any Series of Securities or secure any Series of Securities; </w:t>
      </w:r>
    </w:p>
    <w:p>
      <w:pPr>
        <w:pStyle w:val="TextBody"/>
        <w:bidi w:val="0"/>
        <w:spacing w:before="120" w:after="0"/>
        <w:jc w:val="left"/>
        <w:rPr>
          <w:rFonts w:ascii="Times New Roman" w:hAnsi="Times New Roman"/>
          <w:sz w:val="20"/>
        </w:rPr>
      </w:pPr>
      <w:r>
        <w:rPr>
          <w:rFonts w:ascii="Times New Roman" w:hAnsi="Times New Roman"/>
          <w:sz w:val="20"/>
        </w:rPr>
        <w:t xml:space="preserve">(b) to surrender any of the Company’s rights or powers under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(c) to add covenants or Events of Default for the benefit of the Securityholders of any Series of Securities; </w:t>
      </w:r>
    </w:p>
    <w:p>
      <w:pPr>
        <w:pStyle w:val="TextBody"/>
        <w:bidi w:val="0"/>
        <w:spacing w:before="120" w:after="0"/>
        <w:jc w:val="left"/>
        <w:rPr>
          <w:rFonts w:ascii="Times New Roman" w:hAnsi="Times New Roman"/>
          <w:sz w:val="20"/>
        </w:rPr>
      </w:pPr>
      <w:r>
        <w:rPr>
          <w:rFonts w:ascii="Times New Roman" w:hAnsi="Times New Roman"/>
          <w:sz w:val="20"/>
        </w:rPr>
        <w:t xml:space="preserve">(d) to comply with the applicable rules or procedures of the Depositary; </w:t>
      </w:r>
    </w:p>
    <w:p>
      <w:pPr>
        <w:pStyle w:val="TextBody"/>
        <w:bidi w:val="0"/>
        <w:spacing w:before="120" w:after="0"/>
        <w:jc w:val="left"/>
        <w:rPr>
          <w:rFonts w:ascii="Times New Roman" w:hAnsi="Times New Roman"/>
          <w:sz w:val="20"/>
        </w:rPr>
      </w:pPr>
      <w:r>
        <w:rPr>
          <w:rFonts w:ascii="Times New Roman" w:hAnsi="Times New Roman"/>
          <w:sz w:val="20"/>
        </w:rPr>
        <w:t xml:space="preserve">(e) to cure any ambiguity, defect or inconsistency, as described in the Officer’s Certificate delivered pursuant to Section 10.4; </w:t>
      </w:r>
    </w:p>
    <w:p>
      <w:pPr>
        <w:pStyle w:val="TextBody"/>
        <w:bidi w:val="0"/>
        <w:spacing w:before="120" w:after="0"/>
        <w:jc w:val="left"/>
        <w:rPr>
          <w:rFonts w:ascii="Times New Roman" w:hAnsi="Times New Roman"/>
          <w:sz w:val="20"/>
        </w:rPr>
      </w:pPr>
      <w:r>
        <w:rPr>
          <w:rFonts w:ascii="Times New Roman" w:hAnsi="Times New Roman"/>
          <w:sz w:val="20"/>
        </w:rPr>
        <w:t xml:space="preserve">(f) to comply with Article V; </w:t>
      </w:r>
    </w:p>
    <w:p>
      <w:pPr>
        <w:pStyle w:val="TextBody"/>
        <w:bidi w:val="0"/>
        <w:spacing w:before="120" w:after="0"/>
        <w:jc w:val="left"/>
        <w:rPr>
          <w:rFonts w:ascii="Times New Roman" w:hAnsi="Times New Roman"/>
          <w:sz w:val="20"/>
        </w:rPr>
      </w:pPr>
      <w:r>
        <w:rPr>
          <w:rFonts w:ascii="Times New Roman" w:hAnsi="Times New Roman"/>
          <w:sz w:val="20"/>
        </w:rPr>
        <w:t xml:space="preserve">(g) to provide for uncertificated Securities in addition to or in place of certificated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to make any change that does not materially adversely affect the rights of any Securityholder; </w:t>
      </w:r>
    </w:p>
    <w:p>
      <w:pPr>
        <w:pStyle w:val="TextBody"/>
        <w:bidi w:val="0"/>
        <w:spacing w:before="120" w:after="0"/>
        <w:jc w:val="left"/>
        <w:rPr>
          <w:rFonts w:ascii="Times New Roman" w:hAnsi="Times New Roman"/>
          <w:sz w:val="20"/>
        </w:rPr>
      </w:pPr>
      <w:r>
        <w:rPr>
          <w:rFonts w:ascii="Times New Roman" w:hAnsi="Times New Roman"/>
          <w:sz w:val="20"/>
        </w:rPr>
        <w:t xml:space="preserve">(i) to provide for the issuance of and establish the form and terms and conditions of Securities of any Series as permitted by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(j)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w:t>
      </w:r>
    </w:p>
    <w:p>
      <w:pPr>
        <w:pStyle w:val="TextBody"/>
        <w:bidi w:val="0"/>
        <w:spacing w:before="120" w:after="0"/>
        <w:jc w:val="left"/>
        <w:rPr>
          <w:rFonts w:ascii="Times New Roman" w:hAnsi="Times New Roman"/>
          <w:sz w:val="20"/>
        </w:rPr>
      </w:pPr>
      <w:r>
        <w:rPr>
          <w:rFonts w:ascii="Times New Roman" w:hAnsi="Times New Roman"/>
          <w:sz w:val="20"/>
        </w:rPr>
        <w:t xml:space="preserve">(k) to comply with requirements of the SEC in order to effect or maintain the qualification of this Indenture under the TIA; </w:t>
      </w:r>
    </w:p>
    <w:p>
      <w:pPr>
        <w:pStyle w:val="TextBody"/>
        <w:bidi w:val="0"/>
        <w:spacing w:before="120" w:after="0"/>
        <w:jc w:val="left"/>
        <w:rPr>
          <w:rFonts w:ascii="Times New Roman" w:hAnsi="Times New Roman"/>
          <w:sz w:val="20"/>
        </w:rPr>
      </w:pPr>
      <w:r>
        <w:rPr>
          <w:rFonts w:ascii="Times New Roman" w:hAnsi="Times New Roman"/>
          <w:sz w:val="20"/>
        </w:rPr>
        <w:t xml:space="preserve">(l) to comply with the rules or regulations of any securities exchange or automated quotation system on which any of the Securities may be listed or traded; and </w:t>
      </w:r>
    </w:p>
    <w:p>
      <w:pPr>
        <w:pStyle w:val="TextBody"/>
        <w:bidi w:val="0"/>
        <w:spacing w:before="120" w:after="0"/>
        <w:jc w:val="left"/>
        <w:rPr>
          <w:rFonts w:ascii="Times New Roman" w:hAnsi="Times New Roman"/>
          <w:sz w:val="20"/>
        </w:rPr>
      </w:pPr>
      <w:r>
        <w:rPr>
          <w:rFonts w:ascii="Times New Roman" w:hAnsi="Times New Roman"/>
          <w:sz w:val="20"/>
        </w:rPr>
        <w:t xml:space="preserve">(m) to change or eliminate any of the provisions of this Indenture, </w:t>
      </w:r>
      <w:r>
        <w:rPr>
          <w:rFonts w:ascii="Times New Roman" w:hAnsi="Times New Roman"/>
          <w:i/>
          <w:sz w:val="20"/>
        </w:rPr>
        <w:t xml:space="preserve">provided </w:t>
      </w:r>
      <w:r>
        <w:rPr>
          <w:rFonts w:ascii="Times New Roman" w:hAnsi="Times New Roman"/>
          <w:sz w:val="20"/>
        </w:rPr>
        <w:t xml:space="preserve">that any such change or elimination shall not be effective with respect to any outstanding Securities of any Series created prior to the execution of such supplemental indenture which is entitled to the benefit of such provision. </w:t>
      </w:r>
    </w:p>
    <w:p>
      <w:pPr>
        <w:pStyle w:val="TextBody"/>
        <w:bidi w:val="0"/>
        <w:spacing w:before="240" w:after="0"/>
        <w:jc w:val="left"/>
        <w:rPr>
          <w:rFonts w:ascii="Times New Roman" w:hAnsi="Times New Roman"/>
          <w:sz w:val="20"/>
        </w:rPr>
      </w:pPr>
      <w:r>
        <w:rPr>
          <w:rFonts w:ascii="Times New Roman" w:hAnsi="Times New Roman"/>
          <w:sz w:val="20"/>
        </w:rPr>
        <w:t xml:space="preserve">Section 9.2. </w:t>
      </w:r>
      <w:r>
        <w:rPr>
          <w:rFonts w:ascii="Times New Roman" w:hAnsi="Times New Roman"/>
          <w:sz w:val="20"/>
          <w:u w:val="single"/>
        </w:rPr>
        <w:t>With Consent of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principal amount of the outstanding Securities of any Series by written notice to the Trustee (including consents obtained in connection with a tender offer or exchange offer for the Securities of such Series) may waive compliance by the Company with any provision of this Indenture or the Securities with respect to such Series. </w:t>
      </w:r>
    </w:p>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9.2 becomes effective, the Company shall mail to the Holders of Securities affected thereby, a notice briefly describing the supplemental indenture or waiver. Any failure by the Company to mail or publish such notice, or any defect therein, shall not, however, in any way impair or affect the validity of any such supplemental indenture or waiver. </w:t>
      </w:r>
    </w:p>
    <w:p>
      <w:pPr>
        <w:pStyle w:val="TextBody"/>
        <w:bidi w:val="0"/>
        <w:spacing w:before="240" w:after="0"/>
        <w:jc w:val="left"/>
        <w:rPr>
          <w:rFonts w:ascii="Times New Roman" w:hAnsi="Times New Roman"/>
          <w:sz w:val="20"/>
        </w:rPr>
      </w:pPr>
      <w:r>
        <w:rPr>
          <w:rFonts w:ascii="Times New Roman" w:hAnsi="Times New Roman"/>
          <w:sz w:val="20"/>
        </w:rPr>
        <w:t xml:space="preserve">Section 9.3. </w:t>
      </w:r>
      <w:r>
        <w:rPr>
          <w:rFonts w:ascii="Times New Roman" w:hAnsi="Times New Roman"/>
          <w:sz w:val="20"/>
          <w:u w:val="single"/>
        </w:rPr>
        <w:t>Limitations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Without the consent of each Securityholder affected, an amendment or waiver may not: </w:t>
      </w:r>
    </w:p>
    <w:p>
      <w:pPr>
        <w:pStyle w:val="TextBody"/>
        <w:bidi w:val="0"/>
        <w:spacing w:before="120" w:after="0"/>
        <w:jc w:val="left"/>
        <w:rPr>
          <w:rFonts w:ascii="Times New Roman" w:hAnsi="Times New Roman"/>
          <w:sz w:val="20"/>
        </w:rPr>
      </w:pPr>
      <w:r>
        <w:rPr>
          <w:rFonts w:ascii="Times New Roman" w:hAnsi="Times New Roman"/>
          <w:sz w:val="20"/>
        </w:rPr>
        <w:t xml:space="preserve">(a) reduce the principal amount of Securities whose Holders must consent to an amendment, supplement or waiver; </w:t>
      </w:r>
    </w:p>
    <w:p>
      <w:pPr>
        <w:pStyle w:val="TextBody"/>
        <w:bidi w:val="0"/>
        <w:spacing w:before="120" w:after="0"/>
        <w:jc w:val="left"/>
        <w:rPr>
          <w:rFonts w:ascii="Times New Roman" w:hAnsi="Times New Roman"/>
          <w:sz w:val="20"/>
        </w:rPr>
      </w:pPr>
      <w:r>
        <w:rPr>
          <w:rFonts w:ascii="Times New Roman" w:hAnsi="Times New Roman"/>
          <w:sz w:val="20"/>
        </w:rPr>
        <w:t xml:space="preserve">(b) reduce the rate of or extend the time for payment of interest (including default interest) on any Security or that Series; </w:t>
      </w:r>
    </w:p>
    <w:p>
      <w:pPr>
        <w:pStyle w:val="TextBody"/>
        <w:bidi w:val="0"/>
        <w:spacing w:before="120" w:after="0"/>
        <w:jc w:val="left"/>
        <w:rPr>
          <w:rFonts w:ascii="Times New Roman" w:hAnsi="Times New Roman"/>
          <w:sz w:val="20"/>
        </w:rPr>
      </w:pPr>
      <w:r>
        <w:rPr>
          <w:rFonts w:ascii="Times New Roman" w:hAnsi="Times New Roman"/>
          <w:sz w:val="20"/>
        </w:rPr>
        <w:t xml:space="preserve">(c) reduce the principal of, or change the Stated Maturity of, any Security or reduce the amount of, or postpone the date fixed for, the payment of any sinking fund or analogous obligation; </w:t>
      </w:r>
    </w:p>
    <w:p>
      <w:pPr>
        <w:pStyle w:val="TextBody"/>
        <w:bidi w:val="0"/>
        <w:spacing w:before="120" w:after="0"/>
        <w:jc w:val="left"/>
        <w:rPr>
          <w:rFonts w:ascii="Times New Roman" w:hAnsi="Times New Roman"/>
          <w:sz w:val="20"/>
        </w:rPr>
      </w:pPr>
      <w:r>
        <w:rPr>
          <w:rFonts w:ascii="Times New Roman" w:hAnsi="Times New Roman"/>
          <w:sz w:val="20"/>
        </w:rPr>
        <w:t xml:space="preserve">(d) reduce the principal amount of Discount Securities payable upon acceleration of the maturity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waive a Default or Event of Default in the payment of the principal of or interest, if any, on any Security (except a rescission of acceleration of the Securities of any Series by the Holders of at least a majority in principal amount of the then outstanding Securities of such Series and a waiver of the payment default that resulted from such acceleration); </w:t>
      </w:r>
    </w:p>
    <w:p>
      <w:pPr>
        <w:pStyle w:val="TextBody"/>
        <w:bidi w:val="0"/>
        <w:spacing w:before="120" w:after="0"/>
        <w:jc w:val="left"/>
        <w:rPr>
          <w:rFonts w:ascii="Times New Roman" w:hAnsi="Times New Roman"/>
          <w:sz w:val="20"/>
        </w:rPr>
      </w:pPr>
      <w:r>
        <w:rPr>
          <w:rFonts w:ascii="Times New Roman" w:hAnsi="Times New Roman"/>
          <w:sz w:val="20"/>
        </w:rPr>
        <w:t xml:space="preserve">(f) make the principal of or interest, if any, on any Security payable in any currency other than that stated in the Security; </w:t>
      </w:r>
    </w:p>
    <w:p>
      <w:pPr>
        <w:pStyle w:val="TextBody"/>
        <w:bidi w:val="0"/>
        <w:spacing w:before="120" w:after="0"/>
        <w:jc w:val="left"/>
        <w:rPr>
          <w:rFonts w:ascii="Times New Roman" w:hAnsi="Times New Roman"/>
          <w:sz w:val="20"/>
        </w:rPr>
      </w:pPr>
      <w:r>
        <w:rPr>
          <w:rFonts w:ascii="Times New Roman" w:hAnsi="Times New Roman"/>
          <w:sz w:val="20"/>
        </w:rPr>
        <w:t xml:space="preserve">(g) make any change in Sections 6.8 or 6.13 or this Section 9.3; or </w:t>
      </w:r>
    </w:p>
    <w:p>
      <w:pPr>
        <w:pStyle w:val="TextBody"/>
        <w:bidi w:val="0"/>
        <w:spacing w:before="120" w:after="0"/>
        <w:jc w:val="left"/>
        <w:rPr>
          <w:rFonts w:ascii="Times New Roman" w:hAnsi="Times New Roman"/>
          <w:sz w:val="20"/>
        </w:rPr>
      </w:pPr>
      <w:r>
        <w:rPr>
          <w:rFonts w:ascii="Times New Roman" w:hAnsi="Times New Roman"/>
          <w:sz w:val="20"/>
        </w:rPr>
        <w:t xml:space="preserve">(h) waive a redemption payment with respect to any Security. </w:t>
      </w:r>
    </w:p>
    <w:p>
      <w:pPr>
        <w:pStyle w:val="TextBody"/>
        <w:bidi w:val="0"/>
        <w:spacing w:before="240" w:after="0"/>
        <w:jc w:val="left"/>
        <w:rPr>
          <w:rFonts w:ascii="Times New Roman" w:hAnsi="Times New Roman"/>
          <w:sz w:val="20"/>
        </w:rPr>
      </w:pPr>
      <w:r>
        <w:rPr>
          <w:rFonts w:ascii="Times New Roman" w:hAnsi="Times New Roman"/>
          <w:sz w:val="20"/>
        </w:rPr>
        <w:t xml:space="preserve">Section 9.4. </w:t>
      </w:r>
      <w:r>
        <w:rPr>
          <w:rFonts w:ascii="Times New Roman" w:hAnsi="Times New Roman"/>
          <w:sz w:val="20"/>
          <w:u w:val="single"/>
        </w:rPr>
        <w:t>Compliance with Trust Indenture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Every amendment to this Indenture or the Securities of one or more Series shall be set forth in a supplemental indenture hereto that complies with the TIA as then in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9.5. </w:t>
      </w:r>
      <w:r>
        <w:rPr>
          <w:rFonts w:ascii="Times New Roman" w:hAnsi="Times New Roman"/>
          <w:sz w:val="20"/>
          <w:u w:val="single"/>
        </w:rPr>
        <w:t>Revocation and Effect of Consents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w:t>
      </w:r>
    </w:p>
    <w:p>
      <w:pPr>
        <w:pStyle w:val="TextBody"/>
        <w:bidi w:val="0"/>
        <w:spacing w:before="240" w:after="0"/>
        <w:jc w:val="left"/>
        <w:rPr>
          <w:rFonts w:ascii="Times New Roman" w:hAnsi="Times New Roman"/>
          <w:sz w:val="20"/>
        </w:rPr>
      </w:pPr>
      <w:r>
        <w:rPr>
          <w:rFonts w:ascii="Times New Roman" w:hAnsi="Times New Roman"/>
          <w:sz w:val="20"/>
        </w:rPr>
        <w:t xml:space="preserve">Any amendment or waiver once effective shall bind every Securityholder of each Series affected by such amendment or waiver unless it is of the type described in any of sub-clauses (a) through (h) of Section 9.3. In that case, the amendment or waiver shall bind each Holder of a Security who has consented to it and every subsequent Holder of a Security or portion of a Security that evidences the same debt as the consenting Holder’s Security.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 </w:t>
      </w:r>
    </w:p>
    <w:p>
      <w:pPr>
        <w:pStyle w:val="TextBody"/>
        <w:bidi w:val="0"/>
        <w:spacing w:before="240" w:after="0"/>
        <w:jc w:val="left"/>
        <w:rPr>
          <w:rFonts w:ascii="Times New Roman" w:hAnsi="Times New Roman"/>
          <w:sz w:val="20"/>
        </w:rPr>
      </w:pPr>
      <w:r>
        <w:rPr>
          <w:rFonts w:ascii="Times New Roman" w:hAnsi="Times New Roman"/>
          <w:sz w:val="20"/>
        </w:rPr>
        <w:t xml:space="preserve">Section 9.6. </w:t>
      </w:r>
      <w:r>
        <w:rPr>
          <w:rFonts w:ascii="Times New Roman" w:hAnsi="Times New Roman"/>
          <w:sz w:val="20"/>
          <w:u w:val="single"/>
        </w:rPr>
        <w:t>Notation on or Exchange of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or the Trustee may place an appropriate notation about an amendment or waiver on any Security of any Series thereafter authenticated. The Company in exchange for Securities of that Series may issue and the Trustee shall authenticate upon request new Securities of that Series that reflect the amendment or waiver. </w:t>
      </w:r>
    </w:p>
    <w:p>
      <w:pPr>
        <w:pStyle w:val="TextBody"/>
        <w:bidi w:val="0"/>
        <w:spacing w:before="240" w:after="0"/>
        <w:jc w:val="left"/>
        <w:rPr>
          <w:rFonts w:ascii="Times New Roman" w:hAnsi="Times New Roman"/>
          <w:sz w:val="20"/>
        </w:rPr>
      </w:pPr>
      <w:r>
        <w:rPr>
          <w:rFonts w:ascii="Times New Roman" w:hAnsi="Times New Roman"/>
          <w:sz w:val="20"/>
        </w:rPr>
        <w:t xml:space="preserve">Section 9.7. </w:t>
      </w:r>
      <w:r>
        <w:rPr>
          <w:rFonts w:ascii="Times New Roman" w:hAnsi="Times New Roman"/>
          <w:sz w:val="20"/>
          <w:u w:val="single"/>
        </w:rPr>
        <w:t>Trustee Protected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executing, or accepting the additional trusts created by, any supplemental indenture permitted by this Article or the modifications thereby of the trusts created by this Indenture, the Trustee shall receive, and (subject to Section 7.1) shall be fully protected in conclusively relying upon, an Officer’s Certificate or an Opinion of Counsel or both complying with Section 10.4 and stating that the supplemental indenture is the legal, valid and binding obligation of the Company, enforceable against the Company in accordance with its terms, subject to customary exceptions. The Trustee shall sign all supplemental indentures upon delivery of such an Officer’s Certificate or Opinion of Counsel or both, except that the Trustee need not sign any supplemental indenture that, in its sole discretion, adversely affects its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X. </w:t>
      </w:r>
    </w:p>
    <w:p>
      <w:pPr>
        <w:pStyle w:val="TextBody"/>
        <w:bidi w:val="0"/>
        <w:spacing w:before="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Trust Indenture Act Controls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any provision of this Indenture limits, qualifies, or conflicts with another provision which is required or deemed to be included in this Indenture by the TIA, such required or deemed provision shall control.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Notices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Any request, demand, notice or communication by the Company or the Trustee to the other, or by a Holder to the Company or the Trustee, is duly given if in writing and delivered in person or mailed by first-class mail: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Eledon Pharmaceuticals, Inc. </w:t>
      </w:r>
    </w:p>
    <w:p>
      <w:pPr>
        <w:pStyle w:val="TextBody"/>
        <w:bidi w:val="0"/>
        <w:spacing w:before="120" w:after="0"/>
        <w:jc w:val="left"/>
        <w:rPr>
          <w:rFonts w:ascii="Times New Roman" w:hAnsi="Times New Roman"/>
          <w:sz w:val="20"/>
        </w:rPr>
      </w:pPr>
      <w:r>
        <w:rPr>
          <w:rFonts w:ascii="Times New Roman" w:hAnsi="Times New Roman"/>
          <w:sz w:val="20"/>
        </w:rPr>
        <w:t xml:space="preserve">19800 MacArthur Blvd., Suite 250 </w:t>
      </w:r>
    </w:p>
    <w:p>
      <w:pPr>
        <w:pStyle w:val="TextBody"/>
        <w:bidi w:val="0"/>
        <w:spacing w:before="120" w:after="0"/>
        <w:jc w:val="left"/>
        <w:rPr>
          <w:rFonts w:ascii="Times New Roman" w:hAnsi="Times New Roman"/>
          <w:sz w:val="20"/>
        </w:rPr>
      </w:pPr>
      <w:r>
        <w:rPr>
          <w:rFonts w:ascii="Times New Roman" w:hAnsi="Times New Roman"/>
          <w:sz w:val="20"/>
        </w:rPr>
        <w:t xml:space="preserve">Irvine, California 92612 </w:t>
      </w:r>
    </w:p>
    <w:p>
      <w:pPr>
        <w:pStyle w:val="TextBody"/>
        <w:bidi w:val="0"/>
        <w:spacing w:before="120" w:after="0"/>
        <w:jc w:val="left"/>
        <w:rPr>
          <w:rFonts w:ascii="Times New Roman" w:hAnsi="Times New Roman"/>
          <w:sz w:val="20"/>
        </w:rPr>
      </w:pPr>
      <w:r>
        <w:rPr>
          <w:rFonts w:ascii="Times New Roman" w:hAnsi="Times New Roman"/>
          <w:sz w:val="20"/>
        </w:rPr>
        <w:t xml:space="preserve">Attention: Chief Financial Officer </w:t>
      </w:r>
    </w:p>
    <w:p>
      <w:pPr>
        <w:pStyle w:val="TextBody"/>
        <w:bidi w:val="0"/>
        <w:spacing w:before="120" w:after="0"/>
        <w:jc w:val="left"/>
        <w:rPr>
          <w:rFonts w:ascii="Times New Roman" w:hAnsi="Times New Roman"/>
          <w:sz w:val="20"/>
        </w:rPr>
      </w:pPr>
      <w:r>
        <w:rPr>
          <w:rFonts w:ascii="Times New Roman" w:hAnsi="Times New Roman"/>
          <w:sz w:val="20"/>
        </w:rPr>
        <w:t xml:space="preserve">Email: plittle@eledon.com </w:t>
      </w:r>
    </w:p>
    <w:p>
      <w:pPr>
        <w:pStyle w:val="TextBody"/>
        <w:bidi w:val="0"/>
        <w:spacing w:before="120" w:after="0"/>
        <w:jc w:val="left"/>
        <w:rPr>
          <w:rFonts w:ascii="Times New Roman" w:hAnsi="Times New Roman"/>
          <w:sz w:val="16"/>
        </w:rPr>
      </w:pPr>
      <w:r>
        <w:rPr>
          <w:rFonts w:ascii="Times New Roman" w:hAnsi="Times New Roman"/>
          <w:sz w:val="16"/>
        </w:rPr>
        <w:t xml:space="preserve">if to the Trustee: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06"/>
        <w:gridCol w:w="120"/>
        <w:gridCol w:w="4901"/>
        <w:gridCol w:w="120"/>
        <w:gridCol w:w="3958"/>
      </w:tblGrid>
      <w:tr>
        <w:trPr/>
        <w:tc>
          <w:tcPr>
            <w:tcW w:w="110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0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11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left"/>
              <w:rPr>
                <w:u w:val="single"/>
              </w:rPr>
            </w:pPr>
            <w:r>
              <w:rPr>
                <w:u w:val="single"/>
              </w:rPr>
              <w:t>                    </w:t>
            </w:r>
          </w:p>
        </w:tc>
        <w:tc>
          <w:tcPr>
            <w:tcW w:w="120" w:type="dxa"/>
            <w:tcBorders/>
            <w:vAlign w:val="bottom"/>
          </w:tcPr>
          <w:p>
            <w:pPr>
              <w:pStyle w:val="TableContents"/>
              <w:bidi w:val="0"/>
              <w:spacing w:before="0" w:after="283"/>
              <w:jc w:val="left"/>
              <w:rPr/>
            </w:pPr>
            <w:r>
              <w:rPr/>
              <w:t>  </w:t>
            </w:r>
          </w:p>
        </w:tc>
        <w:tc>
          <w:tcPr>
            <w:tcW w:w="3958" w:type="dxa"/>
            <w:tcBorders/>
          </w:tcPr>
          <w:p>
            <w:pPr>
              <w:pStyle w:val="TableContents"/>
              <w:bidi w:val="0"/>
              <w:spacing w:before="0" w:after="283"/>
              <w:jc w:val="left"/>
              <w:rPr>
                <w:sz w:val="4"/>
                <w:szCs w:val="4"/>
              </w:rPr>
            </w:pPr>
            <w:r>
              <w:rPr>
                <w:sz w:val="4"/>
                <w:szCs w:val="4"/>
              </w:rPr>
            </w:r>
          </w:p>
        </w:tc>
      </w:tr>
      <w:tr>
        <w:trPr>
          <w:trHeight w:val="120" w:hRule="atLeast"/>
        </w:trPr>
        <w:tc>
          <w:tcPr>
            <w:tcW w:w="1106" w:type="dxa"/>
            <w:tcBorders/>
            <w:vAlign w:val="center"/>
          </w:tcPr>
          <w:p>
            <w:pPr>
              <w:pStyle w:val="TableContents"/>
              <w:bidi w:val="0"/>
              <w:spacing w:before="0" w:after="283"/>
              <w:jc w:val="left"/>
              <w:rPr>
                <w:sz w:val="4"/>
                <w:szCs w:val="4"/>
              </w:rPr>
            </w:pPr>
            <w:r>
              <w:rPr>
                <w:sz w:val="4"/>
                <w:szCs w:val="4"/>
              </w:rPr>
            </w:r>
          </w:p>
        </w:tc>
        <w:tc>
          <w:tcPr>
            <w:tcW w:w="5021" w:type="dxa"/>
            <w:gridSpan w:val="2"/>
            <w:tcBorders/>
            <w:vAlign w:val="center"/>
          </w:tcPr>
          <w:p>
            <w:pPr>
              <w:pStyle w:val="TableContents"/>
              <w:bidi w:val="0"/>
              <w:spacing w:before="0" w:after="283"/>
              <w:jc w:val="left"/>
              <w:rPr>
                <w:sz w:val="4"/>
                <w:szCs w:val="4"/>
              </w:rPr>
            </w:pPr>
            <w:r>
              <w:rPr>
                <w:sz w:val="4"/>
                <w:szCs w:val="4"/>
              </w:rPr>
            </w:r>
          </w:p>
        </w:tc>
        <w:tc>
          <w:tcPr>
            <w:tcW w:w="4078" w:type="dxa"/>
            <w:gridSpan w:val="2"/>
            <w:tcBorders/>
            <w:vAlign w:val="center"/>
          </w:tcPr>
          <w:p>
            <w:pPr>
              <w:pStyle w:val="TableContents"/>
              <w:bidi w:val="0"/>
              <w:spacing w:before="0" w:after="283"/>
              <w:jc w:val="left"/>
              <w:rPr>
                <w:sz w:val="4"/>
                <w:szCs w:val="4"/>
              </w:rPr>
            </w:pPr>
            <w:r>
              <w:rPr>
                <w:sz w:val="4"/>
                <w:szCs w:val="4"/>
              </w:rPr>
            </w:r>
          </w:p>
        </w:tc>
      </w:tr>
      <w:tr>
        <w:trPr/>
        <w:tc>
          <w:tcPr>
            <w:tcW w:w="11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left"/>
              <w:rPr>
                <w:u w:val="single"/>
              </w:rPr>
            </w:pPr>
            <w:r>
              <w:rPr>
                <w:u w:val="single"/>
              </w:rPr>
              <w:t>                    </w:t>
            </w:r>
          </w:p>
        </w:tc>
        <w:tc>
          <w:tcPr>
            <w:tcW w:w="120" w:type="dxa"/>
            <w:tcBorders/>
            <w:vAlign w:val="bottom"/>
          </w:tcPr>
          <w:p>
            <w:pPr>
              <w:pStyle w:val="TableContents"/>
              <w:bidi w:val="0"/>
              <w:spacing w:before="0" w:after="283"/>
              <w:jc w:val="left"/>
              <w:rPr/>
            </w:pPr>
            <w:r>
              <w:rPr/>
              <w:t>  </w:t>
            </w:r>
          </w:p>
        </w:tc>
        <w:tc>
          <w:tcPr>
            <w:tcW w:w="3958" w:type="dxa"/>
            <w:tcBorders/>
          </w:tcPr>
          <w:p>
            <w:pPr>
              <w:pStyle w:val="TableContents"/>
              <w:bidi w:val="0"/>
              <w:spacing w:before="0" w:after="283"/>
              <w:jc w:val="left"/>
              <w:rPr>
                <w:sz w:val="4"/>
                <w:szCs w:val="4"/>
              </w:rPr>
            </w:pPr>
            <w:r>
              <w:rPr>
                <w:sz w:val="4"/>
                <w:szCs w:val="4"/>
              </w:rPr>
            </w:r>
          </w:p>
        </w:tc>
      </w:tr>
      <w:tr>
        <w:trPr>
          <w:trHeight w:val="120" w:hRule="atLeast"/>
        </w:trPr>
        <w:tc>
          <w:tcPr>
            <w:tcW w:w="1106" w:type="dxa"/>
            <w:tcBorders/>
            <w:vAlign w:val="center"/>
          </w:tcPr>
          <w:p>
            <w:pPr>
              <w:pStyle w:val="TableContents"/>
              <w:bidi w:val="0"/>
              <w:spacing w:before="0" w:after="283"/>
              <w:jc w:val="left"/>
              <w:rPr>
                <w:sz w:val="4"/>
                <w:szCs w:val="4"/>
              </w:rPr>
            </w:pPr>
            <w:r>
              <w:rPr>
                <w:sz w:val="4"/>
                <w:szCs w:val="4"/>
              </w:rPr>
            </w:r>
          </w:p>
        </w:tc>
        <w:tc>
          <w:tcPr>
            <w:tcW w:w="5021" w:type="dxa"/>
            <w:gridSpan w:val="2"/>
            <w:tcBorders/>
            <w:vAlign w:val="center"/>
          </w:tcPr>
          <w:p>
            <w:pPr>
              <w:pStyle w:val="TableContents"/>
              <w:bidi w:val="0"/>
              <w:spacing w:before="0" w:after="283"/>
              <w:jc w:val="left"/>
              <w:rPr>
                <w:sz w:val="4"/>
                <w:szCs w:val="4"/>
              </w:rPr>
            </w:pPr>
            <w:r>
              <w:rPr>
                <w:sz w:val="4"/>
                <w:szCs w:val="4"/>
              </w:rPr>
            </w:r>
          </w:p>
        </w:tc>
        <w:tc>
          <w:tcPr>
            <w:tcW w:w="4078" w:type="dxa"/>
            <w:gridSpan w:val="2"/>
            <w:tcBorders/>
            <w:vAlign w:val="center"/>
          </w:tcPr>
          <w:p>
            <w:pPr>
              <w:pStyle w:val="TableContents"/>
              <w:bidi w:val="0"/>
              <w:spacing w:before="0" w:after="283"/>
              <w:jc w:val="left"/>
              <w:rPr>
                <w:sz w:val="4"/>
                <w:szCs w:val="4"/>
              </w:rPr>
            </w:pPr>
            <w:r>
              <w:rPr>
                <w:sz w:val="4"/>
                <w:szCs w:val="4"/>
              </w:rPr>
            </w:r>
          </w:p>
        </w:tc>
      </w:tr>
      <w:tr>
        <w:trPr/>
        <w:tc>
          <w:tcPr>
            <w:tcW w:w="11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left"/>
              <w:rPr>
                <w:u w:val="single"/>
              </w:rPr>
            </w:pPr>
            <w:r>
              <w:rPr>
                <w:u w:val="single"/>
              </w:rPr>
              <w:t>                    </w:t>
            </w:r>
          </w:p>
        </w:tc>
        <w:tc>
          <w:tcPr>
            <w:tcW w:w="120" w:type="dxa"/>
            <w:tcBorders/>
            <w:vAlign w:val="bottom"/>
          </w:tcPr>
          <w:p>
            <w:pPr>
              <w:pStyle w:val="TableContents"/>
              <w:bidi w:val="0"/>
              <w:spacing w:before="0" w:after="283"/>
              <w:jc w:val="left"/>
              <w:rPr/>
            </w:pPr>
            <w:r>
              <w:rPr/>
              <w:t>  </w:t>
            </w:r>
          </w:p>
        </w:tc>
        <w:tc>
          <w:tcPr>
            <w:tcW w:w="3958" w:type="dxa"/>
            <w:tcBorders/>
          </w:tcPr>
          <w:p>
            <w:pPr>
              <w:pStyle w:val="TableContents"/>
              <w:bidi w:val="0"/>
              <w:spacing w:before="0" w:after="283"/>
              <w:jc w:val="left"/>
              <w:rPr>
                <w:sz w:val="4"/>
                <w:szCs w:val="4"/>
              </w:rPr>
            </w:pPr>
            <w:r>
              <w:rPr>
                <w:sz w:val="4"/>
                <w:szCs w:val="4"/>
              </w:rPr>
            </w:r>
          </w:p>
        </w:tc>
      </w:tr>
      <w:tr>
        <w:trPr>
          <w:trHeight w:val="120" w:hRule="atLeast"/>
        </w:trPr>
        <w:tc>
          <w:tcPr>
            <w:tcW w:w="1106" w:type="dxa"/>
            <w:tcBorders/>
            <w:vAlign w:val="center"/>
          </w:tcPr>
          <w:p>
            <w:pPr>
              <w:pStyle w:val="TableContents"/>
              <w:bidi w:val="0"/>
              <w:spacing w:before="0" w:after="283"/>
              <w:jc w:val="left"/>
              <w:rPr>
                <w:sz w:val="4"/>
                <w:szCs w:val="4"/>
              </w:rPr>
            </w:pPr>
            <w:r>
              <w:rPr>
                <w:sz w:val="4"/>
                <w:szCs w:val="4"/>
              </w:rPr>
            </w:r>
          </w:p>
        </w:tc>
        <w:tc>
          <w:tcPr>
            <w:tcW w:w="5021" w:type="dxa"/>
            <w:gridSpan w:val="2"/>
            <w:tcBorders/>
            <w:vAlign w:val="center"/>
          </w:tcPr>
          <w:p>
            <w:pPr>
              <w:pStyle w:val="TableContents"/>
              <w:bidi w:val="0"/>
              <w:spacing w:before="0" w:after="283"/>
              <w:jc w:val="left"/>
              <w:rPr>
                <w:sz w:val="4"/>
                <w:szCs w:val="4"/>
              </w:rPr>
            </w:pPr>
            <w:r>
              <w:rPr>
                <w:sz w:val="4"/>
                <w:szCs w:val="4"/>
              </w:rPr>
            </w:r>
          </w:p>
        </w:tc>
        <w:tc>
          <w:tcPr>
            <w:tcW w:w="4078" w:type="dxa"/>
            <w:gridSpan w:val="2"/>
            <w:tcBorders/>
            <w:vAlign w:val="center"/>
          </w:tcPr>
          <w:p>
            <w:pPr>
              <w:pStyle w:val="TableContents"/>
              <w:bidi w:val="0"/>
              <w:spacing w:before="0" w:after="283"/>
              <w:jc w:val="left"/>
              <w:rPr>
                <w:sz w:val="4"/>
                <w:szCs w:val="4"/>
              </w:rPr>
            </w:pPr>
            <w:r>
              <w:rPr>
                <w:sz w:val="4"/>
                <w:szCs w:val="4"/>
              </w:rPr>
            </w:r>
          </w:p>
        </w:tc>
      </w:tr>
      <w:tr>
        <w:trPr/>
        <w:tc>
          <w:tcPr>
            <w:tcW w:w="11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left"/>
              <w:rPr/>
            </w:pPr>
            <w:r>
              <w:rPr/>
              <w:t xml:space="preserve">Attention: </w:t>
            </w:r>
            <w:r>
              <w:rPr>
                <w:u w:val="single"/>
              </w:rPr>
              <w:t>                </w:t>
            </w:r>
          </w:p>
        </w:tc>
        <w:tc>
          <w:tcPr>
            <w:tcW w:w="120" w:type="dxa"/>
            <w:tcBorders/>
            <w:vAlign w:val="bottom"/>
          </w:tcPr>
          <w:p>
            <w:pPr>
              <w:pStyle w:val="TableContents"/>
              <w:bidi w:val="0"/>
              <w:spacing w:before="0" w:after="283"/>
              <w:jc w:val="left"/>
              <w:rPr/>
            </w:pPr>
            <w:r>
              <w:rPr/>
              <w:t>  </w:t>
            </w:r>
          </w:p>
        </w:tc>
        <w:tc>
          <w:tcPr>
            <w:tcW w:w="3958" w:type="dxa"/>
            <w:tcBorders/>
          </w:tcPr>
          <w:p>
            <w:pPr>
              <w:pStyle w:val="TableContents"/>
              <w:bidi w:val="0"/>
              <w:spacing w:before="0" w:after="283"/>
              <w:jc w:val="left"/>
              <w:rPr>
                <w:sz w:val="4"/>
                <w:szCs w:val="4"/>
              </w:rPr>
            </w:pPr>
            <w:r>
              <w:rPr>
                <w:sz w:val="4"/>
                <w:szCs w:val="4"/>
              </w:rPr>
            </w:r>
          </w:p>
        </w:tc>
      </w:tr>
      <w:tr>
        <w:trPr>
          <w:trHeight w:val="120" w:hRule="atLeast"/>
        </w:trPr>
        <w:tc>
          <w:tcPr>
            <w:tcW w:w="1106" w:type="dxa"/>
            <w:tcBorders/>
            <w:vAlign w:val="center"/>
          </w:tcPr>
          <w:p>
            <w:pPr>
              <w:pStyle w:val="TableContents"/>
              <w:bidi w:val="0"/>
              <w:spacing w:before="0" w:after="283"/>
              <w:jc w:val="left"/>
              <w:rPr>
                <w:sz w:val="4"/>
                <w:szCs w:val="4"/>
              </w:rPr>
            </w:pPr>
            <w:r>
              <w:rPr>
                <w:sz w:val="4"/>
                <w:szCs w:val="4"/>
              </w:rPr>
            </w:r>
          </w:p>
        </w:tc>
        <w:tc>
          <w:tcPr>
            <w:tcW w:w="5021" w:type="dxa"/>
            <w:gridSpan w:val="2"/>
            <w:tcBorders/>
            <w:vAlign w:val="center"/>
          </w:tcPr>
          <w:p>
            <w:pPr>
              <w:pStyle w:val="TableContents"/>
              <w:bidi w:val="0"/>
              <w:spacing w:before="0" w:after="283"/>
              <w:jc w:val="left"/>
              <w:rPr>
                <w:sz w:val="4"/>
                <w:szCs w:val="4"/>
              </w:rPr>
            </w:pPr>
            <w:r>
              <w:rPr>
                <w:sz w:val="4"/>
                <w:szCs w:val="4"/>
              </w:rPr>
            </w:r>
          </w:p>
        </w:tc>
        <w:tc>
          <w:tcPr>
            <w:tcW w:w="4078" w:type="dxa"/>
            <w:gridSpan w:val="2"/>
            <w:tcBorders/>
            <w:vAlign w:val="center"/>
          </w:tcPr>
          <w:p>
            <w:pPr>
              <w:pStyle w:val="TableContents"/>
              <w:bidi w:val="0"/>
              <w:spacing w:before="0" w:after="283"/>
              <w:jc w:val="left"/>
              <w:rPr>
                <w:sz w:val="4"/>
                <w:szCs w:val="4"/>
              </w:rPr>
            </w:pPr>
            <w:r>
              <w:rPr>
                <w:sz w:val="4"/>
                <w:szCs w:val="4"/>
              </w:rPr>
            </w:r>
          </w:p>
        </w:tc>
      </w:tr>
      <w:tr>
        <w:trPr/>
        <w:tc>
          <w:tcPr>
            <w:tcW w:w="11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left"/>
              <w:rPr>
                <w:u w:val="single"/>
              </w:rPr>
            </w:pPr>
            <w:r>
              <w:rPr>
                <w:u w:val="single"/>
              </w:rPr>
              <w:t>                    </w:t>
            </w:r>
          </w:p>
        </w:tc>
        <w:tc>
          <w:tcPr>
            <w:tcW w:w="120" w:type="dxa"/>
            <w:tcBorders/>
            <w:vAlign w:val="bottom"/>
          </w:tcPr>
          <w:p>
            <w:pPr>
              <w:pStyle w:val="TableContents"/>
              <w:bidi w:val="0"/>
              <w:spacing w:before="0" w:after="283"/>
              <w:jc w:val="left"/>
              <w:rPr/>
            </w:pPr>
            <w:r>
              <w:rPr/>
              <w:t>  </w:t>
            </w:r>
          </w:p>
        </w:tc>
        <w:tc>
          <w:tcPr>
            <w:tcW w:w="3958"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or the Trustee by notice to the other may designate additional or different addresses for subsequent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Any notice or communication to a Securityholder shall be mailed by first-class mail to his address shown on the register kept by the Registrar. Failure to mail a notice or communication to a Securityholder of any Series or any defect in it shall not affect its sufficiency with respect to other Securityholders of that or any other Series. </w:t>
      </w:r>
    </w:p>
    <w:p>
      <w:pPr>
        <w:pStyle w:val="TextBody"/>
        <w:bidi w:val="0"/>
        <w:spacing w:before="240" w:after="0"/>
        <w:jc w:val="left"/>
        <w:rPr>
          <w:rFonts w:ascii="Times New Roman" w:hAnsi="Times New Roman"/>
          <w:sz w:val="20"/>
        </w:rPr>
      </w:pPr>
      <w:r>
        <w:rPr>
          <w:rFonts w:ascii="Times New Roman" w:hAnsi="Times New Roman"/>
          <w:sz w:val="20"/>
        </w:rPr>
        <w:t xml:space="preserve">If a notice or communication is mailed or published in the manner provided above, within the time prescribed, it is duly given, whether or not the Securityholder receives it.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mails a notice or communication to Securityholders, it shall mail a copy to the Trustee and each Agent at the same time.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Communication by Holders with Other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Certificate and Opinion as to Conditions Precedent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any request or application by the Company to the Trustee to take any action under this Indenture, the Company shall furnish to the Trustee: </w:t>
      </w:r>
    </w:p>
    <w:p>
      <w:pPr>
        <w:pStyle w:val="TextBody"/>
        <w:bidi w:val="0"/>
        <w:spacing w:before="120" w:after="0"/>
        <w:jc w:val="left"/>
        <w:rPr>
          <w:rFonts w:ascii="Times New Roman" w:hAnsi="Times New Roman"/>
          <w:sz w:val="20"/>
        </w:rPr>
      </w:pPr>
      <w:r>
        <w:rPr>
          <w:rFonts w:ascii="Times New Roman" w:hAnsi="Times New Roman"/>
          <w:sz w:val="20"/>
        </w:rPr>
        <w:t xml:space="preserve">(a) an Officer’s Certificate stating that, in the opinion of the signers, all conditions precedent, if any, provided for in this Indenture relating to the proposed action have been complied with; and </w:t>
      </w:r>
    </w:p>
    <w:p>
      <w:pPr>
        <w:pStyle w:val="TextBody"/>
        <w:bidi w:val="0"/>
        <w:spacing w:before="120" w:after="0"/>
        <w:jc w:val="left"/>
        <w:rPr>
          <w:rFonts w:ascii="Times New Roman" w:hAnsi="Times New Roman"/>
          <w:sz w:val="20"/>
        </w:rPr>
      </w:pPr>
      <w:r>
        <w:rPr>
          <w:rFonts w:ascii="Times New Roman" w:hAnsi="Times New Roman"/>
          <w:sz w:val="20"/>
        </w:rPr>
        <w:t xml:space="preserve">(b) an Opinion of Counsel stating that, in the opinion of such counsel, all such conditions precedent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Statements Required in Certificate or Opinion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certificate or opinion with respect to compliance with a condition or covenant provided for in this Indenture (other than a certificate provided pursuant to TIA § 314(a)(4)) shall comply with the provisions of TIA § 314(e) and shall include: </w:t>
      </w:r>
    </w:p>
    <w:p>
      <w:pPr>
        <w:pStyle w:val="TextBody"/>
        <w:bidi w:val="0"/>
        <w:spacing w:before="120" w:after="0"/>
        <w:jc w:val="left"/>
        <w:rPr>
          <w:rFonts w:ascii="Times New Roman" w:hAnsi="Times New Roman"/>
          <w:sz w:val="20"/>
        </w:rPr>
      </w:pPr>
      <w:r>
        <w:rPr>
          <w:rFonts w:ascii="Times New Roman" w:hAnsi="Times New Roman"/>
          <w:sz w:val="20"/>
        </w:rPr>
        <w:t xml:space="preserve">(a) a statement that the person making such certificate or opinion has read such covenant or condition; </w:t>
      </w:r>
    </w:p>
    <w:p>
      <w:pPr>
        <w:pStyle w:val="TextBody"/>
        <w:bidi w:val="0"/>
        <w:spacing w:before="120" w:after="0"/>
        <w:jc w:val="left"/>
        <w:rPr>
          <w:rFonts w:ascii="Times New Roman" w:hAnsi="Times New Roman"/>
          <w:sz w:val="20"/>
        </w:rPr>
      </w:pPr>
      <w:r>
        <w:rPr>
          <w:rFonts w:ascii="Times New Roman" w:hAnsi="Times New Roman"/>
          <w:sz w:val="20"/>
        </w:rPr>
        <w:t xml:space="preserve">(b) a brief statement as to the nature and scope of the examination or investigation upon which the statements or opinions contained in such certificate or opinion are based; </w:t>
      </w:r>
    </w:p>
    <w:p>
      <w:pPr>
        <w:pStyle w:val="TextBody"/>
        <w:bidi w:val="0"/>
        <w:spacing w:before="120" w:after="0"/>
        <w:jc w:val="left"/>
        <w:rPr>
          <w:rFonts w:ascii="Times New Roman" w:hAnsi="Times New Roman"/>
          <w:sz w:val="20"/>
        </w:rPr>
      </w:pPr>
      <w:r>
        <w:rPr>
          <w:rFonts w:ascii="Times New Roman" w:hAnsi="Times New Roman"/>
          <w:sz w:val="20"/>
        </w:rPr>
        <w:t xml:space="preserve">(c) a statement that, in the opinion of such person, he has made such examination or investigation as is necessary to enable him to express an informed opinion as to whether or not such covenant or condition has been complied with; and </w:t>
      </w:r>
    </w:p>
    <w:p>
      <w:pPr>
        <w:pStyle w:val="TextBody"/>
        <w:bidi w:val="0"/>
        <w:spacing w:before="120" w:after="0"/>
        <w:jc w:val="left"/>
        <w:rPr>
          <w:rFonts w:ascii="Times New Roman" w:hAnsi="Times New Roman"/>
          <w:sz w:val="20"/>
        </w:rPr>
      </w:pPr>
      <w:r>
        <w:rPr>
          <w:rFonts w:ascii="Times New Roman" w:hAnsi="Times New Roman"/>
          <w:sz w:val="20"/>
        </w:rPr>
        <w:t xml:space="preserve">(d) a statement as to whether or not, in the opinion of such person, such condition or covenant has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Rules by Trustee and Agents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make reasonable rules for action by or a meeting of Securityholders of one or more Series. Any Agent may make reasonable rules and set reasonable requirements for its functions.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Legal Holidays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Unless otherwise provided by Board Resolution, Officer’s Certificate or supplemental indenture hereto for a particular Series, a “</w:t>
      </w:r>
      <w:r>
        <w:rPr>
          <w:rFonts w:ascii="Times New Roman" w:hAnsi="Times New Roman"/>
          <w:i/>
          <w:sz w:val="20"/>
        </w:rPr>
        <w:t>Legal Holiday</w:t>
      </w:r>
      <w:r>
        <w:rPr>
          <w:rFonts w:ascii="Times New Roman" w:hAnsi="Times New Roman"/>
          <w:sz w:val="20"/>
        </w:rPr>
        <w:t xml:space="preserve">” is any day that is not a Business Day. If a payment date is a Legal Holiday at a place of payment, payment may be made at that place on the next succeeding day that is not a Legal Holiday, and no interest shall accrue for the intervening period. </w:t>
      </w:r>
    </w:p>
    <w:p>
      <w:pPr>
        <w:pStyle w:val="TextBody"/>
        <w:bidi w:val="0"/>
        <w:spacing w:before="24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No Recourse Against Others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director, officer, employee or stockholder (past or present), as such, of the Company shall not have any liability for any obligations of the Company under the Securities or this Indenture or for any claim based on, in respect of or by reason of such obligations or their creation. Each Securityholder by accepting a Security waives and releases all such liability. The waiver and release are part of the consideration for the issue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10.9. </w:t>
      </w:r>
      <w:r>
        <w:rPr>
          <w:rFonts w:ascii="Times New Roman" w:hAnsi="Times New Roman"/>
          <w:sz w:val="20"/>
          <w:u w:val="single"/>
        </w:rPr>
        <w:t>Counterparts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10.10 </w:t>
      </w:r>
      <w:r>
        <w:rPr>
          <w:rFonts w:ascii="Times New Roman" w:hAnsi="Times New Roman"/>
          <w:sz w:val="20"/>
          <w:u w:val="single"/>
        </w:rPr>
        <w:t>Governing Law; Jury Trial Waiver</w:t>
      </w:r>
      <w:r>
        <w:rPr>
          <w:rFonts w:ascii="Times New Roman" w:hAnsi="Times New Roman"/>
          <w:sz w:val="20"/>
        </w:rPr>
        <w:t xml:space="preserve">. </w:t>
      </w:r>
    </w:p>
    <w:p>
      <w:pPr>
        <w:pStyle w:val="TextBody"/>
        <w:bidi w:val="0"/>
        <w:spacing w:before="120" w:after="0"/>
        <w:jc w:val="left"/>
        <w:rPr>
          <w:rFonts w:ascii="Times New Roman" w:hAnsi="Times New Roman"/>
          <w:b/>
          <w:sz w:val="20"/>
        </w:rPr>
      </w:pPr>
      <w:r>
        <w:rPr>
          <w:rFonts w:ascii="Times New Roman" w:hAnsi="Times New Roman"/>
          <w:b/>
          <w:sz w:val="20"/>
        </w:rPr>
        <w:t xml:space="preserve">THIS INDENTURE AND THE SECURITIES, INCLUDING ANY CLAIM OR CONTROVERSY ARISING OUT OF OR RELATING TO THIS INDENTURE OR THE SECURITIES, SHALL BE GOVERNED BY THE LAWS OF THE STATE OF NEW YORK (WITHOUT REGARD TO THE CONFLICTS OF LAWS PROVISIONS THEREOF OTHER THAN SECTION 5-1401 OF THE GENERAL OBLIGATIONS LAW). </w:t>
      </w:r>
    </w:p>
    <w:p>
      <w:pPr>
        <w:pStyle w:val="TextBody"/>
        <w:bidi w:val="0"/>
        <w:spacing w:before="240" w:after="0"/>
        <w:jc w:val="left"/>
        <w:rPr>
          <w:rFonts w:ascii="Times New Roman" w:hAnsi="Times New Roman"/>
          <w:b/>
          <w:sz w:val="20"/>
        </w:rPr>
      </w:pPr>
      <w:r>
        <w:rPr>
          <w:rFonts w:ascii="Times New Roman" w:hAnsi="Times New Roman"/>
          <w:b/>
          <w:sz w:val="20"/>
        </w:rPr>
        <w:t xml:space="preserve">EACH OF THE COMPANY AND THE TRUSTEE HEREBY IRREVOCABLY WAIVES, TO THE FULLEST EXTENT PERMITTED BY APPLICABLE LAW, ANY AND ALL RIGHT TO TRIAL BY JURY IN ANY LEGAL PROCEEDING ARISING OUT OF OR RELATING TO THIS INDENTURE, THE SECURITIES OR THE TRANSACTION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10.11 </w:t>
      </w:r>
      <w:r>
        <w:rPr>
          <w:rFonts w:ascii="Times New Roman" w:hAnsi="Times New Roman"/>
          <w:sz w:val="20"/>
          <w:u w:val="single"/>
        </w:rPr>
        <w:t>No Adverse Interpretation of Other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Indenture may not be used to interpret another indenture, loan or debt agreement of the Company or a Subsidiary of the Company. Any such indenture, loan or debt agreement may not be used to interpret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10.12. </w:t>
      </w:r>
      <w:r>
        <w:rPr>
          <w:rFonts w:ascii="Times New Roman" w:hAnsi="Times New Roman"/>
          <w:sz w:val="20"/>
          <w:u w:val="single"/>
        </w:rPr>
        <w:t>Successors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agreements of the Company in this Indenture and the Securities shall bind its successor. All agreements of the Trustee in this Indenture shall bind its successor. </w:t>
      </w:r>
    </w:p>
    <w:p>
      <w:pPr>
        <w:pStyle w:val="TextBody"/>
        <w:bidi w:val="0"/>
        <w:spacing w:before="240" w:after="0"/>
        <w:jc w:val="left"/>
        <w:rPr>
          <w:rFonts w:ascii="Times New Roman" w:hAnsi="Times New Roman"/>
          <w:sz w:val="20"/>
        </w:rPr>
      </w:pPr>
      <w:r>
        <w:rPr>
          <w:rFonts w:ascii="Times New Roman" w:hAnsi="Times New Roman"/>
          <w:sz w:val="20"/>
        </w:rPr>
        <w:t xml:space="preserve">Section 10.13. </w:t>
      </w:r>
      <w:r>
        <w:rPr>
          <w:rFonts w:ascii="Times New Roman" w:hAnsi="Times New Roman"/>
          <w:sz w:val="20"/>
          <w:u w:val="single"/>
        </w:rPr>
        <w:t>Severability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case any provision in this Indenture or in the Securities shall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10.14. </w:t>
      </w:r>
      <w:r>
        <w:rPr>
          <w:rFonts w:ascii="Times New Roman" w:hAnsi="Times New Roman"/>
          <w:sz w:val="20"/>
          <w:u w:val="single"/>
        </w:rPr>
        <w:t>Table of Contents, Headings,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Table of Contents, Cross Reference Table, and headings of the Articles and Sections of this Indenture have been inserted for convenience of reference only, are not to be considered a part hereof, and shall in no way modify or restrict any of the terms or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10.15. </w:t>
      </w:r>
      <w:r>
        <w:rPr>
          <w:rFonts w:ascii="Times New Roman" w:hAnsi="Times New Roman"/>
          <w:sz w:val="20"/>
          <w:u w:val="single"/>
        </w:rPr>
        <w:t>Securities in a Foreign Currency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All decisions and determinations provided for in the preceding paragraph shall, in the absence of manifest error, to the extent permitted by law, be conclusive for all purposes and irrevocably binding upon the Trustee and all 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10.16. </w:t>
      </w:r>
      <w:r>
        <w:rPr>
          <w:rFonts w:ascii="Times New Roman" w:hAnsi="Times New Roman"/>
          <w:sz w:val="20"/>
          <w:u w:val="single"/>
        </w:rPr>
        <w:t>Judgment Currency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Times New Roman" w:hAnsi="Times New Roman"/>
          <w:i/>
          <w:sz w:val="20"/>
        </w:rPr>
        <w:t>Required Currency</w:t>
      </w:r>
      <w:r>
        <w:rPr>
          <w:rFonts w:ascii="Times New Roman" w:hAnsi="Times New Roman"/>
          <w:sz w:val="20"/>
        </w:rPr>
        <w:t>”) into a currency in which a judgment will be rendered (the “</w:t>
      </w:r>
      <w:r>
        <w:rPr>
          <w:rFonts w:ascii="Times New Roman" w:hAnsi="Times New Roman"/>
          <w:i/>
          <w:sz w:val="20"/>
        </w:rPr>
        <w:t>Judgment Currency</w:t>
      </w:r>
      <w:r>
        <w:rPr>
          <w:rFonts w:ascii="Times New Roman" w:hAnsi="Times New Roman"/>
          <w:sz w:val="20"/>
        </w:rPr>
        <w:t xml:space="preserve">”),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Business Day, then the rate of exchange used shall be the rate at which in accordance with normal banking procedures the Trustee could purchase in The City of New York the Required Currency with the Judgment Currency on the Business Day preceding the day on which final unappealable judgment is entered and (b)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10.17. </w:t>
      </w:r>
      <w:r>
        <w:rPr>
          <w:rFonts w:ascii="Times New Roman" w:hAnsi="Times New Roman"/>
          <w:sz w:val="20"/>
          <w:u w:val="single"/>
        </w:rPr>
        <w:t>Force Majeure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Section 10.18. </w:t>
      </w:r>
      <w:r>
        <w:rPr>
          <w:rFonts w:ascii="Times New Roman" w:hAnsi="Times New Roman"/>
          <w:sz w:val="20"/>
          <w:u w:val="single"/>
        </w:rPr>
        <w:t>U.S.A. Patriot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XI. </w:t>
      </w:r>
    </w:p>
    <w:p>
      <w:pPr>
        <w:pStyle w:val="TextBody"/>
        <w:bidi w:val="0"/>
        <w:spacing w:before="0" w:after="0"/>
        <w:jc w:val="center"/>
        <w:rPr>
          <w:rFonts w:ascii="Times New Roman" w:hAnsi="Times New Roman"/>
          <w:sz w:val="20"/>
        </w:rPr>
      </w:pPr>
      <w:r>
        <w:rPr>
          <w:rFonts w:ascii="Times New Roman" w:hAnsi="Times New Roman"/>
          <w:sz w:val="20"/>
        </w:rPr>
        <w:t xml:space="preserve">SINKING FUNDS </w:t>
      </w:r>
    </w:p>
    <w:p>
      <w:pPr>
        <w:pStyle w:val="TextBody"/>
        <w:bidi w:val="0"/>
        <w:spacing w:before="24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Applicability of Article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this Article shall be applicable to any sinking fund for the retirement of the Securities of a Series if so provided by the terms of such Securities pursuant to Section 2.2 and except as otherwise permitted or required by any form of Security of such Series issued pursuant to this Indenture. </w:t>
      </w:r>
    </w:p>
    <w:p>
      <w:pPr>
        <w:pStyle w:val="TextBody"/>
        <w:bidi w:val="0"/>
        <w:spacing w:before="240" w:after="0"/>
        <w:jc w:val="left"/>
        <w:rPr>
          <w:rFonts w:ascii="Times New Roman" w:hAnsi="Times New Roman"/>
          <w:sz w:val="20"/>
        </w:rPr>
      </w:pPr>
      <w:r>
        <w:rPr>
          <w:rFonts w:ascii="Times New Roman" w:hAnsi="Times New Roman"/>
          <w:sz w:val="20"/>
        </w:rPr>
        <w:t>The minimum amount of any sinking fund payment provided for by the terms of the Securities of any Series is herein referred to as a “</w:t>
      </w:r>
      <w:r>
        <w:rPr>
          <w:rFonts w:ascii="Times New Roman" w:hAnsi="Times New Roman"/>
          <w:i/>
          <w:sz w:val="20"/>
        </w:rPr>
        <w:t>mandatory sinking fund payment</w:t>
      </w:r>
      <w:r>
        <w:rPr>
          <w:rFonts w:ascii="Times New Roman" w:hAnsi="Times New Roman"/>
          <w:sz w:val="20"/>
        </w:rPr>
        <w:t>” and any other amount provided for by the terms of Securities of such Series is herein referred to as an “</w:t>
      </w:r>
      <w:r>
        <w:rPr>
          <w:rFonts w:ascii="Times New Roman" w:hAnsi="Times New Roman"/>
          <w:i/>
          <w:sz w:val="20"/>
        </w:rPr>
        <w:t>optional sinking fund payment</w:t>
      </w:r>
      <w:r>
        <w:rPr>
          <w:rFonts w:ascii="Times New Roman" w:hAnsi="Times New Roman"/>
          <w:sz w:val="20"/>
        </w:rPr>
        <w:t xml:space="preserve">.” If provided for by the terms of Securities of any Series, the cash amount of any sinking fund payment may be subject to reduction as provided in Section 11.2. Each sinking fund payment shall be applied to the redemption of Securities of any Series as provided for by the terms of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11.2. </w:t>
      </w:r>
      <w:r>
        <w:rPr>
          <w:rFonts w:ascii="Times New Roman" w:hAnsi="Times New Roman"/>
          <w:sz w:val="20"/>
          <w:u w:val="single"/>
        </w:rPr>
        <w:t>Satisfaction of Sinking Fund Payments with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in satisfaction of all or any part of any sinking fund payment with respect to the Securities of any Series to be made pursuant to the terms of such Securities (a) deliver outstanding Securities of such Series to which such sinking fund payment is applicable (other than any of such Securities previously called for mandatory sinking fund redemption) and (b) apply as credit Securities of such Series to which such sinking fund payment is applicable and which have been repurchased by the Company or redeemed either at the election of the Company pursuant to the terms of the Securities of such Series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11.3. </w:t>
      </w:r>
      <w:r>
        <w:rPr>
          <w:rFonts w:ascii="Times New Roman" w:hAnsi="Times New Roman"/>
          <w:sz w:val="20"/>
          <w:u w:val="single"/>
        </w:rPr>
        <w:t>Redemption of Securities for Sinking Fund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Trustee shall select the Securities to be redeemed upon such sinking fund payment date in the manner specified in Section 3.2 and cause notice of the redemption thereof to be given in the name of and at the expense of the Company in the manner provided in Section 3.3. Such notice having been duly given, the redemption of such Securities shall be made upon the terms and in the manner stated in Sections 3.4, 3.5 and 3.6.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XII. </w:t>
      </w:r>
    </w:p>
    <w:p>
      <w:pPr>
        <w:pStyle w:val="TextBody"/>
        <w:bidi w:val="0"/>
        <w:spacing w:before="0" w:after="0"/>
        <w:jc w:val="center"/>
        <w:rPr>
          <w:rFonts w:ascii="Times New Roman" w:hAnsi="Times New Roman"/>
          <w:sz w:val="20"/>
        </w:rPr>
      </w:pPr>
      <w:r>
        <w:rPr>
          <w:rFonts w:ascii="Times New Roman" w:hAnsi="Times New Roman"/>
          <w:sz w:val="20"/>
        </w:rPr>
        <w:t xml:space="preserve">SUBORDINATION OF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12.1. </w:t>
      </w:r>
      <w:r>
        <w:rPr>
          <w:rFonts w:ascii="Times New Roman" w:hAnsi="Times New Roman"/>
          <w:sz w:val="20"/>
          <w:u w:val="single"/>
        </w:rPr>
        <w:t>Subordination of Terms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payment by the Company of the principal of, premium, if any, and interest on any Series of Securities issued under this Indenture shall be subordinated to the extent set forth in a Board Resolution, supplemental indenture hereto or Officer’s Certificate relating to such Series of Securities.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Indenture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30"/>
        <w:gridCol w:w="136"/>
        <w:gridCol w:w="3216"/>
      </w:tblGrid>
      <w:tr>
        <w:trPr/>
        <w:tc>
          <w:tcPr>
            <w:tcW w:w="730"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321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ELEDON PHARMACEUTICALS, INC, as Issuer</w:t>
            </w:r>
          </w:p>
        </w:tc>
      </w:tr>
      <w:tr>
        <w:trPr>
          <w:trHeight w:val="240" w:hRule="atLeast"/>
        </w:trPr>
        <w:tc>
          <w:tcPr>
            <w:tcW w:w="730" w:type="dxa"/>
            <w:tcBorders/>
            <w:vAlign w:val="center"/>
          </w:tcPr>
          <w:p>
            <w:pPr>
              <w:pStyle w:val="TableContents"/>
              <w:bidi w:val="0"/>
              <w:spacing w:before="0" w:after="283"/>
              <w:jc w:val="left"/>
              <w:rPr>
                <w:sz w:val="4"/>
                <w:szCs w:val="4"/>
              </w:rPr>
            </w:pPr>
            <w:r>
              <w:rPr>
                <w:sz w:val="4"/>
                <w:szCs w:val="4"/>
              </w:rPr>
            </w:r>
          </w:p>
        </w:tc>
        <w:tc>
          <w:tcPr>
            <w:tcW w:w="3352" w:type="dxa"/>
            <w:gridSpan w:val="2"/>
            <w:tcBorders/>
            <w:vAlign w:val="center"/>
          </w:tcPr>
          <w:p>
            <w:pPr>
              <w:pStyle w:val="TableContents"/>
              <w:bidi w:val="0"/>
              <w:spacing w:before="0" w:after="283"/>
              <w:jc w:val="left"/>
              <w:rPr>
                <w:sz w:val="4"/>
                <w:szCs w:val="4"/>
              </w:rPr>
            </w:pPr>
            <w:r>
              <w:rPr>
                <w:sz w:val="4"/>
                <w:szCs w:val="4"/>
              </w:rPr>
            </w:r>
          </w:p>
        </w:tc>
      </w:tr>
      <w:tr>
        <w:trPr/>
        <w:tc>
          <w:tcPr>
            <w:tcW w:w="730" w:type="dxa"/>
            <w:tcBorders/>
          </w:tcPr>
          <w:p>
            <w:pPr>
              <w:pStyle w:val="TableContents"/>
              <w:bidi w:val="0"/>
              <w:spacing w:before="0" w:after="283"/>
              <w:jc w:val="left"/>
              <w:rPr/>
            </w:pPr>
            <w:r>
              <w:rPr/>
              <w:t>By:</w:t>
            </w:r>
          </w:p>
        </w:tc>
        <w:tc>
          <w:tcPr>
            <w:tcW w:w="136" w:type="dxa"/>
            <w:tcBorders/>
            <w:vAlign w:val="bottom"/>
          </w:tcPr>
          <w:p>
            <w:pPr>
              <w:pStyle w:val="TableContents"/>
              <w:bidi w:val="0"/>
              <w:spacing w:before="0" w:after="283"/>
              <w:jc w:val="left"/>
              <w:rPr/>
            </w:pPr>
            <w:r>
              <w:rPr/>
              <w:t> </w:t>
            </w:r>
          </w:p>
        </w:tc>
        <w:tc>
          <w:tcPr>
            <w:tcW w:w="3216" w:type="dxa"/>
            <w:tcBorders/>
          </w:tcPr>
          <w:p>
            <w:pPr>
              <w:pStyle w:val="TableContents"/>
              <w:pBdr>
                <w:bottom w:val="single" w:sz="2" w:space="1" w:color="000000"/>
              </w:pBdr>
              <w:bidi w:val="0"/>
              <w:spacing w:before="0" w:after="20"/>
              <w:jc w:val="left"/>
              <w:rPr/>
            </w:pPr>
            <w:r>
              <w:rPr/>
              <w:t> </w:t>
            </w:r>
          </w:p>
        </w:tc>
      </w:tr>
      <w:tr>
        <w:trPr/>
        <w:tc>
          <w:tcPr>
            <w:tcW w:w="730"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3216" w:type="dxa"/>
            <w:tcBorders/>
          </w:tcPr>
          <w:p>
            <w:pPr>
              <w:pStyle w:val="TableContents"/>
              <w:bidi w:val="0"/>
              <w:spacing w:before="0" w:after="283"/>
              <w:jc w:val="left"/>
              <w:rPr/>
            </w:pPr>
            <w:r>
              <w:rPr/>
              <w:t>Name:</w:t>
            </w:r>
          </w:p>
        </w:tc>
      </w:tr>
      <w:tr>
        <w:trPr/>
        <w:tc>
          <w:tcPr>
            <w:tcW w:w="730"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3216" w:type="dxa"/>
            <w:tcBorders/>
          </w:tcPr>
          <w:p>
            <w:pPr>
              <w:pStyle w:val="TableContents"/>
              <w:bidi w:val="0"/>
              <w:spacing w:before="0" w:after="283"/>
              <w:jc w:val="left"/>
              <w:rPr/>
            </w:pPr>
            <w:r>
              <w:rPr/>
              <w:t>Its:</w:t>
            </w:r>
          </w:p>
        </w:tc>
      </w:tr>
      <w:tr>
        <w:trPr/>
        <w:tc>
          <w:tcPr>
            <w:tcW w:w="730"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3216" w:type="dxa"/>
            <w:tcBorders/>
          </w:tcPr>
          <w:p>
            <w:pPr>
              <w:pStyle w:val="TableContents"/>
              <w:bidi w:val="0"/>
              <w:spacing w:before="0" w:after="283"/>
              <w:jc w:val="center"/>
              <w:rPr/>
            </w:pPr>
            <w:r>
              <w:rPr/>
              <w:t>, as Trustee</w:t>
            </w:r>
          </w:p>
        </w:tc>
      </w:tr>
      <w:tr>
        <w:trPr>
          <w:trHeight w:val="240" w:hRule="atLeast"/>
        </w:trPr>
        <w:tc>
          <w:tcPr>
            <w:tcW w:w="730" w:type="dxa"/>
            <w:tcBorders/>
            <w:vAlign w:val="center"/>
          </w:tcPr>
          <w:p>
            <w:pPr>
              <w:pStyle w:val="TableContents"/>
              <w:bidi w:val="0"/>
              <w:spacing w:before="0" w:after="283"/>
              <w:jc w:val="left"/>
              <w:rPr>
                <w:sz w:val="4"/>
                <w:szCs w:val="4"/>
              </w:rPr>
            </w:pPr>
            <w:r>
              <w:rPr>
                <w:sz w:val="4"/>
                <w:szCs w:val="4"/>
              </w:rPr>
            </w:r>
          </w:p>
        </w:tc>
        <w:tc>
          <w:tcPr>
            <w:tcW w:w="3352" w:type="dxa"/>
            <w:gridSpan w:val="2"/>
            <w:tcBorders/>
            <w:vAlign w:val="center"/>
          </w:tcPr>
          <w:p>
            <w:pPr>
              <w:pStyle w:val="TableContents"/>
              <w:bidi w:val="0"/>
              <w:spacing w:before="0" w:after="283"/>
              <w:jc w:val="left"/>
              <w:rPr>
                <w:sz w:val="4"/>
                <w:szCs w:val="4"/>
              </w:rPr>
            </w:pPr>
            <w:r>
              <w:rPr>
                <w:sz w:val="4"/>
                <w:szCs w:val="4"/>
              </w:rPr>
            </w:r>
          </w:p>
        </w:tc>
      </w:tr>
      <w:tr>
        <w:trPr/>
        <w:tc>
          <w:tcPr>
            <w:tcW w:w="730" w:type="dxa"/>
            <w:tcBorders/>
          </w:tcPr>
          <w:p>
            <w:pPr>
              <w:pStyle w:val="TableContents"/>
              <w:bidi w:val="0"/>
              <w:spacing w:before="0" w:after="283"/>
              <w:jc w:val="left"/>
              <w:rPr/>
            </w:pPr>
            <w:r>
              <w:rPr/>
              <w:t>By:</w:t>
            </w:r>
          </w:p>
        </w:tc>
        <w:tc>
          <w:tcPr>
            <w:tcW w:w="136" w:type="dxa"/>
            <w:tcBorders/>
            <w:vAlign w:val="bottom"/>
          </w:tcPr>
          <w:p>
            <w:pPr>
              <w:pStyle w:val="TableContents"/>
              <w:bidi w:val="0"/>
              <w:spacing w:before="0" w:after="283"/>
              <w:jc w:val="left"/>
              <w:rPr/>
            </w:pPr>
            <w:r>
              <w:rPr/>
              <w:t> </w:t>
            </w:r>
          </w:p>
        </w:tc>
        <w:tc>
          <w:tcPr>
            <w:tcW w:w="3216" w:type="dxa"/>
            <w:tcBorders/>
          </w:tcPr>
          <w:p>
            <w:pPr>
              <w:pStyle w:val="TableContents"/>
              <w:pBdr>
                <w:bottom w:val="single" w:sz="2" w:space="1" w:color="000000"/>
              </w:pBdr>
              <w:bidi w:val="0"/>
              <w:spacing w:before="0" w:after="20"/>
              <w:jc w:val="left"/>
              <w:rPr/>
            </w:pPr>
            <w:r>
              <w:rPr/>
              <w:t> </w:t>
            </w:r>
          </w:p>
        </w:tc>
      </w:tr>
      <w:tr>
        <w:trPr/>
        <w:tc>
          <w:tcPr>
            <w:tcW w:w="730"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3216" w:type="dxa"/>
            <w:tcBorders/>
          </w:tcPr>
          <w:p>
            <w:pPr>
              <w:pStyle w:val="TableContents"/>
              <w:bidi w:val="0"/>
              <w:spacing w:before="0" w:after="283"/>
              <w:jc w:val="left"/>
              <w:rPr/>
            </w:pPr>
            <w:r>
              <w:rPr/>
              <w:t>Name:</w:t>
            </w:r>
          </w:p>
        </w:tc>
      </w:tr>
      <w:tr>
        <w:trPr/>
        <w:tc>
          <w:tcPr>
            <w:tcW w:w="730"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3216" w:type="dxa"/>
            <w:tcBorders/>
          </w:tcPr>
          <w:p>
            <w:pPr>
              <w:pStyle w:val="TableContents"/>
              <w:bidi w:val="0"/>
              <w:spacing w:before="0" w:after="283"/>
              <w:jc w:val="left"/>
              <w:rPr/>
            </w:pPr>
            <w:r>
              <w:rPr/>
              <w:t>Its: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p>
    <w:p>
      <w:pPr>
        <w:pStyle w:val="TextBody"/>
        <w:bidi w:val="0"/>
        <w:spacing w:before="0" w:after="0"/>
        <w:jc w:val="right"/>
        <w:rPr>
          <w:rFonts w:ascii="Times New Roman" w:hAnsi="Times New Roman"/>
          <w:b/>
          <w:sz w:val="20"/>
        </w:rPr>
      </w:pPr>
      <w:bookmarkStart w:id="34" w:name="d79008dex51.htm"/>
      <w:bookmarkStart w:id="35" w:name="ksd79008dex51"/>
      <w:bookmarkEnd w:id="34"/>
      <w:bookmarkEnd w:id="35"/>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1362075" cy="3333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8"/>
                    <a:stretch>
                      <a:fillRect/>
                    </a:stretch>
                  </pic:blipFill>
                  <pic:spPr bwMode="auto">
                    <a:xfrm>
                      <a:off x="0" y="0"/>
                      <a:ext cx="1362075" cy="333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03"/>
        <w:gridCol w:w="120"/>
        <w:gridCol w:w="3188"/>
        <w:gridCol w:w="120"/>
        <w:gridCol w:w="3074"/>
      </w:tblGrid>
      <w:tr>
        <w:trPr/>
        <w:tc>
          <w:tcPr>
            <w:tcW w:w="370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8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74" w:type="dxa"/>
            <w:tcBorders/>
            <w:vAlign w:val="center"/>
          </w:tcPr>
          <w:p>
            <w:pPr>
              <w:pStyle w:val="TableContents"/>
              <w:bidi w:val="0"/>
              <w:spacing w:before="0" w:after="283"/>
              <w:jc w:val="left"/>
              <w:rPr>
                <w:sz w:val="4"/>
                <w:szCs w:val="4"/>
              </w:rPr>
            </w:pPr>
            <w:r>
              <w:rPr>
                <w:sz w:val="4"/>
                <w:szCs w:val="4"/>
              </w:rPr>
            </w:r>
          </w:p>
        </w:tc>
      </w:tr>
      <w:tr>
        <w:trPr/>
        <w:tc>
          <w:tcPr>
            <w:tcW w:w="3703" w:type="dxa"/>
            <w:tcBorders/>
          </w:tcPr>
          <w:p>
            <w:pPr>
              <w:pStyle w:val="TableContents"/>
              <w:bidi w:val="0"/>
              <w:spacing w:before="0" w:after="283"/>
              <w:jc w:val="left"/>
              <w:rPr/>
            </w:pPr>
            <w:r>
              <w:rPr/>
              <w:t>O’Melveny &amp; Myers LLP</w:t>
            </w:r>
          </w:p>
        </w:tc>
        <w:tc>
          <w:tcPr>
            <w:tcW w:w="120" w:type="dxa"/>
            <w:tcBorders/>
            <w:vAlign w:val="bottom"/>
          </w:tcPr>
          <w:p>
            <w:pPr>
              <w:pStyle w:val="TableContents"/>
              <w:bidi w:val="0"/>
              <w:spacing w:before="0" w:after="283"/>
              <w:jc w:val="left"/>
              <w:rPr/>
            </w:pPr>
            <w:r>
              <w:rPr/>
              <w:t>  </w:t>
            </w:r>
          </w:p>
        </w:tc>
        <w:tc>
          <w:tcPr>
            <w:tcW w:w="3188" w:type="dxa"/>
            <w:tcBorders/>
          </w:tcPr>
          <w:p>
            <w:pPr>
              <w:pStyle w:val="TableContents"/>
              <w:bidi w:val="0"/>
              <w:spacing w:before="0" w:after="283"/>
              <w:jc w:val="left"/>
              <w:rPr/>
            </w:pPr>
            <w:r>
              <w:rPr/>
              <w:t>T: +1 949 823 6900</w:t>
            </w:r>
          </w:p>
        </w:tc>
        <w:tc>
          <w:tcPr>
            <w:tcW w:w="120" w:type="dxa"/>
            <w:tcBorders/>
            <w:vAlign w:val="bottom"/>
          </w:tcPr>
          <w:p>
            <w:pPr>
              <w:pStyle w:val="TableContents"/>
              <w:bidi w:val="0"/>
              <w:spacing w:before="0" w:after="283"/>
              <w:jc w:val="left"/>
              <w:rPr/>
            </w:pPr>
            <w:r>
              <w:rPr/>
              <w:t>  </w:t>
            </w:r>
          </w:p>
        </w:tc>
        <w:tc>
          <w:tcPr>
            <w:tcW w:w="3074" w:type="dxa"/>
            <w:tcBorders/>
          </w:tcPr>
          <w:p>
            <w:pPr>
              <w:pStyle w:val="TableContents"/>
              <w:bidi w:val="0"/>
              <w:spacing w:before="0" w:after="283"/>
              <w:jc w:val="left"/>
              <w:rPr/>
            </w:pPr>
            <w:r>
              <w:rPr/>
              <w:t>File Number: 0241090-00016</w:t>
            </w:r>
          </w:p>
        </w:tc>
      </w:tr>
      <w:tr>
        <w:trPr/>
        <w:tc>
          <w:tcPr>
            <w:tcW w:w="3703" w:type="dxa"/>
            <w:tcBorders/>
          </w:tcPr>
          <w:p>
            <w:pPr>
              <w:pStyle w:val="TableContents"/>
              <w:bidi w:val="0"/>
              <w:spacing w:before="0" w:after="283"/>
              <w:jc w:val="left"/>
              <w:rPr/>
            </w:pPr>
            <w:r>
              <w:rPr/>
              <w:t>610 Newport Center Drive</w:t>
            </w:r>
          </w:p>
        </w:tc>
        <w:tc>
          <w:tcPr>
            <w:tcW w:w="120" w:type="dxa"/>
            <w:tcBorders/>
            <w:vAlign w:val="bottom"/>
          </w:tcPr>
          <w:p>
            <w:pPr>
              <w:pStyle w:val="TableContents"/>
              <w:bidi w:val="0"/>
              <w:spacing w:before="0" w:after="283"/>
              <w:jc w:val="left"/>
              <w:rPr/>
            </w:pPr>
            <w:r>
              <w:rPr/>
              <w:t>  </w:t>
            </w:r>
          </w:p>
        </w:tc>
        <w:tc>
          <w:tcPr>
            <w:tcW w:w="3188" w:type="dxa"/>
            <w:tcBorders/>
          </w:tcPr>
          <w:p>
            <w:pPr>
              <w:pStyle w:val="TableContents"/>
              <w:bidi w:val="0"/>
              <w:spacing w:before="0" w:after="283"/>
              <w:jc w:val="left"/>
              <w:rPr/>
            </w:pPr>
            <w:r>
              <w:rPr/>
              <w:t>F: +1 949 823 6994</w:t>
            </w:r>
          </w:p>
        </w:tc>
        <w:tc>
          <w:tcPr>
            <w:tcW w:w="120" w:type="dxa"/>
            <w:tcBorders/>
            <w:vAlign w:val="bottom"/>
          </w:tcPr>
          <w:p>
            <w:pPr>
              <w:pStyle w:val="TableContents"/>
              <w:bidi w:val="0"/>
              <w:spacing w:before="0" w:after="283"/>
              <w:jc w:val="left"/>
              <w:rPr/>
            </w:pPr>
            <w:r>
              <w:rPr/>
              <w:t>  </w:t>
            </w:r>
          </w:p>
        </w:tc>
        <w:tc>
          <w:tcPr>
            <w:tcW w:w="3074" w:type="dxa"/>
            <w:tcBorders/>
          </w:tcPr>
          <w:p>
            <w:pPr>
              <w:pStyle w:val="TableContents"/>
              <w:bidi w:val="0"/>
              <w:spacing w:before="0" w:after="283"/>
              <w:jc w:val="left"/>
              <w:rPr>
                <w:sz w:val="4"/>
                <w:szCs w:val="4"/>
              </w:rPr>
            </w:pPr>
            <w:r>
              <w:rPr>
                <w:sz w:val="4"/>
                <w:szCs w:val="4"/>
              </w:rPr>
            </w:r>
          </w:p>
        </w:tc>
      </w:tr>
      <w:tr>
        <w:trPr/>
        <w:tc>
          <w:tcPr>
            <w:tcW w:w="3703" w:type="dxa"/>
            <w:tcBorders/>
          </w:tcPr>
          <w:p>
            <w:pPr>
              <w:pStyle w:val="TableContents"/>
              <w:bidi w:val="0"/>
              <w:spacing w:before="0" w:after="283"/>
              <w:jc w:val="left"/>
              <w:rPr/>
            </w:pPr>
            <w:r>
              <w:rPr/>
              <w:t>17th Floor</w:t>
            </w:r>
          </w:p>
        </w:tc>
        <w:tc>
          <w:tcPr>
            <w:tcW w:w="120" w:type="dxa"/>
            <w:tcBorders/>
            <w:vAlign w:val="bottom"/>
          </w:tcPr>
          <w:p>
            <w:pPr>
              <w:pStyle w:val="TableContents"/>
              <w:bidi w:val="0"/>
              <w:spacing w:before="0" w:after="283"/>
              <w:jc w:val="left"/>
              <w:rPr/>
            </w:pPr>
            <w:r>
              <w:rPr/>
              <w:t>  </w:t>
            </w:r>
          </w:p>
        </w:tc>
        <w:tc>
          <w:tcPr>
            <w:tcW w:w="3188" w:type="dxa"/>
            <w:tcBorders/>
          </w:tcPr>
          <w:p>
            <w:pPr>
              <w:pStyle w:val="TableContents"/>
              <w:bidi w:val="0"/>
              <w:spacing w:before="0" w:after="283"/>
              <w:jc w:val="left"/>
              <w:rPr/>
            </w:pPr>
            <w:r>
              <w:rPr/>
              <w:t>omm.com</w:t>
            </w:r>
          </w:p>
        </w:tc>
        <w:tc>
          <w:tcPr>
            <w:tcW w:w="120" w:type="dxa"/>
            <w:tcBorders/>
            <w:vAlign w:val="bottom"/>
          </w:tcPr>
          <w:p>
            <w:pPr>
              <w:pStyle w:val="TableContents"/>
              <w:bidi w:val="0"/>
              <w:spacing w:before="0" w:after="283"/>
              <w:jc w:val="left"/>
              <w:rPr/>
            </w:pPr>
            <w:r>
              <w:rPr/>
              <w:t>  </w:t>
            </w:r>
          </w:p>
        </w:tc>
        <w:tc>
          <w:tcPr>
            <w:tcW w:w="3074" w:type="dxa"/>
            <w:tcBorders/>
          </w:tcPr>
          <w:p>
            <w:pPr>
              <w:pStyle w:val="TableContents"/>
              <w:bidi w:val="0"/>
              <w:spacing w:before="0" w:after="283"/>
              <w:jc w:val="left"/>
              <w:rPr>
                <w:sz w:val="4"/>
                <w:szCs w:val="4"/>
              </w:rPr>
            </w:pPr>
            <w:r>
              <w:rPr>
                <w:sz w:val="4"/>
                <w:szCs w:val="4"/>
              </w:rPr>
            </w:r>
          </w:p>
        </w:tc>
      </w:tr>
      <w:tr>
        <w:trPr/>
        <w:tc>
          <w:tcPr>
            <w:tcW w:w="3703" w:type="dxa"/>
            <w:tcBorders/>
          </w:tcPr>
          <w:p>
            <w:pPr>
              <w:pStyle w:val="TableContents"/>
              <w:bidi w:val="0"/>
              <w:spacing w:before="0" w:after="283"/>
              <w:jc w:val="left"/>
              <w:rPr/>
            </w:pPr>
            <w:r>
              <w:rPr/>
              <w:t>Newport Beach, CA 92660-6429</w:t>
            </w:r>
          </w:p>
        </w:tc>
        <w:tc>
          <w:tcPr>
            <w:tcW w:w="120" w:type="dxa"/>
            <w:tcBorders/>
            <w:vAlign w:val="bottom"/>
          </w:tcPr>
          <w:p>
            <w:pPr>
              <w:pStyle w:val="TableContents"/>
              <w:bidi w:val="0"/>
              <w:spacing w:before="0" w:after="283"/>
              <w:jc w:val="left"/>
              <w:rPr/>
            </w:pPr>
            <w:r>
              <w:rPr/>
              <w:t>  </w:t>
            </w:r>
          </w:p>
        </w:tc>
        <w:tc>
          <w:tcPr>
            <w:tcW w:w="318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74"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May 1, 2026 </w:t>
      </w:r>
    </w:p>
    <w:p>
      <w:pPr>
        <w:pStyle w:val="TextBody"/>
        <w:bidi w:val="0"/>
        <w:spacing w:before="240" w:after="0"/>
        <w:jc w:val="left"/>
        <w:rPr>
          <w:rFonts w:ascii="Times New Roman" w:hAnsi="Times New Roman"/>
          <w:sz w:val="20"/>
        </w:rPr>
      </w:pPr>
      <w:r>
        <w:rPr>
          <w:rFonts w:ascii="Times New Roman" w:hAnsi="Times New Roman"/>
          <w:sz w:val="20"/>
        </w:rPr>
        <w:t xml:space="preserve">Eledon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19800 MacArthur Blvd., Suite 250 </w:t>
      </w:r>
    </w:p>
    <w:p>
      <w:pPr>
        <w:pStyle w:val="TextBody"/>
        <w:bidi w:val="0"/>
        <w:spacing w:before="0" w:after="0"/>
        <w:jc w:val="left"/>
        <w:rPr>
          <w:rFonts w:ascii="Times New Roman" w:hAnsi="Times New Roman"/>
          <w:sz w:val="20"/>
        </w:rPr>
      </w:pPr>
      <w:r>
        <w:rPr>
          <w:rFonts w:ascii="Times New Roman" w:hAnsi="Times New Roman"/>
          <w:sz w:val="20"/>
        </w:rPr>
        <w:t xml:space="preserve">Irvine, California 92612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b/>
              </w:rPr>
              <w:t>Re</w:t>
            </w:r>
            <w:r>
              <w:rPr>
                <w:b/>
                <w:i/>
              </w:rPr>
              <w:t>:</w:t>
            </w:r>
          </w:p>
        </w:tc>
        <w:tc>
          <w:tcPr>
            <w:tcW w:w="9799" w:type="dxa"/>
            <w:tcBorders/>
          </w:tcPr>
          <w:p>
            <w:pPr>
              <w:pStyle w:val="TableContents"/>
              <w:bidi w:val="0"/>
              <w:spacing w:before="0" w:after="0"/>
              <w:jc w:val="left"/>
              <w:rPr>
                <w:rFonts w:ascii="Times New Roman" w:hAnsi="Times New Roman"/>
                <w:b/>
                <w:i/>
                <w:sz w:val="20"/>
              </w:rPr>
            </w:pPr>
            <w:r>
              <w:rPr>
                <w:rFonts w:ascii="Times New Roman" w:hAnsi="Times New Roman"/>
                <w:b/>
                <w:i/>
                <w:sz w:val="20"/>
                <w:u w:val="single"/>
              </w:rPr>
              <w:t>Registration Statement on Form S-3 and At-the-Market Offering of up to $75,000,000 of Shares of Common Stock of Eledon Pharmaceuticals, Inc.</w:t>
            </w:r>
            <w:r>
              <w:rPr>
                <w:rFonts w:ascii="Times New Roman" w:hAnsi="Times New Roman"/>
                <w:b/>
                <w:i/>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special counsel to Eledon Pharmaceuticals, Inc., a Delaware corporation (the “</w:t>
      </w:r>
      <w:r>
        <w:rPr>
          <w:rFonts w:ascii="Times New Roman" w:hAnsi="Times New Roman"/>
          <w:sz w:val="20"/>
          <w:u w:val="single"/>
        </w:rPr>
        <w:t>Company</w:t>
      </w:r>
      <w:r>
        <w:rPr>
          <w:rFonts w:ascii="Times New Roman" w:hAnsi="Times New Roman"/>
          <w:sz w:val="20"/>
        </w:rPr>
        <w:t>”), in connection with the preparation of the Registration Statement on Form S-3 (the “</w:t>
      </w:r>
      <w:r>
        <w:rPr>
          <w:rFonts w:ascii="Times New Roman" w:hAnsi="Times New Roman"/>
          <w:sz w:val="20"/>
          <w:u w:val="single"/>
        </w:rPr>
        <w:t>Registration Statement</w:t>
      </w:r>
      <w:r>
        <w:rPr>
          <w:rFonts w:ascii="Times New Roman" w:hAnsi="Times New Roman"/>
          <w:sz w:val="20"/>
        </w:rPr>
        <w:t>”) filed with the Securities and Exchange Commission (the “</w:t>
      </w:r>
      <w:r>
        <w:rPr>
          <w:rFonts w:ascii="Times New Roman" w:hAnsi="Times New Roman"/>
          <w:sz w:val="20"/>
          <w:u w:val="single"/>
        </w:rPr>
        <w:t>Commission</w:t>
      </w:r>
      <w:r>
        <w:rPr>
          <w:rFonts w:ascii="Times New Roman" w:hAnsi="Times New Roman"/>
          <w:sz w:val="20"/>
        </w:rPr>
        <w:t>”) on the date hereof under the Securities Act of 1933, as amended (the “</w:t>
      </w:r>
      <w:r>
        <w:rPr>
          <w:rFonts w:ascii="Times New Roman" w:hAnsi="Times New Roman"/>
          <w:sz w:val="20"/>
          <w:u w:val="single"/>
        </w:rPr>
        <w:t>Securities Act</w:t>
      </w:r>
      <w:r>
        <w:rPr>
          <w:rFonts w:ascii="Times New Roman" w:hAnsi="Times New Roman"/>
          <w:sz w:val="20"/>
        </w:rPr>
        <w:t>”). The Registration Statement relates to the offer and sale from time to time by the Company, pursuant to Rule 415 of the General Rules and Regulations of the Commission promulgated under the Securities Act, of up to $500 million in aggregate offering price of the following securities: (i) shares of the Company’s common stock, par value $0.001 per share (the “</w:t>
      </w:r>
      <w:r>
        <w:rPr>
          <w:rFonts w:ascii="Times New Roman" w:hAnsi="Times New Roman"/>
          <w:sz w:val="20"/>
          <w:u w:val="single"/>
        </w:rPr>
        <w:t>Common Stock</w:t>
      </w:r>
      <w:r>
        <w:rPr>
          <w:rFonts w:ascii="Times New Roman" w:hAnsi="Times New Roman"/>
          <w:sz w:val="20"/>
        </w:rPr>
        <w:t>”); (ii) shares of the Company’s preferred stock, par value $0.001 per share (the “</w:t>
      </w:r>
      <w:r>
        <w:rPr>
          <w:rFonts w:ascii="Times New Roman" w:hAnsi="Times New Roman"/>
          <w:sz w:val="20"/>
          <w:u w:val="single"/>
        </w:rPr>
        <w:t>Preferred Stock</w:t>
      </w:r>
      <w:r>
        <w:rPr>
          <w:rFonts w:ascii="Times New Roman" w:hAnsi="Times New Roman"/>
          <w:sz w:val="20"/>
        </w:rPr>
        <w:t>”), in one or more series; (iii) senior or subordinated debt securities of the Company, in one or more series (the “</w:t>
      </w:r>
      <w:r>
        <w:rPr>
          <w:rFonts w:ascii="Times New Roman" w:hAnsi="Times New Roman"/>
          <w:sz w:val="20"/>
          <w:u w:val="single"/>
        </w:rPr>
        <w:t>Debt Securities</w:t>
      </w:r>
      <w:r>
        <w:rPr>
          <w:rFonts w:ascii="Times New Roman" w:hAnsi="Times New Roman"/>
          <w:sz w:val="20"/>
        </w:rPr>
        <w:t>”), to be issued pursuant to an indenture (the “</w:t>
      </w:r>
      <w:r>
        <w:rPr>
          <w:rFonts w:ascii="Times New Roman" w:hAnsi="Times New Roman"/>
          <w:sz w:val="20"/>
          <w:u w:val="single"/>
        </w:rPr>
        <w:t>Base Indenture</w:t>
      </w:r>
      <w:r>
        <w:rPr>
          <w:rFonts w:ascii="Times New Roman" w:hAnsi="Times New Roman"/>
          <w:sz w:val="20"/>
        </w:rPr>
        <w:t>”) to be entered into between the Company and a trustee to be named in such indenture (the “</w:t>
      </w:r>
      <w:r>
        <w:rPr>
          <w:rFonts w:ascii="Times New Roman" w:hAnsi="Times New Roman"/>
          <w:sz w:val="20"/>
          <w:u w:val="single"/>
        </w:rPr>
        <w:t>Trustee</w:t>
      </w:r>
      <w:r>
        <w:rPr>
          <w:rFonts w:ascii="Times New Roman" w:hAnsi="Times New Roman"/>
          <w:sz w:val="20"/>
        </w:rPr>
        <w:t>”), in the forms attached as Exhibit 4.12 and 4.13 to the Registration Statement, and any supplements or officer’s certificates thereto establishing the terms of each series of Debt Securities (the “</w:t>
      </w:r>
      <w:r>
        <w:rPr>
          <w:rFonts w:ascii="Times New Roman" w:hAnsi="Times New Roman"/>
          <w:sz w:val="20"/>
          <w:u w:val="single"/>
        </w:rPr>
        <w:t>Supplemental Indenture Documents</w:t>
      </w:r>
      <w:r>
        <w:rPr>
          <w:rFonts w:ascii="Times New Roman" w:hAnsi="Times New Roman"/>
          <w:sz w:val="20"/>
        </w:rPr>
        <w:t>”); (iv) warrants to purchase Common Stock, Preferred Stock, or Debt Securities (individually or collectively, the “</w:t>
      </w:r>
      <w:r>
        <w:rPr>
          <w:rFonts w:ascii="Times New Roman" w:hAnsi="Times New Roman"/>
          <w:sz w:val="20"/>
          <w:u w:val="single"/>
        </w:rPr>
        <w:t>Warrants</w:t>
      </w:r>
      <w:r>
        <w:rPr>
          <w:rFonts w:ascii="Times New Roman" w:hAnsi="Times New Roman"/>
          <w:sz w:val="20"/>
        </w:rPr>
        <w:t>”), which may be issued pursuant to a warrant agreement (the “</w:t>
      </w:r>
      <w:r>
        <w:rPr>
          <w:rFonts w:ascii="Times New Roman" w:hAnsi="Times New Roman"/>
          <w:sz w:val="20"/>
          <w:u w:val="single"/>
        </w:rPr>
        <w:t>Warrant Agreement</w:t>
      </w:r>
      <w:r>
        <w:rPr>
          <w:rFonts w:ascii="Times New Roman" w:hAnsi="Times New Roman"/>
          <w:sz w:val="20"/>
        </w:rPr>
        <w:t>”) between the Company and a warrant agent to be appointed prior to the issuance of Warrants; and (v) units consisting of any combination of Common Stock, Preferred Stock, Debt Securities and/or Warrants (the “</w:t>
      </w:r>
      <w:r>
        <w:rPr>
          <w:rFonts w:ascii="Times New Roman" w:hAnsi="Times New Roman"/>
          <w:sz w:val="20"/>
          <w:u w:val="single"/>
        </w:rPr>
        <w:t>Units</w:t>
      </w:r>
      <w:r>
        <w:rPr>
          <w:rFonts w:ascii="Times New Roman" w:hAnsi="Times New Roman"/>
          <w:sz w:val="20"/>
        </w:rPr>
        <w:t>”) to be issued pursuant to a unit agreement (the “</w:t>
      </w:r>
      <w:r>
        <w:rPr>
          <w:rFonts w:ascii="Times New Roman" w:hAnsi="Times New Roman"/>
          <w:sz w:val="20"/>
          <w:u w:val="single"/>
        </w:rPr>
        <w:t>Unit Agreement</w:t>
      </w:r>
      <w:r>
        <w:rPr>
          <w:rFonts w:ascii="Times New Roman" w:hAnsi="Times New Roman"/>
          <w:sz w:val="20"/>
        </w:rPr>
        <w:t>”) between the Company and a unit agent to be appointed prior to the issuance of Units. The Common Stock, Preferred Stock, Debt Securities, Warrants and Units are collectively referred to herein as the “</w:t>
      </w:r>
      <w:r>
        <w:rPr>
          <w:rFonts w:ascii="Times New Roman" w:hAnsi="Times New Roman"/>
          <w:sz w:val="20"/>
          <w:u w:val="single"/>
        </w:rPr>
        <w:t>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We have also acted as special counsel to the Company in connection with the offer and sale from time to time by the Company of shares of the Common Stock having an aggregate offering price of up to $75,000,000 (the “</w:t>
      </w:r>
      <w:r>
        <w:rPr>
          <w:rFonts w:ascii="Times New Roman" w:hAnsi="Times New Roman"/>
          <w:sz w:val="20"/>
          <w:u w:val="single"/>
        </w:rPr>
        <w:t>ATM Shares</w:t>
      </w:r>
      <w:r>
        <w:rPr>
          <w:rFonts w:ascii="Times New Roman" w:hAnsi="Times New Roman"/>
          <w:sz w:val="20"/>
        </w:rPr>
        <w:t>”), under a prospectus filed with the Registration Statement (the “</w:t>
      </w:r>
      <w:r>
        <w:rPr>
          <w:rFonts w:ascii="Times New Roman" w:hAnsi="Times New Roman"/>
          <w:sz w:val="20"/>
          <w:u w:val="single"/>
        </w:rPr>
        <w:t>ATM Prospectus</w:t>
      </w:r>
      <w:r>
        <w:rPr>
          <w:rFonts w:ascii="Times New Roman" w:hAnsi="Times New Roman"/>
          <w:sz w:val="20"/>
        </w:rPr>
        <w:t>”), pursuant to the Open Market Sale Agreement, dated September 20, 2024, by and between the Company and Guggenheim Securities, LLC (the “</w:t>
      </w:r>
      <w:r>
        <w:rPr>
          <w:rFonts w:ascii="Times New Roman" w:hAnsi="Times New Roman"/>
          <w:sz w:val="20"/>
          <w:u w:val="single"/>
        </w:rPr>
        <w:t>Sales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our capacity as such counsel, we have examined originals or copies of those corporate and other records and documents we considered appropriate, including, among other things,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the Registration Statement;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center"/>
        <w:rPr>
          <w:rFonts w:ascii="Times New Roman" w:hAnsi="Times New Roman"/>
          <w:sz w:val="16"/>
        </w:rPr>
      </w:pPr>
      <w:r>
        <w:rPr>
          <w:rFonts w:ascii="Times New Roman" w:hAnsi="Times New Roman"/>
          <w:sz w:val="16"/>
        </w:rPr>
        <w:t xml:space="preserve">Austin  Century City  Dallas  Houston  Los Angeles  Newport Beach  New York  San Francisco  Silicon Valley  Washington, DC </w:t>
      </w:r>
    </w:p>
    <w:p>
      <w:pPr>
        <w:pStyle w:val="TextBody"/>
        <w:bidi w:val="0"/>
        <w:spacing w:before="0" w:after="0"/>
        <w:jc w:val="center"/>
        <w:rPr>
          <w:rFonts w:ascii="Times New Roman" w:hAnsi="Times New Roman"/>
          <w:sz w:val="16"/>
        </w:rPr>
      </w:pPr>
      <w:r>
        <w:rPr>
          <w:rFonts w:ascii="Times New Roman" w:hAnsi="Times New Roman"/>
          <w:sz w:val="16"/>
        </w:rPr>
        <w:t xml:space="preserve">Beijing  Brussels  Hong Kong  London  Seoul  Shanghai  Singapore  Tokyo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362075" cy="3333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9"/>
                    <a:stretch>
                      <a:fillRect/>
                    </a:stretch>
                  </pic:blipFill>
                  <pic:spPr bwMode="auto">
                    <a:xfrm>
                      <a:off x="0" y="0"/>
                      <a:ext cx="1362075" cy="333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ATM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indentures filed as Exhibits 4.12 and 4.13 to 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Restated Certificate of Incorporation and the Amended and Restated Bylaws of the Company, each as amended through the date hereof (together, the “</w:t>
            </w:r>
            <w:r>
              <w:rPr>
                <w:rFonts w:ascii="Times New Roman" w:hAnsi="Times New Roman"/>
                <w:sz w:val="20"/>
                <w:u w:val="single"/>
              </w:rPr>
              <w:t>Organizational Documents</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originals or copies of actions by written consent of the Board of Directors of the Company relating to the registration of the Securities and the offer and sale of the ATM Shares under the ATM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assumed the genuineness of all signatures, the authenticity of all documents submitted to us as originals and the conformity with originals of all documents submitted to us as copies. We have also assumed that New York law will be chosen to govern the Warrant Agreement and the Unit Agreement and that such choice is a valid and legal provision. To the extent the obligations of the Company depend on the enforceability of any agreement against any other parties thereto, we have assumed that such agreement is enforceable against such other parties. </w:t>
      </w:r>
    </w:p>
    <w:p>
      <w:pPr>
        <w:pStyle w:val="TextBody"/>
        <w:bidi w:val="0"/>
        <w:spacing w:before="240" w:after="0"/>
        <w:jc w:val="left"/>
        <w:rPr>
          <w:rFonts w:ascii="Times New Roman" w:hAnsi="Times New Roman"/>
          <w:sz w:val="20"/>
        </w:rPr>
      </w:pPr>
      <w:r>
        <w:rPr>
          <w:rFonts w:ascii="Times New Roman" w:hAnsi="Times New Roman"/>
          <w:sz w:val="20"/>
        </w:rPr>
        <w:t>With respect to the ATM Shares, we have assumed that the ATM Shares, when issued, will be issued in accordance with and not in violation of any terms and conditions established by the Board of Directors or any committee thereof in the resolutions adopted by the Board of Directors or any such committee thereof with respect to the issuance of the ATM Shares (such approvals are referred to hereinafter as the “</w:t>
      </w:r>
      <w:r>
        <w:rPr>
          <w:rFonts w:ascii="Times New Roman" w:hAnsi="Times New Roman"/>
          <w:sz w:val="20"/>
          <w:u w:val="single"/>
        </w:rPr>
        <w:t>Corporate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have also assumed that, at or prior to the time of delivery of any Security: (i) the Registration Statement has been declared effective by the Commission and such effectiveness has not been terminated or rescinded; (ii) a prospectus supplement describing each class or series of Securities offered pursuant to the Registration Statement, to the extent required by applicable law and relevant rules and regulations of the Commission, will be timely filed with the Commission; (iii) the Company is and will continue to be validly existing and in good standing under the laws of Delaware, with corporate power and authority to enter into the Base Indenture, Supplemental Indenture Documents, Warrant Agreement or Unit Agreement to which it is or may be a party and to perform its obligations thereunder; (iv) the definitive terms of the issuance and sale of each class or series of Securities will have been duly established in accordance with the applicable authorizing resolutions of the Board of Directors of the Company (or an authorized committee thereof) and in conformity with the Organizational Documents and applicable law (including (A) the requisite number of shares of Common Stock or Preferred Stock, including Common Stock or Preferred Stock which may be issued upon exercise or conversion of any such Securities exercisable or convertible for Common Stock or Preferred Stock, will have been reserved for issuance, in each case, within the limits of the then remaining authorized but unissued and unreserved amount of such Common Stock or Preferred Stock, as provided in the Certificate of Incorporation, and (B) the execution (in the case of certificated Securities), delivery and performance of the Securities and any related documentation referred to in paragraphs 3 through 7 below shall have been duly completed and shall remain in full force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362075" cy="3333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30"/>
                    <a:stretch>
                      <a:fillRect/>
                    </a:stretch>
                  </pic:blipFill>
                  <pic:spPr bwMode="auto">
                    <a:xfrm>
                      <a:off x="0" y="0"/>
                      <a:ext cx="1362075" cy="333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and effect); (v) in the case of Debt Securities, the relevant trustee shall have been qualified under the Trust Indenture Act of 1939, as amended (the “</w:t>
      </w:r>
      <w:r>
        <w:rPr>
          <w:rFonts w:ascii="Times New Roman" w:hAnsi="Times New Roman"/>
          <w:sz w:val="20"/>
          <w:u w:val="single"/>
        </w:rPr>
        <w:t>TIA</w:t>
      </w:r>
      <w:r>
        <w:rPr>
          <w:rFonts w:ascii="Times New Roman" w:hAnsi="Times New Roman"/>
          <w:sz w:val="20"/>
        </w:rPr>
        <w:t xml:space="preserve">”), a Statement of Eligibility of the Trustee on Form T-1 shall have been properly filed with the Commission and the relevant Base Indenture shall have been duly executed and delivered by the Company and all other parties thereto and duly qualified under the TIA; (vi) there has not occurred any change in law or further action by the Board of Directors of the Company (or an authorized committee thereof) affecting the validity or enforceability of such Security; and (vii) all Securities will be issued and sold in the manner contemplated by the Registration Statement and any applicable prospectus supplement. We have also assumed that none of the terms of any Security to be established after the date hereof, nor the issuance and delivery of such Security, nor the compliance by the Company with the terms of such Security will violate any applicable law or public policy or result in a violation of any provision of any instrument or agreement then binding upon the Company or any restriction imposed by any court or governmental body having jurisdiction over the Company.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such examination, our reliance upon the assumptions in this letter and our consideration of those questions of law we considered relevant, and subject to the limitations and qualifications in this letter, we are of the opinion that: </w:t>
      </w:r>
    </w:p>
    <w:p>
      <w:pPr>
        <w:pStyle w:val="TextBody"/>
        <w:bidi w:val="0"/>
        <w:spacing w:before="120" w:after="0"/>
        <w:jc w:val="left"/>
        <w:rPr>
          <w:rFonts w:ascii="Times New Roman" w:hAnsi="Times New Roman"/>
          <w:sz w:val="20"/>
        </w:rPr>
      </w:pPr>
      <w:r>
        <w:rPr>
          <w:rFonts w:ascii="Times New Roman" w:hAnsi="Times New Roman"/>
          <w:sz w:val="20"/>
        </w:rPr>
        <w:t xml:space="preserve">1. The Company is a corporation validly existing in good standing under the laws of the State of Delaware, with corporate power to own its properties and assets and to conduct its business as described in the Registration Statement and ATM Prospectus. </w:t>
      </w:r>
    </w:p>
    <w:p>
      <w:pPr>
        <w:pStyle w:val="TextBody"/>
        <w:bidi w:val="0"/>
        <w:spacing w:before="120" w:after="0"/>
        <w:jc w:val="left"/>
        <w:rPr>
          <w:rFonts w:ascii="Times New Roman" w:hAnsi="Times New Roman"/>
          <w:sz w:val="20"/>
        </w:rPr>
      </w:pPr>
      <w:r>
        <w:rPr>
          <w:rFonts w:ascii="Times New Roman" w:hAnsi="Times New Roman"/>
          <w:sz w:val="20"/>
        </w:rPr>
        <w:t xml:space="preserve">2. With respect to the ATM Shares, the issuance of the ATM Shares has been duly authorized by all necessary corporate action on the part of the Company and, upon payment for and delivery of the ATM Shares in accordance with the Sales Agreement, one or more Issuance Notices (as defined in the Sales Agreement) or any other written agreement entered into pursuant to the terms of the Sales Agreement, and the Corporate Approvals, the ATM Shares will be validly issued, fully paid and non-assessable. </w:t>
      </w:r>
    </w:p>
    <w:p>
      <w:pPr>
        <w:pStyle w:val="TextBody"/>
        <w:bidi w:val="0"/>
        <w:spacing w:before="120" w:after="0"/>
        <w:jc w:val="left"/>
        <w:rPr>
          <w:rFonts w:ascii="Times New Roman" w:hAnsi="Times New Roman"/>
          <w:sz w:val="20"/>
        </w:rPr>
      </w:pPr>
      <w:r>
        <w:rPr>
          <w:rFonts w:ascii="Times New Roman" w:hAnsi="Times New Roman"/>
          <w:sz w:val="20"/>
        </w:rPr>
        <w:t xml:space="preserve">3. With respect to an issuance of shares of Common Stock (other than the ATM Shares), when an issuance of Common Stock has been duly authorized by all necessary corporate action of the Company, and upon payment for and delivery of the Common Stock in an amount not less than the par value thereof and in the manner contemplated by the Registration Statement and/or the prospectus and applicable prospectus supplement(s) and by such corporate action, such shares of Common Stock will be validly issued , fully paid and non-assessable. </w:t>
      </w:r>
    </w:p>
    <w:p>
      <w:pPr>
        <w:pStyle w:val="TextBody"/>
        <w:bidi w:val="0"/>
        <w:spacing w:before="120" w:after="0"/>
        <w:jc w:val="left"/>
        <w:rPr>
          <w:rFonts w:ascii="Times New Roman" w:hAnsi="Times New Roman"/>
          <w:sz w:val="20"/>
        </w:rPr>
      </w:pPr>
      <w:r>
        <w:rPr>
          <w:rFonts w:ascii="Times New Roman" w:hAnsi="Times New Roman"/>
          <w:sz w:val="20"/>
        </w:rPr>
        <w:t xml:space="preserve">4. When a series of Preferred Stock has been duly established in accordance with the terms of the Company’s Organizational Documents, as may be duly amended, modified or replaced, and authorized by all necessary corporate action of the Company, and upon payment for and delivery of the Preferred Stock in an amount not less than the par value thereof and in the manner contemplated by the Registration Statement and/or the prospectus and applicable prospectus supplement(s) and by such corporate action, such shares of such series of Preferred Stock will be validly issued, fully paid and non-assessable.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362075" cy="3333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31"/>
                    <a:stretch>
                      <a:fillRect/>
                    </a:stretch>
                  </pic:blipFill>
                  <pic:spPr bwMode="auto">
                    <a:xfrm>
                      <a:off x="0" y="0"/>
                      <a:ext cx="1362075" cy="333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5. With respect to any series of Debt Securities offered under the Registration Statement (the “</w:t>
      </w:r>
      <w:r>
        <w:rPr>
          <w:rFonts w:ascii="Times New Roman" w:hAnsi="Times New Roman"/>
          <w:sz w:val="20"/>
          <w:u w:val="single"/>
        </w:rPr>
        <w:t>Offered Debt Securities</w:t>
      </w:r>
      <w:r>
        <w:rPr>
          <w:rFonts w:ascii="Times New Roman" w:hAnsi="Times New Roman"/>
          <w:sz w:val="20"/>
        </w:rPr>
        <w:t>”) when (i) the specific terms of the particular Offered Debt Securities have been duly established in accordance with the Base Indenture and applicable Supplemental Indenture Documents, (ii) the applicable Supplemental Indenture Documents to be entered into in connection with the issuance of any Offered Debt Securities have been duly authorized, executed and delivered by the Trustee and the Company and (iii) the Offered Debt Securities have been duly authorized, executed, authenticated, issued and delivered in accordance with the terms of the Base Indenture, as amended by the applicable Supplemental Indenture Documents, and the applicable underwriting or other agreement against payment therefor, such Offered Debt Securities will be legally valid and binding obligations of the Company, enforceable against the Company in accordance with their terms, except as may be limited by bankruptcy, insolvency, reorganization, moratorium or similar laws relating to or affecting creditors’ rights generally (including, without limitation, fraudulent conveyance laws) and by general principles of equity, including, without limitation, concepts of materiality, reasonableness, good faith and fair dealing and the possible unavailability of specific performance or injunctive relief, regardless of whether considered in a proceeding in equity or at law (collectively, the “</w:t>
      </w:r>
      <w:r>
        <w:rPr>
          <w:rFonts w:ascii="Times New Roman" w:hAnsi="Times New Roman"/>
          <w:sz w:val="20"/>
          <w:u w:val="single"/>
        </w:rPr>
        <w:t>Enforceability Exceptions</w:t>
      </w:r>
      <w:r>
        <w:rPr>
          <w:rFonts w:ascii="Times New Roman" w:hAnsi="Times New Roman"/>
          <w:sz w:val="20"/>
        </w:rPr>
        <w:t>”). We express no opinion as to the validity, legally binding effect or enforceability of the provisions relating to disclaimers, waivers, releases, indemnities, hold harmless provisions, exculpations, provisions for contribution and liquidated damages, and other provisions, however expressed, altering or eliminating the rights, liabilities or remedies a party otherwise would have, nor any provision having the effect of modifying the statute of limitations (collectively, the “</w:t>
      </w:r>
      <w:r>
        <w:rPr>
          <w:rFonts w:ascii="Times New Roman" w:hAnsi="Times New Roman"/>
          <w:sz w:val="20"/>
          <w:u w:val="single"/>
        </w:rPr>
        <w:t>Risk-Allocation Provisions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6. With respect to any Warrants offered under the Registration Statement (the “</w:t>
      </w:r>
      <w:r>
        <w:rPr>
          <w:rFonts w:ascii="Times New Roman" w:hAnsi="Times New Roman"/>
          <w:sz w:val="20"/>
          <w:u w:val="single"/>
        </w:rPr>
        <w:t>Offered Warrants</w:t>
      </w:r>
      <w:r>
        <w:rPr>
          <w:rFonts w:ascii="Times New Roman" w:hAnsi="Times New Roman"/>
          <w:sz w:val="20"/>
        </w:rPr>
        <w:t xml:space="preserve">”), when (i) the Common Stock, Preferred Stock or Debt Securities relating to such Offered Warrants have been duly authorized for issuance, (ii) any applicable Warrant Agreement has been duly authorized, executed and delivered by each party thereto and (iii) the Offered Warrants have been duly authorized, executed, issued and delivered in accordance with the terms of any applicable Warrant Agreement and the applicable underwriting or other agreement against payment therefor, such Offered Warrants will be legally valid and binding obligations of the Company, enforceable against the Company in accordance with their terms, except as may be limited by the Enforceability Exceptions; provided that we express no opinion as to the Risk-Allocation Provisions. </w:t>
      </w:r>
    </w:p>
    <w:p>
      <w:pPr>
        <w:pStyle w:val="TextBody"/>
        <w:bidi w:val="0"/>
        <w:spacing w:before="120" w:after="0"/>
        <w:jc w:val="left"/>
        <w:rPr>
          <w:rFonts w:ascii="Times New Roman" w:hAnsi="Times New Roman"/>
          <w:sz w:val="20"/>
        </w:rPr>
      </w:pPr>
      <w:r>
        <w:rPr>
          <w:rFonts w:ascii="Times New Roman" w:hAnsi="Times New Roman"/>
          <w:sz w:val="20"/>
        </w:rPr>
        <w:t>7. With respect to any Units offered under the Registration Statement (the “</w:t>
      </w:r>
      <w:r>
        <w:rPr>
          <w:rFonts w:ascii="Times New Roman" w:hAnsi="Times New Roman"/>
          <w:sz w:val="20"/>
          <w:u w:val="single"/>
        </w:rPr>
        <w:t>Offered Units</w:t>
      </w:r>
      <w:r>
        <w:rPr>
          <w:rFonts w:ascii="Times New Roman" w:hAnsi="Times New Roman"/>
          <w:sz w:val="20"/>
        </w:rPr>
        <w:t xml:space="preserve">”), when (i) the Common Stock, Preferred Stock, Debt Securities or Warrants, as applicable, relating to such Offered Units have been duly authorized for issuance, (ii) the applicable Unit Agreement has been duly authorized, executed and delivered by each party thereto and (iii) the Offered Units have been duly authorized, executed, issued and delivered in accordance with the terms of the applicable Unit Agreement and the applicable underwriting or other agreement against payment therefor, such Offered Units will be legally valid and binding obligations of the Company, enforceable against the Company in accordance with their respective terms, except as may be limited by the Enforceability Exceptions; provided that we express no opinion as to the Risk-Allocation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The law covered by this letter is limited to the present law of the State of New York and the current General Corporation Law of the State of Delaware. The law covered in paragraphs 5, 6 and 7 of this letter as to the enforceability of the Offered Debt Securities, the Offered Warrants and the Offered Units is limited to the present law of the State of New York. We express no opinion as to the laws of any other jurisdiction and no opinion regarding the statutes, administrative decisions, rules, regulations or requirements of any county, municipality, subdivision or local authority of any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362075" cy="3333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32"/>
                    <a:stretch>
                      <a:fillRect/>
                    </a:stretch>
                  </pic:blipFill>
                  <pic:spPr bwMode="auto">
                    <a:xfrm>
                      <a:off x="0" y="0"/>
                      <a:ext cx="1362075" cy="333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letter is being furnished in accordance with the requirements of Item 601(b)(5) of Regulation S-K promulgated under the Securities Act, and no opinion is expressed herein as to any matter pertaining to the contents of the Registration Statement, the base prospectus included in the Registration Statement, the ATM Prospectus or any applicable prospectus supplement, other than as expressly stated herein with respect to the Securities and ATM Shares. This letter is expressly limited to the matters set forth above, and we render no opinion, whether by implication or otherwise, as to any other matters. This letter speaks only as of the date hereof and we assume no obligation to update or supplement this letter to reflect any facts or circumstances that arise after the date hereof and come to our attention or any future changes in laws.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use of this letter as an exhibit to the Registration Statement and to the reference to this firm under the heading “Legal Matters” in the base prospectus and the ATM Prospectus constituting part of the Registration Statement. In giving such consent, we do not hereby admit that we are within the category of persons whose consent is required under Section 7 of the Securities Act or the rules or regulations of the Commission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Respectfully submitted,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O’Melveny &amp; Myers LLP</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p>
    <w:p>
      <w:pPr>
        <w:pStyle w:val="TextBody"/>
        <w:bidi w:val="0"/>
        <w:spacing w:before="0" w:after="0"/>
        <w:jc w:val="right"/>
        <w:rPr>
          <w:rFonts w:ascii="Times New Roman" w:hAnsi="Times New Roman"/>
          <w:b/>
          <w:sz w:val="20"/>
        </w:rPr>
      </w:pPr>
      <w:bookmarkStart w:id="36" w:name="d79008dex231.htm"/>
      <w:bookmarkStart w:id="37" w:name="ksd79008dex231"/>
      <w:bookmarkEnd w:id="36"/>
      <w:bookmarkEnd w:id="37"/>
      <w:r>
        <w:rPr>
          <w:rFonts w:ascii="Times New Roman" w:hAnsi="Times New Roman"/>
          <w:b/>
          <w:sz w:val="20"/>
        </w:rPr>
        <w:t xml:space="preserve">Exhibit 23.1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S-3 of our report dated March 19, 2026 relating to the financial statements of Eledon Pharmaceuticals, Inc., appearing in the Annual Report on Form 10-K of Eledon Pharmaceuticals, Inc. for the year ended December 31, 2025.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240" w:after="0"/>
        <w:jc w:val="left"/>
        <w:rPr>
          <w:rFonts w:ascii="Times New Roman" w:hAnsi="Times New Roman"/>
          <w:sz w:val="20"/>
        </w:rPr>
      </w:pPr>
      <w:r>
        <w:rPr>
          <w:rFonts w:ascii="Times New Roman" w:hAnsi="Times New Roman"/>
          <w:sz w:val="20"/>
        </w:rPr>
        <w:t xml:space="preserve">Costa Mesa, CA </w:t>
      </w:r>
    </w:p>
    <w:p>
      <w:pPr>
        <w:pStyle w:val="TextBody"/>
        <w:bidi w:val="0"/>
        <w:spacing w:before="0" w:after="0"/>
        <w:jc w:val="left"/>
        <w:rPr>
          <w:rFonts w:ascii="Times New Roman" w:hAnsi="Times New Roman"/>
          <w:sz w:val="20"/>
        </w:rPr>
      </w:pPr>
      <w:r>
        <w:rPr>
          <w:rFonts w:ascii="Times New Roman" w:hAnsi="Times New Roman"/>
          <w:sz w:val="20"/>
        </w:rPr>
        <w:t xml:space="preserve">May 1, 2026 </w:t>
      </w:r>
    </w:p>
    <w:p>
      <w:pPr>
        <w:pStyle w:val="TextBody"/>
        <w:bidi w:val="0"/>
        <w:spacing w:before="0" w:after="0"/>
        <w:jc w:val="right"/>
        <w:rPr>
          <w:rFonts w:ascii="Times New Roman" w:hAnsi="Times New Roman"/>
          <w:b/>
          <w:sz w:val="20"/>
        </w:rPr>
      </w:pPr>
      <w:bookmarkStart w:id="38" w:name="d79008dex232.htm"/>
      <w:bookmarkStart w:id="39" w:name="ksd79008dex232"/>
      <w:bookmarkEnd w:id="38"/>
      <w:bookmarkEnd w:id="39"/>
      <w:r>
        <w:rPr>
          <w:rFonts w:ascii="Times New Roman" w:hAnsi="Times New Roman"/>
          <w:b/>
          <w:sz w:val="20"/>
        </w:rPr>
        <w:t xml:space="preserve">Exhibit 23.2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S-3 of Eledon Pharmaceuticals, Inc. of our report dated March 20, 2025 (except for Note 9, as to which the date is August 14, 2025) relating to the consolidated balance sheet of Eledon Pharmaceuticals, Inc. as of December 31, 2024 and the consolidated statements of operations and comprehensive loss, convertible preferred stock and stockholders’ equity and cash flows appearing in the Annual Report on Form 10-K of Eledon Pharmaceuticals, Inc. for the year ended December 31, 2025, and to the reference to us under the heading “Experts” in the prospectus and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/s/ Crowe LLP </w:t>
      </w:r>
    </w:p>
    <w:p>
      <w:pPr>
        <w:pStyle w:val="TextBody"/>
        <w:bidi w:val="0"/>
        <w:spacing w:before="240" w:after="0"/>
        <w:jc w:val="left"/>
        <w:rPr>
          <w:rFonts w:ascii="Times New Roman" w:hAnsi="Times New Roman"/>
          <w:sz w:val="20"/>
        </w:rPr>
      </w:pPr>
      <w:r>
        <w:rPr>
          <w:rFonts w:ascii="Times New Roman" w:hAnsi="Times New Roman"/>
          <w:sz w:val="20"/>
        </w:rPr>
        <w:t xml:space="preserve">Los Angeles, California </w:t>
      </w:r>
    </w:p>
    <w:p>
      <w:pPr>
        <w:pStyle w:val="TextBody"/>
        <w:bidi w:val="0"/>
        <w:spacing w:before="0" w:after="0"/>
        <w:jc w:val="left"/>
        <w:rPr>
          <w:rFonts w:ascii="Times New Roman" w:hAnsi="Times New Roman"/>
          <w:sz w:val="20"/>
        </w:rPr>
      </w:pPr>
      <w:r>
        <w:rPr>
          <w:rFonts w:ascii="Times New Roman" w:hAnsi="Times New Roman"/>
          <w:sz w:val="20"/>
        </w:rPr>
        <w:t xml:space="preserve">May 1, 2026 </w:t>
      </w:r>
    </w:p>
    <w:p>
      <w:pPr>
        <w:pStyle w:val="Normal"/>
        <w:bidi w:val="0"/>
        <w:spacing w:before="0" w:after="0"/>
        <w:jc w:val="left"/>
        <w:rPr>
          <w:sz w:val="4"/>
          <w:szCs w:val="4"/>
        </w:rPr>
      </w:pPr>
      <w:r>
        <w:rPr>
          <w:sz w:val="4"/>
          <w:szCs w:val="4"/>
        </w:rPr>
      </w:r>
      <w:bookmarkStart w:id="40" w:name="d79008dexfilingfees.htm"/>
      <w:bookmarkStart w:id="41" w:name="ksd79008dexfilingfees"/>
      <w:bookmarkStart w:id="42" w:name="d79008dexfilingfees.htm"/>
      <w:bookmarkStart w:id="43" w:name="ksd79008dexfilingfees"/>
      <w:bookmarkEnd w:id="42"/>
      <w:bookmarkEnd w:id="43"/>
      <w:r>
        <w:br w:type="page"/>
      </w:r>
    </w:p>
    <w:tbl>
      <w:tblPr>
        <w:tblW w:w="3579" w:type="dxa"/>
        <w:jc w:val="left"/>
        <w:tblInd w:w="0" w:type="dxa"/>
        <w:tblLayout w:type="fixed"/>
        <w:tblCellMar>
          <w:top w:w="28" w:type="dxa"/>
          <w:left w:w="28" w:type="dxa"/>
          <w:bottom w:w="28" w:type="dxa"/>
          <w:right w:w="28" w:type="dxa"/>
        </w:tblCellMar>
      </w:tblPr>
      <w:tblGrid>
        <w:gridCol w:w="3425"/>
        <w:gridCol w:w="154"/>
      </w:tblGrid>
      <w:tr>
        <w:trPr/>
        <w:tc>
          <w:tcPr>
            <w:tcW w:w="357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5"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b/>
              </w:rPr>
            </w:pPr>
            <w:r>
              <w:rPr>
                <w:b/>
              </w:rPr>
              <w:t xml:space="preserve">Eledon Pharmaceuticals,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884" w:type="dxa"/>
        <w:jc w:val="left"/>
        <w:tblInd w:w="0" w:type="dxa"/>
        <w:tblLayout w:type="fixed"/>
        <w:tblCellMar>
          <w:top w:w="28" w:type="dxa"/>
          <w:left w:w="28" w:type="dxa"/>
          <w:bottom w:w="28" w:type="dxa"/>
          <w:right w:w="28" w:type="dxa"/>
        </w:tblCellMar>
      </w:tblPr>
      <w:tblGrid>
        <w:gridCol w:w="1126"/>
        <w:gridCol w:w="226"/>
        <w:gridCol w:w="1246"/>
        <w:gridCol w:w="102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2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88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Common Stock, par value $0.001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Preferred Stock, par value $0.001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Debt </w:t>
            </w:r>
          </w:p>
        </w:tc>
        <w:tc>
          <w:tcPr>
            <w:tcW w:w="102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$ 384,981,548.00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$ 53,165.95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88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Common Stock, par value $0.001 per share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333-282260 </w:t>
            </w:r>
          </w:p>
        </w:tc>
        <w:tc>
          <w:tcPr>
            <w:tcW w:w="1021" w:type="dxa"/>
            <w:tcBorders/>
            <w:shd w:fill="E7E7E2" w:val="clear"/>
            <w:vAlign w:val="center"/>
          </w:tcPr>
          <w:p>
            <w:pPr>
              <w:pStyle w:val="TableContents"/>
              <w:bidi w:val="0"/>
              <w:spacing w:before="0" w:after="283"/>
              <w:jc w:val="center"/>
              <w:rPr/>
            </w:pPr>
            <w:r>
              <w:rPr/>
              <w:t xml:space="preserve">10/02/2024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Preferred Stock, par value $0.001 per share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333-282260 </w:t>
            </w:r>
          </w:p>
        </w:tc>
        <w:tc>
          <w:tcPr>
            <w:tcW w:w="1021" w:type="dxa"/>
            <w:tcBorders/>
            <w:shd w:fill="E7E7E2" w:val="clear"/>
            <w:vAlign w:val="center"/>
          </w:tcPr>
          <w:p>
            <w:pPr>
              <w:pStyle w:val="TableContents"/>
              <w:bidi w:val="0"/>
              <w:spacing w:before="0" w:after="283"/>
              <w:jc w:val="center"/>
              <w:rPr/>
            </w:pPr>
            <w:r>
              <w:rPr/>
              <w:t xml:space="preserve">10/02/2024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Debt </w:t>
            </w:r>
          </w:p>
        </w:tc>
        <w:tc>
          <w:tcPr>
            <w:tcW w:w="102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333-282260 </w:t>
            </w:r>
          </w:p>
        </w:tc>
        <w:tc>
          <w:tcPr>
            <w:tcW w:w="1021" w:type="dxa"/>
            <w:tcBorders/>
            <w:shd w:fill="E7E7E2" w:val="clear"/>
            <w:vAlign w:val="center"/>
          </w:tcPr>
          <w:p>
            <w:pPr>
              <w:pStyle w:val="TableContents"/>
              <w:bidi w:val="0"/>
              <w:spacing w:before="0" w:after="283"/>
              <w:jc w:val="center"/>
              <w:rPr/>
            </w:pPr>
            <w:r>
              <w:rPr/>
              <w:t xml:space="preserve">10/02/2024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333-282260 </w:t>
            </w:r>
          </w:p>
        </w:tc>
        <w:tc>
          <w:tcPr>
            <w:tcW w:w="1021" w:type="dxa"/>
            <w:tcBorders/>
            <w:shd w:fill="E7E7E2" w:val="clear"/>
            <w:vAlign w:val="center"/>
          </w:tcPr>
          <w:p>
            <w:pPr>
              <w:pStyle w:val="TableContents"/>
              <w:bidi w:val="0"/>
              <w:spacing w:before="0" w:after="283"/>
              <w:jc w:val="center"/>
              <w:rPr/>
            </w:pPr>
            <w:r>
              <w:rPr/>
              <w:t xml:space="preserve">10/02/2024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333-282260 </w:t>
            </w:r>
          </w:p>
        </w:tc>
        <w:tc>
          <w:tcPr>
            <w:tcW w:w="1021" w:type="dxa"/>
            <w:tcBorders/>
            <w:shd w:fill="E7E7E2" w:val="clear"/>
            <w:vAlign w:val="center"/>
          </w:tcPr>
          <w:p>
            <w:pPr>
              <w:pStyle w:val="TableContents"/>
              <w:bidi w:val="0"/>
              <w:spacing w:before="0" w:after="283"/>
              <w:jc w:val="center"/>
              <w:rPr/>
            </w:pPr>
            <w:r>
              <w:rPr/>
              <w:t xml:space="preserve">10/02/2024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center"/>
              <w:rPr/>
            </w:pPr>
            <w:r>
              <w:rPr/>
              <w:t xml:space="preserve">2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$ 115,018,452.00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333-282260 </w:t>
            </w:r>
          </w:p>
        </w:tc>
        <w:tc>
          <w:tcPr>
            <w:tcW w:w="1021" w:type="dxa"/>
            <w:tcBorders/>
            <w:shd w:fill="E7E7E2" w:val="clear"/>
            <w:vAlign w:val="center"/>
          </w:tcPr>
          <w:p>
            <w:pPr>
              <w:pStyle w:val="TableContents"/>
              <w:bidi w:val="0"/>
              <w:spacing w:before="0" w:after="283"/>
              <w:jc w:val="center"/>
              <w:rPr/>
            </w:pPr>
            <w:r>
              <w:rPr/>
              <w:t xml:space="preserve">10/02/2024 </w:t>
            </w:r>
          </w:p>
        </w:tc>
        <w:tc>
          <w:tcPr>
            <w:tcW w:w="1321" w:type="dxa"/>
            <w:tcBorders/>
            <w:shd w:fill="E7E7E2" w:val="clear"/>
            <w:vAlign w:val="center"/>
          </w:tcPr>
          <w:p>
            <w:pPr>
              <w:pStyle w:val="TableContents"/>
              <w:bidi w:val="0"/>
              <w:spacing w:before="0" w:after="283"/>
              <w:jc w:val="right"/>
              <w:rPr/>
            </w:pPr>
            <w:r>
              <w:rPr/>
              <w:t xml:space="preserve">$ 16,976.72 </w:t>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44" w:name="MaxAggtOfferingPrice"/>
            <w:bookmarkEnd w:id="44"/>
            <w:r>
              <w:rPr/>
              <w:t xml:space="preserve">$ 500,000,000.00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45" w:name="TotalFeeAmt"/>
            <w:bookmarkEnd w:id="45"/>
            <w:r>
              <w:rPr/>
              <w:t xml:space="preserve">$ 53,165.95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6" w:name="TotalPreviouslyPaidAmt"/>
            <w:bookmarkEnd w:id="4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7" w:name="TotalOffsetAmt"/>
            <w:bookmarkEnd w:id="4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8" w:name="NetFeeAmt"/>
            <w:bookmarkEnd w:id="48"/>
            <w:r>
              <w:rPr/>
              <w:t xml:space="preserve">$ 53,165.95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7"/>
        <w:gridCol w:w="1299"/>
        <w:gridCol w:w="8709"/>
      </w:tblGrid>
      <w:tr>
        <w:trPr/>
        <w:tc>
          <w:tcPr>
            <w:tcW w:w="197"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8" w:type="dxa"/>
            <w:gridSpan w:val="2"/>
            <w:tcBorders/>
            <w:vAlign w:val="center"/>
          </w:tcPr>
          <w:p>
            <w:pPr>
              <w:pStyle w:val="TableContents"/>
              <w:bidi w:val="0"/>
              <w:spacing w:before="0" w:after="283"/>
              <w:jc w:val="left"/>
              <w:rPr/>
            </w:pPr>
            <w:r>
              <w:rPr/>
              <w:t xml:space="preserve">(1) There is being registered hereunder an unspecified number of shares of (a) common stock, (b) preferred stock, (c) debt securities, (d) warrants to purchase common stock, preferred stock or debt securities of the Registrant, and (e) units, consisting of some or all of these securities in any combination, as may be sold from time to time by the Registrant. Any securities registered hereunder may be sold separately or as units with other securities registered hereunder. There is also being registered hereunder an unspecified number of shares of common stock, preferred stock and debt securities as shall be issuable upon conversion, exchange or exercise of any securities that provide for such issuance. In no event will the aggregate offering price of all types of securities issued by the Registrant pursuant to this registration statement exceed $500,000,000. Pursuant to Rule 416(a) under the Securities Act of 1933, as amended (the "Securities Act"), this registration statement also covers any additional securities that may be offered or issued in connection with any stock split, stock dividend or similar transaction. The proposed maximum offering price per share and proposed maximum aggregate offering price for each type of security will be determined from time to time by the Registrant in connection with the issuance by the Registrant of the securities registered hereunder and is not specified as to each class of security pursuant to Instruction 2.A.iii(b) of Item 16(b) of Form S-3 under the Securities Act. The proposed maximum offering price per share and proposed maximum aggregate offering price for each type of security will be determined from time to time by the Registrant in connection with the issuance by the Registrant of the securities registered hereunder and is not specified as to each class of security pursuant to Instruction 2.A.iii(b) of Item 16(b) of Form S-3 under the Securities Act. (2) Pursuant to Rule 415(a)(6) under the Securities Act, the securities registered pursuant to this registration statement include $115,018,452 of unsold securities (the "Unsold Securities") previously registered and offered pursuant to the Registration Statement on Form S-3 (File No. 333-282260), initially filed with the U.S. Securities and Exchange Commission on September 20, 2024 and declared effective on October 2, 2024 (the "Prior Registration Statement"). In connection with the filing of the Prior Registration Statement, the registrant paid a filing fee of $16,976.72 associated with the offering of the Unsold Securities (based on the filing fee rate in effect at the time of the filing of the Prior Registration Statement). The filing fee associated with the offering of the Unsold Securities is hereby carried forward to be applied to the Unsold Securities registered hereunder, and no additional filing fee is due with respect to the Unsold Securities in connection with the filing of this registration statement. Pursuant to Rule 415(a)(6), the offering of securities under the Prior Registration Statement will be deemed terminated as of the date of effectiveness of this registration statement.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197"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8" w:type="dxa"/>
            <w:gridSpan w:val="2"/>
            <w:tcBorders/>
            <w:vAlign w:val="center"/>
          </w:tcPr>
          <w:p>
            <w:pPr>
              <w:pStyle w:val="TableContents"/>
              <w:bidi w:val="0"/>
              <w:spacing w:before="0" w:after="283"/>
              <w:jc w:val="left"/>
              <w:rPr/>
            </w:pPr>
            <w:r>
              <w:rPr/>
              <w:t xml:space="preserve">(1) There is being registered hereunder an unspecified number of shares of (a) common stock, (b) preferred stock, (c) debt securities, (d) warrants to purchase common stock, preferred stock or debt securities of the Registrant, and (e) units, consisting of some or all of these securities in any combination, as may be sold from time to time by the Registrant. Any securities registered hereunder may be sold separately or as units with other securities registered hereunder. There is also being registered hereunder an unspecified number of shares of common stock, preferred stock and debt securities as shall be issuable upon conversion, exchange or exercise of any securities that provide for such issuance. In no event will the aggregate offering price of all types of securities issued by the Registrant pursuant to this registration statement exceed $500,000,000. Pursuant to Rule 416(a) under the Securities Act of 1933, as amended (the "Securities Act"), this registration statement also covers any additional securities that may be offered or issued in connection with any stock split, stock dividend or similar transaction. The proposed maximum offering price per share and proposed maximum aggregate offering price for each type of security will be determined from time to time by the Registrant in connection with the issuance by the Registrant of the securities registered hereunder and is not specified as to each class of security pursuant to Instruction 2.A.iii(b) of Item 16(b) of Form S-3 under the Securities Act. The proposed maximum offering price per share and proposed maximum aggregate offering price for each type of security will be determined from time to time by the Registrant in connection with the issuance by the Registrant of the securities registered hereunder and is not specified as to each class of security pursuant to Instruction 2.A.iii(b) of Item 16(b) of Form S-3 under the Securities Act. (2) Pursuant to Rule 415(a)(6) under the Securities Act, the securities registered pursuant to this registration statement include $115,018,452 of unsold securities (the "Unsold Securities") previously registered and offered pursuant to the Registration Statement on Form S-3 (File No. 333-282260), initially filed with the U.S. Securities and Exchange Commission on September 20, 2024 and declared effective on October 2, 2024 (the "Prior Registration Statement"). In connection with the filing of the Prior Registration Statement, the registrant paid a filing fee of $16,976.72 associated with the offering of the Unsold Securities (based on the filing fee rate in effect at the time of the filing of the Prior Registration Statement). The filing fee associated with the offering of the Unsold Securities is hereby carried forward to be applied to the Unsold Securities registered hereunder, and no additional filing fee is due with respect to the Unsold Securities in connection with the filing of this registration statement. Pursuant to Rule 415(a)(6), the offering of securities under the Prior Registration Statement will be deemed terminated as of the date of effectiveness of this registration statement.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404281/000119312526116164/eldn-20251231.htm" TargetMode="External"/><Relationship Id="rId4" Type="http://schemas.openxmlformats.org/officeDocument/2006/relationships/hyperlink" Target="http://www.sec.gov/Archives/edgar/data/../../../ix?doc=/Archives/edgar/data/1404281/000119312526197732/eldn-20260430.htm" TargetMode="External"/><Relationship Id="rId5" Type="http://schemas.openxmlformats.org/officeDocument/2006/relationships/hyperlink" Target="http://www.sec.gov/Archives/edgar/data/../../../ix?doc=/Archives/edgar/data/0001404281/000119312526000968/eldn-20251230.htm" TargetMode="External"/><Relationship Id="rId6" Type="http://schemas.openxmlformats.org/officeDocument/2006/relationships/hyperlink" Target="http://www.sec.gov/Archives/edgar/data/1404281/000119312526116164/eldn-ex4_8.htm" TargetMode="External"/><Relationship Id="rId7" Type="http://schemas.openxmlformats.org/officeDocument/2006/relationships/hyperlink" Target="http://www.sec.gov/Archives/edgar/data/../../../ix?doc=/Archives/edgar/data/0001404281/000119312526116164/eldn-20251231.htm" TargetMode="External"/><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hyperlink" Target="http://www.sec.gov/Archives/edgar/data/../../../ix?doc=/Archives/edgar/data/0001404281/000119312526116164/eldn-20251231.htm" TargetMode="External"/><Relationship Id="rId11" Type="http://schemas.openxmlformats.org/officeDocument/2006/relationships/hyperlink" Target="http://www.sec.gov/Archives/edgar/data/../../../ix?doc=/Archives/edgar/data/1404281/000119312526197732/eldn-20260430.htm" TargetMode="External"/><Relationship Id="rId12" Type="http://schemas.openxmlformats.org/officeDocument/2006/relationships/hyperlink" Target="http://www.sec.gov/Archives/edgar/data/../../../ix?doc=/Archives/edgar/data/0001404281/000119312526000968/eldn-20251230.htm" TargetMode="External"/><Relationship Id="rId13" Type="http://schemas.openxmlformats.org/officeDocument/2006/relationships/hyperlink" Target="http://www.sec.gov/Archives/edgar/data/1404281/000119312526116164/eldn-ex4_8.htm" TargetMode="External"/><Relationship Id="rId14" Type="http://schemas.openxmlformats.org/officeDocument/2006/relationships/hyperlink" Target="http://www.sec.gov/Archives/edgar/data/../../../ix?doc=/Archives/edgar/data/0001404281/000119312526116164/eldn-20251231.htm" TargetMode="External"/><Relationship Id="rId15" Type="http://schemas.openxmlformats.org/officeDocument/2006/relationships/image" Target="media/image1.jpeg"/><Relationship Id="rId16" Type="http://schemas.openxmlformats.org/officeDocument/2006/relationships/hyperlink" Target="http://www.sec.gov/Archives/edgar/data/1404281/000119312524222880/d893946dex12.htm" TargetMode="External"/><Relationship Id="rId17" Type="http://schemas.openxmlformats.org/officeDocument/2006/relationships/hyperlink" Target="http://www.sec.gov/Archives/edgar/data/1404281/000119312514354857/d793658dex31.htm" TargetMode="External"/><Relationship Id="rId18" Type="http://schemas.openxmlformats.org/officeDocument/2006/relationships/hyperlink" Target="http://www.sec.gov/Archives/edgar/data/1404281/000119312517170677/d393884dex31.htm" TargetMode="External"/><Relationship Id="rId19" Type="http://schemas.openxmlformats.org/officeDocument/2006/relationships/hyperlink" Target="http://www.sec.gov/Archives/edgar/data/1404281/000119312517170677/d393884dex32.htm" TargetMode="External"/><Relationship Id="rId20" Type="http://schemas.openxmlformats.org/officeDocument/2006/relationships/hyperlink" Target="http://www.sec.gov/Archives/edgar/data/1404281/000119312520264806/d18987dex31.htm" TargetMode="External"/><Relationship Id="rId21" Type="http://schemas.openxmlformats.org/officeDocument/2006/relationships/hyperlink" Target="http://www.sec.gov/Archives/edgar/data/1404281/000110465921000921/tm211620d1_ex3-1.htm" TargetMode="External"/><Relationship Id="rId22" Type="http://schemas.openxmlformats.org/officeDocument/2006/relationships/hyperlink" Target="http://www.sec.gov/Archives/edgar/data/1404281/000095017025085588/eldn-ex3_1.htm" TargetMode="External"/><Relationship Id="rId23" Type="http://schemas.openxmlformats.org/officeDocument/2006/relationships/hyperlink" Target="http://www.sec.gov/Archives/edgar/data/1404281/000095017025085588/eldn-ex3_2.htm" TargetMode="External"/><Relationship Id="rId24" Type="http://schemas.openxmlformats.org/officeDocument/2006/relationships/hyperlink" Target="http://www.sec.gov/Archives/edgar/data/1404281/000110465921000921/tm211620d1_ex3-2.htm" TargetMode="External"/><Relationship Id="rId25" Type="http://schemas.openxmlformats.org/officeDocument/2006/relationships/hyperlink" Target="http://www.sec.gov/Archives/edgar/data/1404281/000119312520041903/d888744dex31.htm" TargetMode="External"/><Relationship Id="rId26" Type="http://schemas.openxmlformats.org/officeDocument/2006/relationships/hyperlink" Target="http://www.sec.gov/Archives/edgar/data/1404281/000119312520246314/d26397dex31.htm" TargetMode="External"/><Relationship Id="rId27" Type="http://schemas.openxmlformats.org/officeDocument/2006/relationships/hyperlink" Target="http://www.sec.gov/Archives/edgar/data/1404281/000119312517211880/d406180dex41.htm" TargetMode="External"/><Relationship Id="rId28" Type="http://schemas.openxmlformats.org/officeDocument/2006/relationships/image" Target="media/image4.jpeg"/><Relationship Id="rId29" Type="http://schemas.openxmlformats.org/officeDocument/2006/relationships/image" Target="media/image4.jpeg"/><Relationship Id="rId30" Type="http://schemas.openxmlformats.org/officeDocument/2006/relationships/image" Target="media/image4.jpeg"/><Relationship Id="rId31" Type="http://schemas.openxmlformats.org/officeDocument/2006/relationships/image" Target="media/image4.jpeg"/><Relationship Id="rId32" Type="http://schemas.openxmlformats.org/officeDocument/2006/relationships/image" Target="media/image4.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141</Pages>
  <Words>71993</Words>
  <Characters>371783</Characters>
  <CharactersWithSpaces>445151</CharactersWithSpaces>
  <Paragraphs>4914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EX-23.2</dc:title>
</cp:coreProperties>
</file>