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205105</wp:posOffset>
            </wp:positionH>
            <wp:positionV relativeFrom="page">
              <wp:posOffset>170815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187325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58420</wp:posOffset>
            </wp:positionV>
            <wp:extent cx="1751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73660</wp:posOffset>
            </wp:positionV>
            <wp:extent cx="17519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540" w:hanging="537"/>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2020</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58" w:lineRule="exact"/>
        <w:rPr>
          <w:sz w:val="24"/>
          <w:szCs w:val="24"/>
          <w:color w:val="auto"/>
        </w:rPr>
      </w:pPr>
    </w:p>
    <w:p>
      <w:pPr>
        <w:ind w:left="540" w:hanging="537"/>
        <w:spacing w:after="0"/>
        <w:tabs>
          <w:tab w:leader="none" w:pos="5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97" w:lineRule="exact"/>
        <w:rPr>
          <w:sz w:val="24"/>
          <w:szCs w:val="24"/>
          <w:color w:val="auto"/>
        </w:rPr>
      </w:pPr>
    </w:p>
    <w:p>
      <w:pPr>
        <w:ind w:left="3720"/>
        <w:spacing w:after="0"/>
        <w:tabs>
          <w:tab w:leader="none" w:pos="6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-1905</wp:posOffset>
            </wp:positionV>
            <wp:extent cx="1137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001-36620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71120</wp:posOffset>
            </wp:positionV>
            <wp:extent cx="1751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ELEDON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67945</wp:posOffset>
            </wp:positionV>
            <wp:extent cx="175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150" w:lineRule="exact"/>
        <w:rPr>
          <w:sz w:val="24"/>
          <w:szCs w:val="24"/>
          <w:color w:val="auto"/>
        </w:rPr>
      </w:pPr>
    </w:p>
    <w:tbl>
      <w:tblPr>
        <w:tblLayout w:type="fixed"/>
        <w:tblInd w:w="2020" w:type="dxa"/>
        <w:tblCellMar>
          <w:top w:w="0" w:type="dxa"/>
          <w:left w:w="0" w:type="dxa"/>
          <w:bottom w:w="0" w:type="dxa"/>
          <w:right w:w="0" w:type="dxa"/>
        </w:tblCellMar>
      </w:tblPr>
      <w:tr>
        <w:trPr>
          <w:trHeight w:val="138"/>
        </w:trPr>
        <w:tc>
          <w:tcPr>
            <w:tcW w:w="3760" w:type="dxa"/>
            <w:vAlign w:val="bottom"/>
          </w:tcPr>
          <w:p>
            <w:pPr>
              <w:jc w:val="center"/>
              <w:ind w:right="2100"/>
              <w:spacing w:after="0"/>
              <w:rPr>
                <w:sz w:val="20"/>
                <w:szCs w:val="20"/>
                <w:color w:val="auto"/>
              </w:rPr>
            </w:pPr>
            <w:r>
              <w:rPr>
                <w:rFonts w:ascii="Arial" w:cs="Arial" w:eastAsia="Arial" w:hAnsi="Arial"/>
                <w:sz w:val="12"/>
                <w:szCs w:val="12"/>
                <w:b w:val="1"/>
                <w:bCs w:val="1"/>
                <w:color w:val="auto"/>
                <w:w w:val="91"/>
              </w:rPr>
              <w:t>Delaware</w:t>
            </w:r>
          </w:p>
        </w:tc>
        <w:tc>
          <w:tcPr>
            <w:tcW w:w="3120" w:type="dxa"/>
            <w:vAlign w:val="bottom"/>
          </w:tcPr>
          <w:p>
            <w:pPr>
              <w:jc w:val="center"/>
              <w:ind w:left="2120"/>
              <w:spacing w:after="0"/>
              <w:rPr>
                <w:sz w:val="20"/>
                <w:szCs w:val="20"/>
                <w:color w:val="auto"/>
              </w:rPr>
            </w:pPr>
            <w:r>
              <w:rPr>
                <w:rFonts w:ascii="Arial" w:cs="Arial" w:eastAsia="Arial" w:hAnsi="Arial"/>
                <w:sz w:val="12"/>
                <w:szCs w:val="12"/>
                <w:b w:val="1"/>
                <w:bCs w:val="1"/>
                <w:color w:val="auto"/>
                <w:w w:val="90"/>
              </w:rPr>
              <w:t>20-1000967</w:t>
            </w:r>
          </w:p>
        </w:tc>
      </w:tr>
      <w:tr>
        <w:trPr>
          <w:trHeight w:val="129"/>
        </w:trPr>
        <w:tc>
          <w:tcPr>
            <w:tcW w:w="3760" w:type="dxa"/>
            <w:vAlign w:val="bottom"/>
          </w:tcPr>
          <w:p>
            <w:pPr>
              <w:jc w:val="center"/>
              <w:ind w:right="2120"/>
              <w:spacing w:after="0" w:line="129" w:lineRule="exact"/>
              <w:rPr>
                <w:sz w:val="20"/>
                <w:szCs w:val="20"/>
                <w:color w:val="auto"/>
              </w:rPr>
            </w:pPr>
            <w:r>
              <w:rPr>
                <w:rFonts w:ascii="Arial" w:cs="Arial" w:eastAsia="Arial" w:hAnsi="Arial"/>
                <w:sz w:val="12"/>
                <w:szCs w:val="12"/>
                <w:b w:val="1"/>
                <w:bCs w:val="1"/>
                <w:color w:val="auto"/>
                <w:w w:val="91"/>
              </w:rPr>
              <w:t>(State or other jurisdiction of</w:t>
            </w:r>
          </w:p>
        </w:tc>
        <w:tc>
          <w:tcPr>
            <w:tcW w:w="3120" w:type="dxa"/>
            <w:vAlign w:val="bottom"/>
          </w:tcPr>
          <w:p>
            <w:pPr>
              <w:jc w:val="center"/>
              <w:ind w:left="2120"/>
              <w:spacing w:after="0" w:line="129" w:lineRule="exact"/>
              <w:rPr>
                <w:sz w:val="20"/>
                <w:szCs w:val="20"/>
                <w:color w:val="auto"/>
              </w:rPr>
            </w:pPr>
            <w:r>
              <w:rPr>
                <w:rFonts w:ascii="Arial" w:cs="Arial" w:eastAsia="Arial" w:hAnsi="Arial"/>
                <w:sz w:val="12"/>
                <w:szCs w:val="12"/>
                <w:b w:val="1"/>
                <w:bCs w:val="1"/>
                <w:color w:val="auto"/>
                <w:w w:val="93"/>
              </w:rPr>
              <w:t>(I.R.S. Employer</w:t>
            </w:r>
          </w:p>
        </w:tc>
      </w:tr>
      <w:tr>
        <w:trPr>
          <w:trHeight w:val="157"/>
        </w:trPr>
        <w:tc>
          <w:tcPr>
            <w:tcW w:w="3760" w:type="dxa"/>
            <w:vAlign w:val="bottom"/>
          </w:tcPr>
          <w:p>
            <w:pPr>
              <w:jc w:val="center"/>
              <w:ind w:right="2120"/>
              <w:spacing w:after="0"/>
              <w:rPr>
                <w:sz w:val="20"/>
                <w:szCs w:val="20"/>
                <w:color w:val="auto"/>
              </w:rPr>
            </w:pPr>
            <w:r>
              <w:rPr>
                <w:rFonts w:ascii="Arial" w:cs="Arial" w:eastAsia="Arial" w:hAnsi="Arial"/>
                <w:sz w:val="12"/>
                <w:szCs w:val="12"/>
                <w:b w:val="1"/>
                <w:bCs w:val="1"/>
                <w:color w:val="auto"/>
                <w:w w:val="92"/>
              </w:rPr>
              <w:t>incorporation or organization)</w:t>
            </w:r>
          </w:p>
        </w:tc>
        <w:tc>
          <w:tcPr>
            <w:tcW w:w="3120" w:type="dxa"/>
            <w:vAlign w:val="bottom"/>
          </w:tcPr>
          <w:p>
            <w:pPr>
              <w:jc w:val="center"/>
              <w:ind w:left="2120"/>
              <w:spacing w:after="0"/>
              <w:rPr>
                <w:sz w:val="20"/>
                <w:szCs w:val="20"/>
                <w:color w:val="auto"/>
              </w:rPr>
            </w:pPr>
            <w:r>
              <w:rPr>
                <w:rFonts w:ascii="Arial" w:cs="Arial" w:eastAsia="Arial" w:hAnsi="Arial"/>
                <w:sz w:val="12"/>
                <w:szCs w:val="12"/>
                <w:b w:val="1"/>
                <w:bCs w:val="1"/>
                <w:color w:val="auto"/>
                <w:w w:val="92"/>
              </w:rPr>
              <w:t>Identification No.)</w:t>
            </w:r>
          </w:p>
        </w:tc>
      </w:tr>
    </w:tbl>
    <w:p>
      <w:pPr>
        <w:spacing w:after="0" w:line="26" w:lineRule="exact"/>
        <w:rPr>
          <w:sz w:val="24"/>
          <w:szCs w:val="24"/>
          <w:color w:val="auto"/>
        </w:rPr>
      </w:pPr>
    </w:p>
    <w:tbl>
      <w:tblPr>
        <w:tblLayout w:type="fixed"/>
        <w:tblInd w:w="1660" w:type="dxa"/>
        <w:tblCellMar>
          <w:top w:w="0" w:type="dxa"/>
          <w:left w:w="0" w:type="dxa"/>
          <w:bottom w:w="0" w:type="dxa"/>
          <w:right w:w="0" w:type="dxa"/>
        </w:tblCellMar>
      </w:tblPr>
      <w:tr>
        <w:trPr>
          <w:trHeight w:val="161"/>
        </w:trPr>
        <w:tc>
          <w:tcPr>
            <w:tcW w:w="4420" w:type="dxa"/>
            <w:vAlign w:val="bottom"/>
          </w:tcPr>
          <w:p>
            <w:pPr>
              <w:jc w:val="center"/>
              <w:ind w:right="2054"/>
              <w:spacing w:after="0"/>
              <w:rPr>
                <w:sz w:val="20"/>
                <w:szCs w:val="20"/>
                <w:color w:val="auto"/>
              </w:rPr>
            </w:pPr>
            <w:r>
              <w:rPr>
                <w:rFonts w:ascii="Arial" w:cs="Arial" w:eastAsia="Arial" w:hAnsi="Arial"/>
                <w:sz w:val="14"/>
                <w:szCs w:val="14"/>
                <w:b w:val="1"/>
                <w:bCs w:val="1"/>
                <w:color w:val="auto"/>
                <w:w w:val="90"/>
              </w:rPr>
              <w:t>19900 MacArthur Boulevard, Suite 550</w:t>
            </w:r>
          </w:p>
        </w:tc>
        <w:tc>
          <w:tcPr>
            <w:tcW w:w="26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92612</w:t>
            </w:r>
          </w:p>
        </w:tc>
        <w:tc>
          <w:tcPr>
            <w:tcW w:w="0" w:type="dxa"/>
            <w:vAlign w:val="bottom"/>
          </w:tcPr>
          <w:p>
            <w:pPr>
              <w:spacing w:after="0"/>
              <w:rPr>
                <w:sz w:val="1"/>
                <w:szCs w:val="1"/>
                <w:color w:val="auto"/>
              </w:rPr>
            </w:pPr>
          </w:p>
        </w:tc>
      </w:tr>
      <w:tr>
        <w:trPr>
          <w:trHeight w:val="146"/>
        </w:trPr>
        <w:tc>
          <w:tcPr>
            <w:tcW w:w="4420" w:type="dxa"/>
            <w:vAlign w:val="bottom"/>
          </w:tcPr>
          <w:p>
            <w:pPr>
              <w:jc w:val="center"/>
              <w:ind w:right="2054"/>
              <w:spacing w:after="0" w:line="146" w:lineRule="exact"/>
              <w:rPr>
                <w:sz w:val="20"/>
                <w:szCs w:val="20"/>
                <w:color w:val="auto"/>
              </w:rPr>
            </w:pPr>
            <w:r>
              <w:rPr>
                <w:rFonts w:ascii="Arial" w:cs="Arial" w:eastAsia="Arial" w:hAnsi="Arial"/>
                <w:sz w:val="14"/>
                <w:szCs w:val="14"/>
                <w:b w:val="1"/>
                <w:bCs w:val="1"/>
                <w:color w:val="auto"/>
                <w:w w:val="92"/>
              </w:rPr>
              <w:t>Irvine, California</w:t>
            </w: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420" w:type="dxa"/>
            <w:vAlign w:val="bottom"/>
          </w:tcPr>
          <w:p>
            <w:pPr>
              <w:jc w:val="center"/>
              <w:ind w:right="2054"/>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620" w:type="dxa"/>
            <w:vAlign w:val="bottom"/>
          </w:tcPr>
          <w:p>
            <w:pPr>
              <w:jc w:val="center"/>
              <w:ind w:left="2036"/>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(949) 238-8090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3980" w:type="dxa"/>
            <w:vAlign w:val="bottom"/>
          </w:tcPr>
          <w:p>
            <w:pPr>
              <w:jc w:val="center"/>
              <w:spacing w:after="0"/>
              <w:rPr>
                <w:sz w:val="20"/>
                <w:szCs w:val="20"/>
                <w:color w:val="auto"/>
              </w:rPr>
            </w:pPr>
            <w:r>
              <w:rPr>
                <w:rFonts w:ascii="Arial" w:cs="Arial" w:eastAsia="Arial" w:hAnsi="Arial"/>
                <w:sz w:val="12"/>
                <w:szCs w:val="12"/>
                <w:b w:val="1"/>
                <w:bCs w:val="1"/>
                <w:color w:val="auto"/>
                <w:w w:val="90"/>
              </w:rPr>
              <w:t>Title of Class</w:t>
            </w:r>
          </w:p>
        </w:tc>
        <w:tc>
          <w:tcPr>
            <w:tcW w:w="30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0"/>
              </w:rPr>
              <w:t>______Trading Symbol(s)_____</w:t>
            </w:r>
          </w:p>
        </w:tc>
        <w:tc>
          <w:tcPr>
            <w:tcW w:w="4260" w:type="dxa"/>
            <w:vAlign w:val="bottom"/>
          </w:tcPr>
          <w:p>
            <w:pPr>
              <w:jc w:val="center"/>
              <w:spacing w:after="0"/>
              <w:rPr>
                <w:sz w:val="20"/>
                <w:szCs w:val="20"/>
                <w:color w:val="auto"/>
              </w:rPr>
            </w:pPr>
            <w:r>
              <w:rPr>
                <w:rFonts w:ascii="Arial" w:cs="Arial" w:eastAsia="Arial" w:hAnsi="Arial"/>
                <w:sz w:val="12"/>
                <w:szCs w:val="12"/>
                <w:b w:val="1"/>
                <w:bCs w:val="1"/>
                <w:color w:val="auto"/>
                <w:w w:val="89"/>
              </w:rPr>
              <w:t>Name of Exchange on Which Registered</w:t>
            </w:r>
          </w:p>
        </w:tc>
      </w:tr>
      <w:tr>
        <w:trPr>
          <w:trHeight w:val="143"/>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$0.001 par value</w:t>
            </w:r>
          </w:p>
        </w:tc>
        <w:tc>
          <w:tcPr>
            <w:tcW w:w="1040" w:type="dxa"/>
            <w:vAlign w:val="bottom"/>
          </w:tcPr>
          <w:p>
            <w:pPr>
              <w:spacing w:after="0"/>
              <w:rPr>
                <w:sz w:val="12"/>
                <w:szCs w:val="12"/>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ELDN</w:t>
            </w:r>
          </w:p>
        </w:tc>
        <w:tc>
          <w:tcPr>
            <w:tcW w:w="1000" w:type="dxa"/>
            <w:vAlign w:val="bottom"/>
          </w:tcPr>
          <w:p>
            <w:pPr>
              <w:spacing w:after="0"/>
              <w:rPr>
                <w:sz w:val="12"/>
                <w:szCs w:val="12"/>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Nasdaq Capital Market</w:t>
            </w: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66040</wp:posOffset>
            </wp:positionV>
            <wp:extent cx="175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p>
      <w:pPr>
        <w:spacing w:after="0" w:line="180" w:lineRule="exact"/>
        <w:rPr>
          <w:sz w:val="24"/>
          <w:szCs w:val="24"/>
          <w:color w:val="auto"/>
        </w:rPr>
      </w:pPr>
    </w:p>
    <w:p>
      <w:pPr>
        <w:ind w:left="540"/>
        <w:spacing w:after="0"/>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9" w:lineRule="exact"/>
        <w:rPr>
          <w:sz w:val="24"/>
          <w:szCs w:val="24"/>
          <w:color w:val="auto"/>
        </w:rPr>
      </w:pPr>
    </w:p>
    <w:p>
      <w:pPr>
        <w:sectPr>
          <w:pgSz w:w="11900" w:h="16838" w:orient="portrait"/>
          <w:cols w:equalWidth="0" w:num="5">
            <w:col w:w="6200" w:space="120"/>
            <w:col w:w="160" w:space="60"/>
            <w:col w:w="120" w:space="160"/>
            <w:col w:w="140" w:space="60"/>
            <w:col w:w="4220"/>
          </w:cols>
          <w:pgMar w:left="320" w:top="322" w:right="339" w:bottom="1440" w:gutter="0" w:footer="0" w:header="0"/>
          <w:type w:val="continuous"/>
        </w:sectPr>
      </w:pPr>
    </w:p>
    <w:p>
      <w:pPr>
        <w:spacing w:after="0" w:line="42" w:lineRule="exact"/>
        <w:rPr>
          <w:sz w:val="24"/>
          <w:szCs w:val="24"/>
          <w:color w:val="auto"/>
        </w:rPr>
      </w:pPr>
    </w:p>
    <w:p>
      <w:pPr>
        <w:ind w:left="54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5">
            <w:col w:w="6300" w:space="120"/>
            <w:col w:w="180" w:space="60"/>
            <w:col w:w="120" w:space="140"/>
            <w:col w:w="140" w:space="60"/>
            <w:col w:w="4120"/>
          </w:cols>
          <w:pgMar w:left="320" w:top="322" w:right="339" w:bottom="1440" w:gutter="0" w:footer="0" w:header="0"/>
          <w:type w:val="continuous"/>
        </w:sectPr>
      </w:pPr>
    </w:p>
    <w:p>
      <w:pPr>
        <w:ind w:right="100" w:firstLine="546"/>
        <w:spacing w:after="0" w:line="164"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40" w:firstLine="546"/>
        <w:spacing w:after="0" w:line="164"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80" w:firstLine="546"/>
        <w:spacing w:after="0" w:line="25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46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300"/>
              <w:spacing w:after="0"/>
              <w:rPr>
                <w:sz w:val="20"/>
                <w:szCs w:val="20"/>
                <w:color w:val="auto"/>
              </w:rPr>
            </w:pPr>
            <w:r>
              <w:rPr>
                <w:rFonts w:ascii="Arial" w:cs="Arial" w:eastAsia="Arial" w:hAnsi="Arial"/>
                <w:sz w:val="12"/>
                <w:szCs w:val="12"/>
                <w:color w:val="auto"/>
              </w:rPr>
              <w:t>Accelerated filer</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8"/>
        </w:trPr>
        <w:tc>
          <w:tcPr>
            <w:tcW w:w="2120" w:type="dxa"/>
            <w:vAlign w:val="bottom"/>
          </w:tcPr>
          <w:p>
            <w:pPr>
              <w:spacing w:after="0"/>
              <w:rPr>
                <w:sz w:val="20"/>
                <w:szCs w:val="20"/>
                <w:color w:val="auto"/>
              </w:rPr>
            </w:pPr>
            <w:r>
              <w:rPr>
                <w:rFonts w:ascii="Arial" w:cs="Arial" w:eastAsia="Arial" w:hAnsi="Arial"/>
                <w:sz w:val="12"/>
                <w:szCs w:val="12"/>
                <w:color w:val="auto"/>
              </w:rPr>
              <w:t>Non-accelerated filer</w:t>
            </w:r>
          </w:p>
        </w:tc>
        <w:tc>
          <w:tcPr>
            <w:tcW w:w="346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300"/>
              <w:spacing w:after="0"/>
              <w:rPr>
                <w:sz w:val="20"/>
                <w:szCs w:val="20"/>
                <w:color w:val="auto"/>
              </w:rPr>
            </w:pPr>
            <w:r>
              <w:rPr>
                <w:rFonts w:ascii="Arial" w:cs="Arial" w:eastAsia="Arial" w:hAnsi="Arial"/>
                <w:sz w:val="12"/>
                <w:szCs w:val="12"/>
                <w:color w:val="auto"/>
              </w:rPr>
              <w:t>Smaller reporting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540" w:type="dxa"/>
            <w:vAlign w:val="bottom"/>
          </w:tcPr>
          <w:p>
            <w:pPr>
              <w:ind w:left="2300"/>
              <w:spacing w:after="0"/>
              <w:rPr>
                <w:sz w:val="20"/>
                <w:szCs w:val="20"/>
                <w:color w:val="auto"/>
              </w:rPr>
            </w:pPr>
            <w:r>
              <w:rPr>
                <w:rFonts w:ascii="Arial" w:cs="Arial" w:eastAsia="Arial" w:hAnsi="Arial"/>
                <w:sz w:val="12"/>
                <w:szCs w:val="12"/>
                <w:color w:val="auto"/>
              </w:rPr>
              <w:t>Emerging growth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260" w:firstLine="546"/>
        <w:spacing w:after="0" w:line="16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540"/>
        <w:spacing w:after="0" w:line="150" w:lineRule="exact"/>
        <w:tabs>
          <w:tab w:leader="none" w:pos="6100" w:val="left"/>
          <w:tab w:leader="none" w:pos="66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3"/>
          <w:szCs w:val="13"/>
          <w:color w:val="auto"/>
        </w:rPr>
        <w:t>☐</w:t>
      </w:r>
      <w:r>
        <w:rPr>
          <w:rFonts w:ascii="Arial" w:cs="Arial" w:eastAsia="Arial" w:hAnsi="Arial"/>
          <w:sz w:val="12"/>
          <w:szCs w:val="12"/>
          <w:color w:val="auto"/>
        </w:rPr>
        <w:tab/>
        <w:t xml:space="preserve">No </w:t>
      </w:r>
      <w:r>
        <w:rPr>
          <w:rFonts w:ascii="MS PGothic" w:cs="MS PGothic" w:eastAsia="MS PGothic" w:hAnsi="MS PGothic"/>
          <w:sz w:val="13"/>
          <w:szCs w:val="13"/>
          <w:color w:val="auto"/>
        </w:rPr>
        <w:t>☒</w:t>
      </w:r>
    </w:p>
    <w:p>
      <w:pPr>
        <w:spacing w:after="0" w:line="64" w:lineRule="exact"/>
        <w:rPr>
          <w:sz w:val="24"/>
          <w:szCs w:val="24"/>
          <w:color w:val="auto"/>
        </w:rPr>
      </w:pPr>
    </w:p>
    <w:p>
      <w:pPr>
        <w:ind w:right="280" w:firstLine="546"/>
        <w:spacing w:after="0" w:line="164"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00" w:firstLine="546"/>
        <w:spacing w:after="0"/>
        <w:rPr>
          <w:sz w:val="20"/>
          <w:szCs w:val="20"/>
          <w:color w:val="auto"/>
        </w:rPr>
      </w:pPr>
      <w:r>
        <w:rPr>
          <w:rFonts w:ascii="Arial" w:cs="Arial" w:eastAsia="Arial" w:hAnsi="Arial"/>
          <w:sz w:val="12"/>
          <w:szCs w:val="12"/>
          <w:color w:val="auto"/>
        </w:rPr>
        <w:t>As of June 30, 2020, the last business day of the registrant’s most recently completed second fiscal quarter, the aggregate market value of the registrant’s common stock held by non-affiliates was $7,293,179, based on the last reported sale price of such stock on the Nasdaq Global Market as of such date.</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2"/>
          <w:szCs w:val="12"/>
          <w:color w:val="auto"/>
        </w:rPr>
        <w:t>As of March 23, 2021, the registrant had 14,306,614 shares of Common Stock, $0.001 par value per share, outstanding.</w:t>
      </w:r>
    </w:p>
    <w:p>
      <w:pPr>
        <w:spacing w:after="0" w:line="42" w:lineRule="exact"/>
        <w:rPr>
          <w:sz w:val="24"/>
          <w:szCs w:val="24"/>
          <w:color w:val="auto"/>
        </w:rPr>
      </w:pPr>
    </w:p>
    <w:p>
      <w:pPr>
        <w:ind w:left="4600"/>
        <w:spacing w:after="0"/>
        <w:rPr>
          <w:sz w:val="20"/>
          <w:szCs w:val="20"/>
          <w:color w:val="auto"/>
        </w:rPr>
      </w:pPr>
      <w:r>
        <w:rPr>
          <w:rFonts w:ascii="Arial" w:cs="Arial" w:eastAsia="Arial" w:hAnsi="Arial"/>
          <w:sz w:val="12"/>
          <w:szCs w:val="12"/>
          <w:color w:val="auto"/>
        </w:rPr>
        <w:t>DOCUMENTS INCORPORATED BY REFERENCE</w:t>
      </w:r>
    </w:p>
    <w:p>
      <w:pPr>
        <w:spacing w:after="0" w:line="30" w:lineRule="exact"/>
        <w:rPr>
          <w:sz w:val="24"/>
          <w:szCs w:val="24"/>
          <w:color w:val="auto"/>
        </w:rPr>
      </w:pPr>
    </w:p>
    <w:p>
      <w:pPr>
        <w:ind w:right="160" w:firstLine="546"/>
        <w:spacing w:after="0" w:line="250" w:lineRule="auto"/>
        <w:rPr>
          <w:sz w:val="20"/>
          <w:szCs w:val="20"/>
          <w:color w:val="auto"/>
        </w:rPr>
      </w:pPr>
      <w:r>
        <w:rPr>
          <w:rFonts w:ascii="Arial" w:cs="Arial" w:eastAsia="Arial" w:hAnsi="Arial"/>
          <w:sz w:val="12"/>
          <w:szCs w:val="12"/>
          <w:color w:val="auto"/>
        </w:rPr>
        <w:t>Portions of the registrant’s definitive proxy statement for its 2021 Annual Meeting of Stockholders, which the registrant intends to file pursuant to Regulation 14A with the Securities and Exchange Commission not later than 120 days after the registrant’s fiscal year end December 31, 2020,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55880</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427355</wp:posOffset>
            </wp:positionV>
            <wp:extent cx="718058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40" w:type="dxa"/>
            <w:vAlign w:val="bottom"/>
            <w:gridSpan w:val="14"/>
          </w:tcPr>
          <w:p>
            <w:pPr>
              <w:jc w:val="center"/>
              <w:ind w:right="4560"/>
              <w:spacing w:after="0"/>
              <w:rPr>
                <w:sz w:val="20"/>
                <w:szCs w:val="20"/>
                <w:color w:val="auto"/>
              </w:rPr>
            </w:pPr>
            <w:r>
              <w:rPr>
                <w:rFonts w:ascii="Arial" w:cs="Arial" w:eastAsia="Arial" w:hAnsi="Arial"/>
                <w:sz w:val="17"/>
                <w:szCs w:val="17"/>
                <w:b w:val="1"/>
                <w:bCs w:val="1"/>
                <w:color w:val="auto"/>
              </w:rPr>
              <w:t>INDEX</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gridSpan w:val="11"/>
            <w:vMerge w:val="restart"/>
          </w:tcPr>
          <w:p>
            <w:pPr>
              <w:jc w:val="center"/>
              <w:ind w:right="4580"/>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PART I</w:t>
              </w:r>
            </w:hyperlink>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11"/>
            <w:vMerge w:val="continue"/>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line="186" w:lineRule="exact"/>
              <w:rPr>
                <w:rFonts w:ascii="Arial" w:cs="Arial" w:eastAsia="Arial" w:hAnsi="Arial"/>
                <w:sz w:val="17"/>
                <w:szCs w:val="17"/>
                <w:color w:val="0000EE"/>
                <w:w w:val="86"/>
              </w:rPr>
            </w:pPr>
            <w:hyperlink w:anchor="page7">
              <w:r>
                <w:rPr>
                  <w:rFonts w:ascii="Arial" w:cs="Arial" w:eastAsia="Arial" w:hAnsi="Arial"/>
                  <w:sz w:val="17"/>
                  <w:szCs w:val="17"/>
                  <w:color w:val="0000EE"/>
                  <w:w w:val="86"/>
                </w:rPr>
                <w:t>Business</w:t>
              </w:r>
            </w:hyperlink>
          </w:p>
        </w:tc>
        <w:tc>
          <w:tcPr>
            <w:tcW w:w="3800" w:type="dxa"/>
            <w:vAlign w:val="bottom"/>
            <w:gridSpan w:val="20"/>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620" w:type="dxa"/>
            <w:vAlign w:val="bottom"/>
            <w:gridSpan w:val="9"/>
          </w:tcPr>
          <w:p>
            <w:pPr>
              <w:spacing w:after="0"/>
              <w:rPr>
                <w:sz w:val="16"/>
                <w:szCs w:val="16"/>
                <w:color w:val="auto"/>
              </w:rPr>
            </w:pPr>
          </w:p>
        </w:tc>
        <w:tc>
          <w:tcPr>
            <w:tcW w:w="660" w:type="dxa"/>
            <w:vAlign w:val="bottom"/>
            <w:gridSpan w:val="2"/>
          </w:tcPr>
          <w:p>
            <w:pPr>
              <w:jc w:val="right"/>
              <w:ind w:right="40"/>
              <w:spacing w:after="0" w:line="18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1A.</w:t>
            </w:r>
          </w:p>
        </w:tc>
        <w:tc>
          <w:tcPr>
            <w:tcW w:w="9600" w:type="dxa"/>
            <w:vAlign w:val="bottom"/>
            <w:gridSpan w:val="31"/>
          </w:tcPr>
          <w:p>
            <w:pPr>
              <w:spacing w:after="0" w:line="186" w:lineRule="exact"/>
              <w:rPr>
                <w:rFonts w:ascii="Arial" w:cs="Arial" w:eastAsia="Arial" w:hAnsi="Arial"/>
                <w:sz w:val="17"/>
                <w:szCs w:val="17"/>
                <w:color w:val="0000EE"/>
              </w:rPr>
            </w:pPr>
            <w:hyperlink w:anchor="page24">
              <w:r>
                <w:rPr>
                  <w:rFonts w:ascii="Arial" w:cs="Arial" w:eastAsia="Arial" w:hAnsi="Arial"/>
                  <w:sz w:val="17"/>
                  <w:szCs w:val="17"/>
                  <w:color w:val="0000EE"/>
                </w:rPr>
                <w:t>Risk Factors</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1B.</w:t>
            </w:r>
          </w:p>
        </w:tc>
        <w:tc>
          <w:tcPr>
            <w:tcW w:w="1960" w:type="dxa"/>
            <w:vAlign w:val="bottom"/>
            <w:tcBorders>
              <w:bottom w:val="single" w:sz="8" w:color="0000EE"/>
            </w:tcBorders>
            <w:gridSpan w:val="11"/>
          </w:tcPr>
          <w:p>
            <w:pPr>
              <w:spacing w:after="0" w:line="186" w:lineRule="exact"/>
              <w:rPr>
                <w:rFonts w:ascii="Arial" w:cs="Arial" w:eastAsia="Arial" w:hAnsi="Arial"/>
                <w:sz w:val="17"/>
                <w:szCs w:val="17"/>
                <w:color w:val="0000EE"/>
                <w:w w:val="91"/>
              </w:rPr>
            </w:pPr>
            <w:hyperlink w:anchor="page44">
              <w:r>
                <w:rPr>
                  <w:rFonts w:ascii="Arial" w:cs="Arial" w:eastAsia="Arial" w:hAnsi="Arial"/>
                  <w:sz w:val="17"/>
                  <w:szCs w:val="17"/>
                  <w:color w:val="0000EE"/>
                  <w:w w:val="91"/>
                </w:rPr>
                <w:t>Unresolved Staff Comments</w:t>
              </w:r>
            </w:hyperlink>
          </w:p>
        </w:tc>
        <w:tc>
          <w:tcPr>
            <w:tcW w:w="7640" w:type="dxa"/>
            <w:vAlign w:val="bottom"/>
            <w:gridSpan w:val="20"/>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2.</w:t>
            </w:r>
          </w:p>
        </w:tc>
        <w:tc>
          <w:tcPr>
            <w:tcW w:w="700" w:type="dxa"/>
            <w:vAlign w:val="bottom"/>
            <w:tcBorders>
              <w:bottom w:val="single" w:sz="8" w:color="0000EE"/>
            </w:tcBorders>
            <w:gridSpan w:val="2"/>
          </w:tcPr>
          <w:p>
            <w:pPr>
              <w:spacing w:after="0" w:line="186" w:lineRule="exact"/>
              <w:rPr>
                <w:rFonts w:ascii="Arial" w:cs="Arial" w:eastAsia="Arial" w:hAnsi="Arial"/>
                <w:sz w:val="17"/>
                <w:szCs w:val="17"/>
                <w:color w:val="0000EE"/>
                <w:w w:val="87"/>
              </w:rPr>
            </w:pPr>
            <w:hyperlink w:anchor="page44">
              <w:r>
                <w:rPr>
                  <w:rFonts w:ascii="Arial" w:cs="Arial" w:eastAsia="Arial" w:hAnsi="Arial"/>
                  <w:sz w:val="17"/>
                  <w:szCs w:val="17"/>
                  <w:color w:val="0000EE"/>
                  <w:w w:val="87"/>
                </w:rPr>
                <w:t>Properties</w:t>
              </w:r>
            </w:hyperlink>
          </w:p>
        </w:tc>
        <w:tc>
          <w:tcPr>
            <w:tcW w:w="8900" w:type="dxa"/>
            <w:vAlign w:val="bottom"/>
            <w:gridSpan w:val="29"/>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EE"/>
            </w:tcBorders>
            <w:gridSpan w:val="6"/>
          </w:tcPr>
          <w:p>
            <w:pPr>
              <w:spacing w:after="0" w:line="186" w:lineRule="exact"/>
              <w:rPr>
                <w:rFonts w:ascii="Arial" w:cs="Arial" w:eastAsia="Arial" w:hAnsi="Arial"/>
                <w:sz w:val="17"/>
                <w:szCs w:val="17"/>
                <w:color w:val="0000EE"/>
                <w:w w:val="89"/>
              </w:rPr>
            </w:pPr>
            <w:hyperlink w:anchor="page44">
              <w:r>
                <w:rPr>
                  <w:rFonts w:ascii="Arial" w:cs="Arial" w:eastAsia="Arial" w:hAnsi="Arial"/>
                  <w:sz w:val="17"/>
                  <w:szCs w:val="17"/>
                  <w:color w:val="0000EE"/>
                  <w:w w:val="89"/>
                </w:rPr>
                <w:t>Legal Proceedings</w:t>
              </w:r>
            </w:hyperlink>
          </w:p>
        </w:tc>
        <w:tc>
          <w:tcPr>
            <w:tcW w:w="8320" w:type="dxa"/>
            <w:vAlign w:val="bottom"/>
            <w:gridSpan w:val="25"/>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4.</w:t>
            </w:r>
          </w:p>
        </w:tc>
        <w:tc>
          <w:tcPr>
            <w:tcW w:w="9600" w:type="dxa"/>
            <w:vAlign w:val="bottom"/>
            <w:gridSpan w:val="31"/>
          </w:tcPr>
          <w:p>
            <w:pPr>
              <w:spacing w:after="0" w:line="186" w:lineRule="exact"/>
              <w:rPr>
                <w:rFonts w:ascii="Arial" w:cs="Arial" w:eastAsia="Arial" w:hAnsi="Arial"/>
                <w:sz w:val="17"/>
                <w:szCs w:val="17"/>
                <w:color w:val="0000EE"/>
              </w:rPr>
            </w:pPr>
            <w:hyperlink w:anchor="page44">
              <w:r>
                <w:rPr>
                  <w:rFonts w:ascii="Arial" w:cs="Arial" w:eastAsia="Arial" w:hAnsi="Arial"/>
                  <w:sz w:val="17"/>
                  <w:szCs w:val="17"/>
                  <w:color w:val="0000EE"/>
                </w:rPr>
                <w:t>Mine Safety Disclosures</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1"/>
          </w:tcPr>
          <w:p>
            <w:pPr>
              <w:jc w:val="center"/>
              <w:ind w:right="4600"/>
              <w:spacing w:after="0"/>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PART II</w:t>
              </w:r>
            </w:hyperlink>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5.</w:t>
            </w:r>
          </w:p>
        </w:tc>
        <w:tc>
          <w:tcPr>
            <w:tcW w:w="7720" w:type="dxa"/>
            <w:vAlign w:val="bottom"/>
            <w:tcBorders>
              <w:bottom w:val="single" w:sz="8" w:color="0000EE"/>
            </w:tcBorders>
            <w:gridSpan w:val="30"/>
          </w:tcPr>
          <w:p>
            <w:pPr>
              <w:spacing w:after="0" w:line="186" w:lineRule="exact"/>
              <w:rPr>
                <w:rFonts w:ascii="Arial" w:cs="Arial" w:eastAsia="Arial" w:hAnsi="Arial"/>
                <w:sz w:val="17"/>
                <w:szCs w:val="17"/>
                <w:color w:val="0000EE"/>
                <w:w w:val="91"/>
              </w:rPr>
            </w:pPr>
            <w:hyperlink w:anchor="page45">
              <w:r>
                <w:rPr>
                  <w:rFonts w:ascii="Arial" w:cs="Arial" w:eastAsia="Arial" w:hAnsi="Arial"/>
                  <w:sz w:val="17"/>
                  <w:szCs w:val="17"/>
                  <w:color w:val="0000EE"/>
                  <w:w w:val="91"/>
                </w:rPr>
                <w:t>Market for Registrant’s Common Equity, Related Stockholder Matters and Issuer Purchases of Equity Securities</w:t>
              </w:r>
            </w:hyperlink>
          </w:p>
        </w:tc>
        <w:tc>
          <w:tcPr>
            <w:tcW w:w="1880" w:type="dxa"/>
            <w:vAlign w:val="bottom"/>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6.</w:t>
            </w:r>
          </w:p>
        </w:tc>
        <w:tc>
          <w:tcPr>
            <w:tcW w:w="1640" w:type="dxa"/>
            <w:vAlign w:val="bottom"/>
            <w:tcBorders>
              <w:bottom w:val="single" w:sz="8" w:color="0000EE"/>
            </w:tcBorders>
            <w:gridSpan w:val="8"/>
          </w:tcPr>
          <w:p>
            <w:pPr>
              <w:spacing w:after="0" w:line="186" w:lineRule="exact"/>
              <w:rPr>
                <w:rFonts w:ascii="Arial" w:cs="Arial" w:eastAsia="Arial" w:hAnsi="Arial"/>
                <w:sz w:val="17"/>
                <w:szCs w:val="17"/>
                <w:color w:val="0000EE"/>
                <w:w w:val="90"/>
              </w:rPr>
            </w:pPr>
            <w:hyperlink w:anchor="page45">
              <w:r>
                <w:rPr>
                  <w:rFonts w:ascii="Arial" w:cs="Arial" w:eastAsia="Arial" w:hAnsi="Arial"/>
                  <w:sz w:val="17"/>
                  <w:szCs w:val="17"/>
                  <w:color w:val="0000EE"/>
                  <w:w w:val="90"/>
                </w:rPr>
                <w:t>Selected Financial Data</w:t>
              </w:r>
            </w:hyperlink>
          </w:p>
        </w:tc>
        <w:tc>
          <w:tcPr>
            <w:tcW w:w="7960" w:type="dxa"/>
            <w:vAlign w:val="bottom"/>
            <w:gridSpan w:val="23"/>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7.</w:t>
            </w:r>
          </w:p>
        </w:tc>
        <w:tc>
          <w:tcPr>
            <w:tcW w:w="9600" w:type="dxa"/>
            <w:vAlign w:val="bottom"/>
            <w:gridSpan w:val="31"/>
          </w:tcPr>
          <w:p>
            <w:pPr>
              <w:spacing w:after="0" w:line="186" w:lineRule="exact"/>
              <w:rPr>
                <w:rFonts w:ascii="Arial" w:cs="Arial" w:eastAsia="Arial" w:hAnsi="Arial"/>
                <w:sz w:val="17"/>
                <w:szCs w:val="17"/>
                <w:color w:val="0000EE"/>
              </w:rPr>
            </w:pPr>
            <w:hyperlink w:anchor="page46">
              <w:r>
                <w:rPr>
                  <w:rFonts w:ascii="Arial" w:cs="Arial" w:eastAsia="Arial" w:hAnsi="Arial"/>
                  <w:sz w:val="17"/>
                  <w:szCs w:val="17"/>
                  <w:color w:val="0000EE"/>
                </w:rPr>
                <w:t>Management’s Discussion and Analysis of Financial Condition and Results of Operations</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7A.</w:t>
            </w:r>
          </w:p>
        </w:tc>
        <w:tc>
          <w:tcPr>
            <w:tcW w:w="6160" w:type="dxa"/>
            <w:vAlign w:val="bottom"/>
            <w:tcBorders>
              <w:top w:val="single" w:sz="8" w:color="0000EE"/>
            </w:tcBorders>
            <w:gridSpan w:val="27"/>
          </w:tcPr>
          <w:p>
            <w:pPr>
              <w:spacing w:after="0" w:line="186" w:lineRule="exact"/>
              <w:rPr>
                <w:rFonts w:ascii="Arial" w:cs="Arial" w:eastAsia="Arial" w:hAnsi="Arial"/>
                <w:sz w:val="17"/>
                <w:szCs w:val="17"/>
                <w:color w:val="0000EE"/>
              </w:rPr>
            </w:pPr>
            <w:hyperlink w:anchor="page56">
              <w:r>
                <w:rPr>
                  <w:rFonts w:ascii="Arial" w:cs="Arial" w:eastAsia="Arial" w:hAnsi="Arial"/>
                  <w:sz w:val="17"/>
                  <w:szCs w:val="17"/>
                  <w:color w:val="0000EE"/>
                </w:rPr>
                <w:t>Quantitative and Qualitative Disclosures About Market Risk</w:t>
              </w:r>
            </w:hyperlink>
          </w:p>
        </w:tc>
        <w:tc>
          <w:tcPr>
            <w:tcW w:w="3440" w:type="dxa"/>
            <w:vAlign w:val="bottom"/>
            <w:gridSpan w:val="4"/>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8.</w:t>
            </w:r>
          </w:p>
        </w:tc>
        <w:tc>
          <w:tcPr>
            <w:tcW w:w="3180" w:type="dxa"/>
            <w:vAlign w:val="bottom"/>
            <w:tcBorders>
              <w:top w:val="single" w:sz="8" w:color="0000EE"/>
              <w:bottom w:val="single" w:sz="8" w:color="0000EE"/>
            </w:tcBorders>
            <w:gridSpan w:val="15"/>
          </w:tcPr>
          <w:p>
            <w:pPr>
              <w:spacing w:after="0" w:line="186" w:lineRule="exact"/>
              <w:rPr>
                <w:rFonts w:ascii="Arial" w:cs="Arial" w:eastAsia="Arial" w:hAnsi="Arial"/>
                <w:sz w:val="17"/>
                <w:szCs w:val="17"/>
                <w:color w:val="0000EE"/>
                <w:w w:val="89"/>
              </w:rPr>
            </w:pPr>
            <w:hyperlink w:anchor="page56">
              <w:r>
                <w:rPr>
                  <w:rFonts w:ascii="Arial" w:cs="Arial" w:eastAsia="Arial" w:hAnsi="Arial"/>
                  <w:sz w:val="17"/>
                  <w:szCs w:val="17"/>
                  <w:color w:val="0000EE"/>
                  <w:w w:val="89"/>
                </w:rPr>
                <w:t>Financial Statements and Supplementary Data</w:t>
              </w:r>
            </w:hyperlink>
          </w:p>
        </w:tc>
        <w:tc>
          <w:tcPr>
            <w:tcW w:w="980" w:type="dxa"/>
            <w:vAlign w:val="bottom"/>
            <w:tcBorders>
              <w:top w:val="single" w:sz="8" w:color="0000EE"/>
            </w:tcBorders>
            <w:gridSpan w:val="2"/>
          </w:tcPr>
          <w:p>
            <w:pPr>
              <w:spacing w:after="0"/>
              <w:rPr>
                <w:sz w:val="16"/>
                <w:szCs w:val="16"/>
                <w:color w:val="auto"/>
              </w:rPr>
            </w:pPr>
          </w:p>
        </w:tc>
        <w:tc>
          <w:tcPr>
            <w:tcW w:w="5440" w:type="dxa"/>
            <w:vAlign w:val="bottom"/>
            <w:gridSpan w:val="14"/>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9.</w:t>
            </w:r>
          </w:p>
        </w:tc>
        <w:tc>
          <w:tcPr>
            <w:tcW w:w="9600" w:type="dxa"/>
            <w:vAlign w:val="bottom"/>
            <w:gridSpan w:val="31"/>
          </w:tcPr>
          <w:p>
            <w:pPr>
              <w:spacing w:after="0" w:line="186" w:lineRule="exact"/>
              <w:rPr>
                <w:rFonts w:ascii="Arial" w:cs="Arial" w:eastAsia="Arial" w:hAnsi="Arial"/>
                <w:sz w:val="17"/>
                <w:szCs w:val="17"/>
                <w:color w:val="0000EE"/>
              </w:rPr>
            </w:pPr>
            <w:hyperlink w:anchor="page56">
              <w:r>
                <w:rPr>
                  <w:rFonts w:ascii="Arial" w:cs="Arial" w:eastAsia="Arial" w:hAnsi="Arial"/>
                  <w:sz w:val="17"/>
                  <w:szCs w:val="17"/>
                  <w:color w:val="0000EE"/>
                </w:rPr>
                <w:t>Changes in and Disagreements with Accountants on Accounting and Financial Disclosure</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9A.</w:t>
            </w:r>
          </w:p>
        </w:tc>
        <w:tc>
          <w:tcPr>
            <w:tcW w:w="1700" w:type="dxa"/>
            <w:vAlign w:val="bottom"/>
            <w:tcBorders>
              <w:top w:val="single" w:sz="8" w:color="0000EE"/>
              <w:bottom w:val="single" w:sz="8" w:color="0000EE"/>
            </w:tcBorders>
            <w:gridSpan w:val="9"/>
          </w:tcPr>
          <w:p>
            <w:pPr>
              <w:spacing w:after="0" w:line="186" w:lineRule="exact"/>
              <w:rPr>
                <w:rFonts w:ascii="Arial" w:cs="Arial" w:eastAsia="Arial" w:hAnsi="Arial"/>
                <w:sz w:val="17"/>
                <w:szCs w:val="17"/>
                <w:color w:val="0000EE"/>
                <w:w w:val="89"/>
              </w:rPr>
            </w:pPr>
            <w:hyperlink w:anchor="page56">
              <w:r>
                <w:rPr>
                  <w:rFonts w:ascii="Arial" w:cs="Arial" w:eastAsia="Arial" w:hAnsi="Arial"/>
                  <w:sz w:val="17"/>
                  <w:szCs w:val="17"/>
                  <w:color w:val="0000EE"/>
                  <w:w w:val="89"/>
                </w:rPr>
                <w:t>Controls and Procedures</w:t>
              </w:r>
            </w:hyperlink>
          </w:p>
        </w:tc>
        <w:tc>
          <w:tcPr>
            <w:tcW w:w="4480" w:type="dxa"/>
            <w:vAlign w:val="bottom"/>
            <w:tcBorders>
              <w:top w:val="single" w:sz="8" w:color="0000EE"/>
            </w:tcBorders>
            <w:gridSpan w:val="19"/>
          </w:tcPr>
          <w:p>
            <w:pPr>
              <w:spacing w:after="0"/>
              <w:rPr>
                <w:sz w:val="16"/>
                <w:szCs w:val="16"/>
                <w:color w:val="auto"/>
              </w:rPr>
            </w:pPr>
          </w:p>
        </w:tc>
        <w:tc>
          <w:tcPr>
            <w:tcW w:w="3420" w:type="dxa"/>
            <w:vAlign w:val="bottom"/>
            <w:gridSpan w:val="3"/>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9B.</w:t>
            </w:r>
          </w:p>
        </w:tc>
        <w:tc>
          <w:tcPr>
            <w:tcW w:w="9600" w:type="dxa"/>
            <w:vAlign w:val="bottom"/>
            <w:gridSpan w:val="31"/>
          </w:tcPr>
          <w:p>
            <w:pPr>
              <w:spacing w:after="0" w:line="186" w:lineRule="exact"/>
              <w:rPr>
                <w:rFonts w:ascii="Arial" w:cs="Arial" w:eastAsia="Arial" w:hAnsi="Arial"/>
                <w:sz w:val="17"/>
                <w:szCs w:val="17"/>
                <w:color w:val="0000EE"/>
              </w:rPr>
            </w:pPr>
            <w:hyperlink w:anchor="page57">
              <w:r>
                <w:rPr>
                  <w:rFonts w:ascii="Arial" w:cs="Arial" w:eastAsia="Arial" w:hAnsi="Arial"/>
                  <w:sz w:val="17"/>
                  <w:szCs w:val="17"/>
                  <w:color w:val="0000EE"/>
                </w:rPr>
                <w:t>Other Information</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PART III</w:t>
              </w:r>
            </w:hyperlink>
          </w:p>
        </w:tc>
        <w:tc>
          <w:tcPr>
            <w:tcW w:w="454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10.</w:t>
            </w:r>
          </w:p>
        </w:tc>
        <w:tc>
          <w:tcPr>
            <w:tcW w:w="3920" w:type="dxa"/>
            <w:vAlign w:val="bottom"/>
            <w:tcBorders>
              <w:bottom w:val="single" w:sz="8" w:color="0000EE"/>
            </w:tcBorders>
            <w:gridSpan w:val="16"/>
          </w:tcPr>
          <w:p>
            <w:pPr>
              <w:spacing w:after="0" w:line="186" w:lineRule="exact"/>
              <w:rPr>
                <w:rFonts w:ascii="Arial" w:cs="Arial" w:eastAsia="Arial" w:hAnsi="Arial"/>
                <w:sz w:val="17"/>
                <w:szCs w:val="17"/>
                <w:color w:val="0000EE"/>
                <w:w w:val="91"/>
              </w:rPr>
            </w:pPr>
            <w:hyperlink w:anchor="page58">
              <w:r>
                <w:rPr>
                  <w:rFonts w:ascii="Arial" w:cs="Arial" w:eastAsia="Arial" w:hAnsi="Arial"/>
                  <w:sz w:val="17"/>
                  <w:szCs w:val="17"/>
                  <w:color w:val="0000EE"/>
                  <w:w w:val="91"/>
                </w:rPr>
                <w:t>Directors, Executive Officers and Corporate Governance</w:t>
              </w:r>
            </w:hyperlink>
          </w:p>
        </w:tc>
        <w:tc>
          <w:tcPr>
            <w:tcW w:w="5680" w:type="dxa"/>
            <w:vAlign w:val="bottom"/>
            <w:gridSpan w:val="15"/>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11.</w:t>
            </w:r>
          </w:p>
        </w:tc>
        <w:tc>
          <w:tcPr>
            <w:tcW w:w="9600" w:type="dxa"/>
            <w:vAlign w:val="bottom"/>
            <w:gridSpan w:val="31"/>
          </w:tcPr>
          <w:p>
            <w:pPr>
              <w:spacing w:after="0" w:line="186" w:lineRule="exact"/>
              <w:rPr>
                <w:rFonts w:ascii="Arial" w:cs="Arial" w:eastAsia="Arial" w:hAnsi="Arial"/>
                <w:sz w:val="17"/>
                <w:szCs w:val="17"/>
                <w:color w:val="0000EE"/>
              </w:rPr>
            </w:pPr>
            <w:hyperlink w:anchor="page58">
              <w:r>
                <w:rPr>
                  <w:rFonts w:ascii="Arial" w:cs="Arial" w:eastAsia="Arial" w:hAnsi="Arial"/>
                  <w:sz w:val="17"/>
                  <w:szCs w:val="17"/>
                  <w:color w:val="0000EE"/>
                </w:rPr>
                <w:t>Executive Compensation</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12.</w:t>
            </w:r>
          </w:p>
        </w:tc>
        <w:tc>
          <w:tcPr>
            <w:tcW w:w="9600" w:type="dxa"/>
            <w:vAlign w:val="bottom"/>
            <w:gridSpan w:val="31"/>
          </w:tcPr>
          <w:p>
            <w:pPr>
              <w:spacing w:after="0" w:line="186" w:lineRule="exact"/>
              <w:rPr>
                <w:rFonts w:ascii="Arial" w:cs="Arial" w:eastAsia="Arial" w:hAnsi="Arial"/>
                <w:sz w:val="17"/>
                <w:szCs w:val="17"/>
                <w:color w:val="0000EE"/>
              </w:rPr>
            </w:pPr>
            <w:hyperlink w:anchor="page58">
              <w:r>
                <w:rPr>
                  <w:rFonts w:ascii="Arial" w:cs="Arial" w:eastAsia="Arial" w:hAnsi="Arial"/>
                  <w:sz w:val="17"/>
                  <w:szCs w:val="17"/>
                  <w:color w:val="0000EE"/>
                </w:rPr>
                <w:t>Security Ownership of Certain Beneficial Owners and Management and Related Stockholder Matters</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13.</w:t>
            </w:r>
          </w:p>
        </w:tc>
        <w:tc>
          <w:tcPr>
            <w:tcW w:w="6960" w:type="dxa"/>
            <w:vAlign w:val="bottom"/>
            <w:tcBorders>
              <w:top w:val="single" w:sz="8" w:color="0000EE"/>
            </w:tcBorders>
            <w:gridSpan w:val="29"/>
          </w:tcPr>
          <w:p>
            <w:pPr>
              <w:spacing w:after="0" w:line="186" w:lineRule="exact"/>
              <w:rPr>
                <w:rFonts w:ascii="Arial" w:cs="Arial" w:eastAsia="Arial" w:hAnsi="Arial"/>
                <w:sz w:val="17"/>
                <w:szCs w:val="17"/>
                <w:color w:val="0000EE"/>
              </w:rPr>
            </w:pPr>
            <w:hyperlink w:anchor="page58">
              <w:r>
                <w:rPr>
                  <w:rFonts w:ascii="Arial" w:cs="Arial" w:eastAsia="Arial" w:hAnsi="Arial"/>
                  <w:sz w:val="17"/>
                  <w:szCs w:val="17"/>
                  <w:color w:val="0000EE"/>
                </w:rPr>
                <w:t>Certain Relationships and Related Transactions, and Director Independence</w:t>
              </w:r>
            </w:hyperlink>
          </w:p>
        </w:tc>
        <w:tc>
          <w:tcPr>
            <w:tcW w:w="2640" w:type="dxa"/>
            <w:vAlign w:val="bottom"/>
            <w:gridSpan w:val="2"/>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14.</w:t>
            </w:r>
          </w:p>
        </w:tc>
        <w:tc>
          <w:tcPr>
            <w:tcW w:w="5200" w:type="dxa"/>
            <w:vAlign w:val="bottom"/>
            <w:tcBorders>
              <w:top w:val="single" w:sz="8" w:color="0000EE"/>
            </w:tcBorders>
            <w:gridSpan w:val="26"/>
          </w:tcPr>
          <w:p>
            <w:pPr>
              <w:spacing w:after="0" w:line="186" w:lineRule="exact"/>
              <w:rPr>
                <w:rFonts w:ascii="Arial" w:cs="Arial" w:eastAsia="Arial" w:hAnsi="Arial"/>
                <w:sz w:val="17"/>
                <w:szCs w:val="17"/>
                <w:color w:val="0000EE"/>
              </w:rPr>
            </w:pPr>
            <w:hyperlink w:anchor="page58">
              <w:r>
                <w:rPr>
                  <w:rFonts w:ascii="Arial" w:cs="Arial" w:eastAsia="Arial" w:hAnsi="Arial"/>
                  <w:sz w:val="17"/>
                  <w:szCs w:val="17"/>
                  <w:color w:val="0000EE"/>
                </w:rPr>
                <w:t>Principal Accountant Fees and Services</w:t>
              </w:r>
            </w:hyperlink>
          </w:p>
        </w:tc>
        <w:tc>
          <w:tcPr>
            <w:tcW w:w="4400" w:type="dxa"/>
            <w:vAlign w:val="bottom"/>
            <w:gridSpan w:val="5"/>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13"/>
          </w:tcPr>
          <w:p>
            <w:pPr>
              <w:jc w:val="center"/>
              <w:ind w:right="4540"/>
              <w:spacing w:after="0"/>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PART IV</w:t>
              </w:r>
            </w:hyperlink>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15.</w:t>
            </w:r>
          </w:p>
        </w:tc>
        <w:tc>
          <w:tcPr>
            <w:tcW w:w="3020" w:type="dxa"/>
            <w:vAlign w:val="bottom"/>
            <w:tcBorders>
              <w:bottom w:val="single" w:sz="8" w:color="0000EE"/>
            </w:tcBorders>
            <w:gridSpan w:val="14"/>
          </w:tcPr>
          <w:p>
            <w:pPr>
              <w:spacing w:after="0" w:line="186" w:lineRule="exact"/>
              <w:rPr>
                <w:rFonts w:ascii="Arial" w:cs="Arial" w:eastAsia="Arial" w:hAnsi="Arial"/>
                <w:sz w:val="17"/>
                <w:szCs w:val="17"/>
                <w:color w:val="0000EE"/>
                <w:w w:val="90"/>
              </w:rPr>
            </w:pPr>
            <w:hyperlink w:anchor="page59">
              <w:r>
                <w:rPr>
                  <w:rFonts w:ascii="Arial" w:cs="Arial" w:eastAsia="Arial" w:hAnsi="Arial"/>
                  <w:sz w:val="17"/>
                  <w:szCs w:val="17"/>
                  <w:color w:val="0000EE"/>
                  <w:w w:val="90"/>
                </w:rPr>
                <w:t>Exhibits and Financial Statement Schedules</w:t>
              </w:r>
            </w:hyperlink>
          </w:p>
        </w:tc>
        <w:tc>
          <w:tcPr>
            <w:tcW w:w="1340" w:type="dxa"/>
            <w:vAlign w:val="bottom"/>
            <w:gridSpan w:val="5"/>
          </w:tcPr>
          <w:p>
            <w:pPr>
              <w:spacing w:after="0"/>
              <w:rPr>
                <w:sz w:val="16"/>
                <w:szCs w:val="16"/>
                <w:color w:val="auto"/>
              </w:rPr>
            </w:pPr>
          </w:p>
        </w:tc>
        <w:tc>
          <w:tcPr>
            <w:tcW w:w="680" w:type="dxa"/>
            <w:vAlign w:val="bottom"/>
            <w:tcBorders>
              <w:top w:val="single" w:sz="8" w:color="0000EE"/>
            </w:tcBorders>
            <w:gridSpan w:val="5"/>
          </w:tcPr>
          <w:p>
            <w:pPr>
              <w:spacing w:after="0"/>
              <w:rPr>
                <w:sz w:val="16"/>
                <w:szCs w:val="16"/>
                <w:color w:val="auto"/>
              </w:rPr>
            </w:pPr>
          </w:p>
        </w:tc>
        <w:tc>
          <w:tcPr>
            <w:tcW w:w="4560" w:type="dxa"/>
            <w:vAlign w:val="bottom"/>
            <w:gridSpan w:val="7"/>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line="186" w:lineRule="exact"/>
              <w:rPr>
                <w:sz w:val="20"/>
                <w:szCs w:val="20"/>
                <w:color w:val="auto"/>
              </w:rPr>
            </w:pPr>
            <w:r>
              <w:rPr>
                <w:rFonts w:ascii="Arial" w:cs="Arial" w:eastAsia="Arial" w:hAnsi="Arial"/>
                <w:sz w:val="17"/>
                <w:szCs w:val="17"/>
                <w:color w:val="auto"/>
              </w:rPr>
              <w:t>ITEM 16.</w:t>
            </w:r>
          </w:p>
        </w:tc>
        <w:tc>
          <w:tcPr>
            <w:tcW w:w="9600" w:type="dxa"/>
            <w:vAlign w:val="bottom"/>
            <w:gridSpan w:val="31"/>
          </w:tcPr>
          <w:p>
            <w:pPr>
              <w:spacing w:after="0" w:line="186" w:lineRule="exact"/>
              <w:rPr>
                <w:rFonts w:ascii="Arial" w:cs="Arial" w:eastAsia="Arial" w:hAnsi="Arial"/>
                <w:sz w:val="17"/>
                <w:szCs w:val="17"/>
                <w:color w:val="0000EE"/>
              </w:rPr>
            </w:pPr>
            <w:hyperlink w:anchor="page62">
              <w:r>
                <w:rPr>
                  <w:rFonts w:ascii="Arial" w:cs="Arial" w:eastAsia="Arial" w:hAnsi="Arial"/>
                  <w:sz w:val="17"/>
                  <w:szCs w:val="17"/>
                  <w:color w:val="0000EE"/>
                </w:rPr>
                <w:t>Form 10-K Summary</w:t>
              </w:r>
            </w:hyperlink>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480" w:type="dxa"/>
            <w:vAlign w:val="bottom"/>
            <w:tcBorders>
              <w:top w:val="single" w:sz="8" w:color="0000EE"/>
            </w:tcBorders>
            <w:gridSpan w:val="7"/>
          </w:tcPr>
          <w:p>
            <w:pPr>
              <w:spacing w:after="0" w:line="186" w:lineRule="exact"/>
              <w:rPr>
                <w:rFonts w:ascii="Arial" w:cs="Arial" w:eastAsia="Arial" w:hAnsi="Arial"/>
                <w:sz w:val="17"/>
                <w:szCs w:val="17"/>
                <w:color w:val="0000EE"/>
              </w:rPr>
            </w:pPr>
            <w:hyperlink w:anchor="page63">
              <w:r>
                <w:rPr>
                  <w:rFonts w:ascii="Arial" w:cs="Arial" w:eastAsia="Arial" w:hAnsi="Arial"/>
                  <w:sz w:val="17"/>
                  <w:szCs w:val="17"/>
                  <w:color w:val="0000EE"/>
                </w:rPr>
                <w:t>Signatures</w:t>
              </w:r>
            </w:hyperlink>
          </w:p>
        </w:tc>
        <w:tc>
          <w:tcPr>
            <w:tcW w:w="8120" w:type="dxa"/>
            <w:vAlign w:val="bottom"/>
            <w:gridSpan w:val="24"/>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7560" w:type="dxa"/>
            <w:vAlign w:val="bottom"/>
            <w:gridSpan w:val="1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spacing w:after="0"/>
              <w:rPr>
                <w:sz w:val="16"/>
                <w:szCs w:val="16"/>
                <w:color w:val="auto"/>
              </w:rPr>
            </w:pPr>
          </w:p>
        </w:tc>
        <w:tc>
          <w:tcPr>
            <w:tcW w:w="9600" w:type="dxa"/>
            <w:vAlign w:val="bottom"/>
            <w:gridSpan w:val="31"/>
          </w:tcPr>
          <w:p>
            <w:pPr>
              <w:spacing w:after="0" w:line="186" w:lineRule="exact"/>
              <w:rPr>
                <w:rFonts w:ascii="Arial" w:cs="Arial" w:eastAsia="Arial" w:hAnsi="Arial"/>
                <w:sz w:val="17"/>
                <w:szCs w:val="17"/>
                <w:color w:val="0000EE"/>
              </w:rPr>
            </w:pPr>
            <w:hyperlink w:anchor="page64">
              <w:r>
                <w:rPr>
                  <w:rFonts w:ascii="Arial" w:cs="Arial" w:eastAsia="Arial" w:hAnsi="Arial"/>
                  <w:sz w:val="17"/>
                  <w:szCs w:val="17"/>
                  <w:color w:val="0000EE"/>
                </w:rPr>
                <w:t>Index to Financial Statements</w:t>
              </w:r>
            </w:hyperlink>
          </w:p>
        </w:tc>
        <w:tc>
          <w:tcPr>
            <w:tcW w:w="660" w:type="dxa"/>
            <w:vAlign w:val="bottom"/>
            <w:gridSpan w:val="2"/>
          </w:tcPr>
          <w:p>
            <w:pPr>
              <w:jc w:val="right"/>
              <w:ind w:right="40"/>
              <w:spacing w:after="0" w:line="18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636"/>
        </w:trPr>
        <w:tc>
          <w:tcPr>
            <w:tcW w:w="1020" w:type="dxa"/>
            <w:vAlign w:val="bottom"/>
          </w:tcPr>
          <w:p>
            <w:pPr>
              <w:spacing w:after="0"/>
              <w:rPr>
                <w:sz w:val="24"/>
                <w:szCs w:val="24"/>
                <w:color w:val="auto"/>
              </w:rPr>
            </w:pPr>
          </w:p>
        </w:tc>
        <w:tc>
          <w:tcPr>
            <w:tcW w:w="2040" w:type="dxa"/>
            <w:vAlign w:val="bottom"/>
            <w:tcBorders>
              <w:top w:val="single" w:sz="8" w:color="0000EE"/>
            </w:tcBorders>
            <w:gridSpan w:val="12"/>
          </w:tcPr>
          <w:p>
            <w:pPr>
              <w:spacing w:after="0"/>
              <w:rPr>
                <w:sz w:val="24"/>
                <w:szCs w:val="24"/>
                <w:color w:val="auto"/>
              </w:rPr>
            </w:pPr>
          </w:p>
        </w:tc>
        <w:tc>
          <w:tcPr>
            <w:tcW w:w="2940" w:type="dxa"/>
            <w:vAlign w:val="bottom"/>
            <w:gridSpan w:val="10"/>
          </w:tcPr>
          <w:p>
            <w:pPr>
              <w:jc w:val="right"/>
              <w:ind w:right="34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47" w:right="299" w:bottom="1440" w:gutter="0" w:footer="0" w:header="0"/>
        </w:sectPr>
      </w:pPr>
    </w:p>
    <w:bookmarkStart w:id="2" w:name="page3"/>
    <w:bookmarkEnd w:id="2"/>
    <w:p>
      <w:pPr>
        <w:ind w:right="500" w:firstLine="546"/>
        <w:spacing w:after="0" w:line="279" w:lineRule="auto"/>
        <w:rPr>
          <w:sz w:val="20"/>
          <w:szCs w:val="20"/>
          <w:color w:val="auto"/>
        </w:rPr>
      </w:pPr>
      <w:r>
        <w:rPr>
          <w:rFonts w:ascii="Arial" w:cs="Arial" w:eastAsia="Arial" w:hAnsi="Arial"/>
          <w:sz w:val="17"/>
          <w:szCs w:val="17"/>
          <w:i w:val="1"/>
          <w:iCs w:val="1"/>
          <w:color w:val="auto"/>
        </w:rPr>
        <w:t>In this Annual Report on Form 10-K, Annual Report, unless the context requires otherwise, “Eledon”, the "Company", "we", "our", and "us" means Eledon Pharmaceuticals, Inc. (formerly Novus Therapeutics, Inc.) and all wholly owned subsidiaries.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114" w:lineRule="exact"/>
        <w:rPr>
          <w:sz w:val="20"/>
          <w:szCs w:val="20"/>
          <w:color w:val="auto"/>
        </w:rPr>
      </w:pPr>
    </w:p>
    <w:p>
      <w:pPr>
        <w:ind w:right="100" w:firstLine="546"/>
        <w:spacing w:after="0" w:line="258" w:lineRule="auto"/>
        <w:rPr>
          <w:sz w:val="20"/>
          <w:szCs w:val="20"/>
          <w:color w:val="auto"/>
        </w:rPr>
      </w:pPr>
      <w:r>
        <w:rPr>
          <w:rFonts w:ascii="Arial" w:cs="Arial" w:eastAsia="Arial" w:hAnsi="Arial"/>
          <w:sz w:val="17"/>
          <w:szCs w:val="17"/>
          <w:color w:val="auto"/>
        </w:rPr>
        <w:t>This Annual Report on Form 10-K contains “forward-looking statements” as defined by the Private Securities Litigation Reform Act of 1995, which statements involve substantial risks and uncertainties. Any statements in this Annual Report on Form 10-K about the Company’s future expectations, plans and prospects, including statements about its strategy, future operations, development of its product candidates, the review of strategic alternatives and the outcome of such review and other statements containing words such as “believes,” “anticipates,” “plans,” “expects,” “estimates,” “intends,” “predicts,” “projects,” “targets,” “could,” “may,” and similar expressions, constitute forward-looking statements, although not all forward-looking statements include such identifying words. Forward-looking statements include, but are not limited to statements regarding:</w:t>
      </w:r>
    </w:p>
    <w:p>
      <w:pPr>
        <w:spacing w:after="0" w:line="80" w:lineRule="exact"/>
        <w:rPr>
          <w:sz w:val="20"/>
          <w:szCs w:val="20"/>
          <w:color w:val="auto"/>
        </w:rPr>
      </w:pPr>
    </w:p>
    <w:p>
      <w:pPr>
        <w:ind w:left="900" w:right="160" w:hanging="407"/>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short operating history and the Anelixis acquisition, which may make it difficult to evaluate the success of our business to date and to assess our future viability;</w:t>
      </w:r>
    </w:p>
    <w:p>
      <w:pPr>
        <w:spacing w:after="0" w:line="61"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on our operations, including our ability to execute clinical trials or access capital markets;</w:t>
      </w:r>
    </w:p>
    <w:p>
      <w:pPr>
        <w:spacing w:after="0" w:line="126" w:lineRule="exact"/>
        <w:rPr>
          <w:rFonts w:ascii="Arial" w:cs="Arial" w:eastAsia="Arial" w:hAnsi="Arial"/>
          <w:sz w:val="17"/>
          <w:szCs w:val="17"/>
          <w:color w:val="auto"/>
        </w:rPr>
      </w:pPr>
    </w:p>
    <w:p>
      <w:pPr>
        <w:ind w:left="900" w:right="620" w:hanging="407"/>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regarding the timing for the commencement and completion of product development or clinical trials for the Company’s product candidates;</w:t>
      </w:r>
    </w:p>
    <w:p>
      <w:pPr>
        <w:spacing w:after="0" w:line="61"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costs, conduct and outcome of preclinical studies and clinical trials;</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meeting future clinical and regulatory milestones, such as New Drug Application (“NDA”) submissions;</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clinical trials of the Company’s product candidates may not be successful in establishing safety and tolerability or efficacy;</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plans and timing with respect to seeking regulatory approvals and uncertainties regarding the regulatory process;</w:t>
      </w:r>
    </w:p>
    <w:p>
      <w:pPr>
        <w:spacing w:after="0" w:line="126" w:lineRule="exact"/>
        <w:rPr>
          <w:rFonts w:ascii="Arial" w:cs="Arial" w:eastAsia="Arial" w:hAnsi="Arial"/>
          <w:sz w:val="17"/>
          <w:szCs w:val="17"/>
          <w:color w:val="auto"/>
        </w:rPr>
      </w:pPr>
    </w:p>
    <w:p>
      <w:pPr>
        <w:ind w:left="900" w:right="140" w:hanging="407"/>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treatment of data by the U.S. Food and Drug Administration (“FDA”), the European Medicines Agency (“EMA”) or other regulatory authorities of the Company’s product candidates;</w:t>
      </w:r>
    </w:p>
    <w:p>
      <w:pPr>
        <w:spacing w:after="0" w:line="61"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the Company’s product candidates;</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commercialization, marketing, and manufacturing capabilities and strategy;</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intellectual property position and strategy;</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ability to identify additional product candidates with significant commercial potential;</w:t>
      </w:r>
    </w:p>
    <w:p>
      <w:pPr>
        <w:spacing w:after="0" w:line="126" w:lineRule="exact"/>
        <w:rPr>
          <w:rFonts w:ascii="Arial" w:cs="Arial" w:eastAsia="Arial" w:hAnsi="Arial"/>
          <w:sz w:val="17"/>
          <w:szCs w:val="17"/>
          <w:color w:val="auto"/>
        </w:rPr>
      </w:pPr>
    </w:p>
    <w:p>
      <w:pPr>
        <w:ind w:left="900" w:right="120" w:hanging="407"/>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funds and resources to pursue the Company’s research and development projects, including preclinical studies and clinical trials of its product candidates, and manufacturing activities;</w:t>
      </w:r>
    </w:p>
    <w:p>
      <w:pPr>
        <w:spacing w:after="0" w:line="61"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estimates regarding expenses, future revenue, capital requirements and needs for additional financing;</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ability to continue as a going concern;</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relating to the Company’s competitors and industry;</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government laws and regulations; and</w:t>
      </w:r>
    </w:p>
    <w:p>
      <w:pPr>
        <w:spacing w:after="0" w:line="126" w:lineRule="exact"/>
        <w:rPr>
          <w:rFonts w:ascii="Arial" w:cs="Arial" w:eastAsia="Arial" w:hAnsi="Arial"/>
          <w:sz w:val="17"/>
          <w:szCs w:val="17"/>
          <w:color w:val="auto"/>
        </w:rPr>
      </w:pPr>
    </w:p>
    <w:p>
      <w:pPr>
        <w:ind w:left="900" w:hanging="407"/>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over which the Company’s cash balances will fund its operations.</w:t>
      </w:r>
    </w:p>
    <w:p>
      <w:pPr>
        <w:spacing w:after="0" w:line="243"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Actual results may differ materially from those indicated by such forward-looking statements as a result of various important factors, including: the ability to develop commercially viable product formulations on a timely basis, or at all; the sufficiency of the Company’s cash resources; the ability to obtain necessary regulatory and ethics approvals to commence additional clinical trials; whether data from early clinical trials will be indicative of the data that will be obtained from future clinical trials; whether the results of clinical trials will warrant submission for regulatory approval of any investigational product; whether any such submission will receive approval from the FDA or equivalent foreign regulatory agencies and, if the Company is able to obtain such approval for an investigational product, whether it will be successfully distributed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line="262" w:lineRule="auto"/>
        <w:rPr>
          <w:sz w:val="20"/>
          <w:szCs w:val="20"/>
          <w:color w:val="auto"/>
        </w:rPr>
      </w:pPr>
      <w:r>
        <w:rPr>
          <w:rFonts w:ascii="Arial" w:cs="Arial" w:eastAsia="Arial" w:hAnsi="Arial"/>
          <w:sz w:val="17"/>
          <w:szCs w:val="17"/>
          <w:color w:val="auto"/>
        </w:rPr>
        <w:t xml:space="preserve">marketed; and the duration of the COVID-19 pandemic, including economic and other impacts of the pandemic and actions taken in response to it by governments, businesses, and individuals. These risks and uncertainties, as well as other risks and uncertainties that could cause the Company’s actual results to differ significantly from the forward-looking statements contained herein, are described in greater detail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Annual Report on Form 10-K.</w:t>
      </w:r>
    </w:p>
    <w:p>
      <w:pPr>
        <w:spacing w:after="0" w:line="178" w:lineRule="exact"/>
        <w:rPr>
          <w:sz w:val="20"/>
          <w:szCs w:val="20"/>
          <w:color w:val="auto"/>
        </w:rPr>
      </w:pPr>
    </w:p>
    <w:p>
      <w:pPr>
        <w:ind w:right="580" w:firstLine="546"/>
        <w:spacing w:after="0" w:line="349" w:lineRule="auto"/>
        <w:rPr>
          <w:sz w:val="20"/>
          <w:szCs w:val="20"/>
          <w:color w:val="auto"/>
        </w:rPr>
      </w:pPr>
      <w:r>
        <w:rPr>
          <w:rFonts w:ascii="Arial" w:cs="Arial" w:eastAsia="Arial" w:hAnsi="Arial"/>
          <w:sz w:val="15"/>
          <w:szCs w:val="15"/>
          <w:color w:val="auto"/>
        </w:rPr>
        <w:t>Any forward-looking statements contained in this Annual Report on Form 10-K speak only as of the date hereof and not of any future date, and the Company expressly disclaims any intent to update any forward-looking statements, whether as a result of new information, future events or otherwise.</w:t>
      </w:r>
    </w:p>
    <w:p>
      <w:pPr>
        <w:spacing w:after="0" w:line="117" w:lineRule="exact"/>
        <w:rPr>
          <w:sz w:val="20"/>
          <w:szCs w:val="20"/>
          <w:color w:val="auto"/>
        </w:rPr>
      </w:pPr>
    </w:p>
    <w:p>
      <w:pPr>
        <w:ind w:right="320" w:firstLine="546"/>
        <w:spacing w:after="0" w:line="262" w:lineRule="auto"/>
        <w:rPr>
          <w:sz w:val="20"/>
          <w:szCs w:val="20"/>
          <w:color w:val="auto"/>
        </w:rPr>
      </w:pPr>
      <w:r>
        <w:rPr>
          <w:rFonts w:ascii="Arial" w:cs="Arial" w:eastAsia="Arial" w:hAnsi="Arial"/>
          <w:sz w:val="17"/>
          <w:szCs w:val="17"/>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7"/>
          <w:szCs w:val="17"/>
          <w:b w:val="1"/>
          <w:bCs w:val="1"/>
          <w:color w:val="auto"/>
        </w:rPr>
        <w:t>RISK FACTOR SUMMARY</w:t>
      </w:r>
    </w:p>
    <w:p>
      <w:pPr>
        <w:spacing w:after="0" w:line="223" w:lineRule="exact"/>
        <w:rPr>
          <w:sz w:val="20"/>
          <w:szCs w:val="20"/>
          <w:color w:val="auto"/>
        </w:rPr>
      </w:pPr>
    </w:p>
    <w:p>
      <w:pPr>
        <w:ind w:right="40" w:firstLine="546"/>
        <w:spacing w:after="0" w:line="302" w:lineRule="auto"/>
        <w:rPr>
          <w:sz w:val="20"/>
          <w:szCs w:val="20"/>
          <w:color w:val="auto"/>
        </w:rPr>
      </w:pPr>
      <w:r>
        <w:rPr>
          <w:rFonts w:ascii="Arial" w:cs="Arial" w:eastAsia="Arial" w:hAnsi="Arial"/>
          <w:sz w:val="15"/>
          <w:szCs w:val="15"/>
          <w:color w:val="auto"/>
        </w:rPr>
        <w:t xml:space="preserve">The following summarizes the principal factors that make an investment in the Company speculative or risky, all of which are more fully described in Part II, Item 1A, </w:t>
      </w:r>
      <w:r>
        <w:rPr>
          <w:rFonts w:ascii="Arial" w:cs="Arial" w:eastAsia="Arial" w:hAnsi="Arial"/>
          <w:sz w:val="15"/>
          <w:szCs w:val="15"/>
          <w:i w:val="1"/>
          <w:iCs w:val="1"/>
          <w:color w:val="auto"/>
        </w:rPr>
        <w:t>Risk Factors in this Annual Report on Form 10-K</w:t>
      </w:r>
      <w:r>
        <w:rPr>
          <w:rFonts w:ascii="Arial" w:cs="Arial" w:eastAsia="Arial" w:hAnsi="Arial"/>
          <w:sz w:val="15"/>
          <w:szCs w:val="15"/>
          <w:color w:val="auto"/>
        </w:rPr>
        <w:t>.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w:t>
      </w:r>
    </w:p>
    <w:p>
      <w:pPr>
        <w:spacing w:after="0" w:line="120" w:lineRule="exact"/>
        <w:rPr>
          <w:sz w:val="20"/>
          <w:szCs w:val="20"/>
          <w:color w:val="auto"/>
        </w:rPr>
      </w:pPr>
    </w:p>
    <w:p>
      <w:pPr>
        <w:ind w:left="900" w:right="160" w:hanging="407"/>
        <w:spacing w:after="0" w:line="25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short operating history and the Anelixis acquisition may make it difficult to evaluate the success of our business to date and to assess our future viability.</w:t>
      </w:r>
    </w:p>
    <w:p>
      <w:pPr>
        <w:spacing w:after="0" w:line="1" w:lineRule="exact"/>
        <w:rPr>
          <w:rFonts w:ascii="Arial" w:cs="Arial" w:eastAsia="Arial" w:hAnsi="Arial"/>
          <w:sz w:val="17"/>
          <w:szCs w:val="17"/>
          <w:color w:val="auto"/>
        </w:rPr>
      </w:pPr>
    </w:p>
    <w:p>
      <w:pPr>
        <w:ind w:left="900" w:right="60" w:hanging="407"/>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expect that we will continue to incur losses over the next several years and may never achieve or maintain profitability.</w:t>
      </w:r>
    </w:p>
    <w:p>
      <w:pPr>
        <w:ind w:left="900" w:right="240" w:hanging="407"/>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ind w:left="900" w:right="320" w:hanging="407"/>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and actions taken in response to it may result in additional disruptions to our business operations, which could have a material adverse effect on our business.</w:t>
      </w:r>
    </w:p>
    <w:p>
      <w:pPr>
        <w:ind w:left="900" w:right="80" w:hanging="407"/>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ind w:left="900" w:right="120" w:hanging="407"/>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Delays or difficulties in the enrollment of patients in clinical trials, could delay or prevent our receipt of necessary regulatory approvals and increase expenses for the development of our product candidates.</w:t>
      </w:r>
    </w:p>
    <w:p>
      <w:pPr>
        <w:ind w:left="900" w:right="280" w:hanging="407"/>
        <w:spacing w:after="0" w:line="25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serious adverse events or unacceptable side effects are identified during the development of our product candidates, we may need to abandon or limit our development of some of our product candidates.</w:t>
      </w:r>
    </w:p>
    <w:p>
      <w:pPr>
        <w:jc w:val="both"/>
        <w:ind w:left="900" w:right="100" w:hanging="407"/>
        <w:spacing w:after="0" w:line="28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will require additional funding to be able to complete the development of our lead drug candidate. If we are unable to raise capital when needed, we may be forced to significantly alter our business strategy, substantially curtail our current operations, or liquidate and cease operations altogether.</w:t>
      </w:r>
    </w:p>
    <w:p>
      <w:pPr>
        <w:ind w:left="900" w:hanging="407"/>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executives and key employees and to attract, retain and motivate qualified personnel in the future.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Product Candidates and Other Legal Compliance Matters</w:t>
      </w:r>
    </w:p>
    <w:p>
      <w:pPr>
        <w:spacing w:after="0" w:line="223" w:lineRule="exact"/>
        <w:rPr>
          <w:sz w:val="20"/>
          <w:szCs w:val="20"/>
          <w:color w:val="auto"/>
        </w:rPr>
      </w:pPr>
    </w:p>
    <w:p>
      <w:pPr>
        <w:ind w:left="900" w:hanging="407"/>
        <w:spacing w:after="0" w:line="25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1" w:lineRule="exact"/>
        <w:rPr>
          <w:rFonts w:ascii="Arial" w:cs="Arial" w:eastAsia="Arial" w:hAnsi="Arial"/>
          <w:sz w:val="17"/>
          <w:szCs w:val="17"/>
          <w:color w:val="auto"/>
        </w:rPr>
      </w:pPr>
    </w:p>
    <w:p>
      <w:pPr>
        <w:ind w:left="900" w:right="360" w:hanging="407"/>
        <w:spacing w:after="0" w:line="269"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ind w:left="900" w:right="280" w:hanging="407"/>
        <w:spacing w:after="0" w:line="25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Legislation regulating the pharmaceutical and healthcare industries may increase the difficulty and cost for us to obtain marketing approval of and commercialize our product candidates and affect the prices we may obtain.</w:t>
      </w:r>
    </w:p>
    <w:p>
      <w:pPr>
        <w:jc w:val="both"/>
        <w:ind w:left="900" w:right="180" w:hanging="407"/>
        <w:spacing w:after="0" w:line="25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operations and relationships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ind w:left="900" w:right="380" w:hanging="407"/>
        <w:spacing w:after="0" w:line="25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have a material adverse effect on our reputation, business, financial condition or results of operations.</w:t>
      </w:r>
    </w:p>
    <w:p>
      <w:pPr>
        <w:ind w:left="900" w:right="600" w:hanging="407"/>
        <w:spacing w:after="0" w:line="25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European data collection is governed by restrictive regulations governing the collection, use, processing and cross-border transfer of personal information.</w:t>
      </w:r>
    </w:p>
    <w:p>
      <w:pPr>
        <w:ind w:left="900" w:right="400" w:hanging="407"/>
        <w:spacing w:after="0" w:line="26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comply with environmental, health and safety laws and regulations, we could become subject to fines or penalties or incur costs that could harm our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120" w:lineRule="exact"/>
        <w:rPr>
          <w:sz w:val="20"/>
          <w:szCs w:val="20"/>
          <w:color w:val="auto"/>
        </w:rPr>
      </w:pPr>
    </w:p>
    <w:p>
      <w:pPr>
        <w:ind w:left="900" w:right="200" w:hanging="407"/>
        <w:spacing w:after="0" w:line="25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1" w:lineRule="exact"/>
        <w:rPr>
          <w:rFonts w:ascii="Arial" w:cs="Arial" w:eastAsia="Arial" w:hAnsi="Arial"/>
          <w:sz w:val="17"/>
          <w:szCs w:val="17"/>
          <w:color w:val="auto"/>
        </w:rPr>
      </w:pPr>
    </w:p>
    <w:p>
      <w:pPr>
        <w:ind w:left="900" w:right="200" w:hanging="407"/>
        <w:spacing w:after="0" w:line="25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ind w:left="900" w:right="480" w:hanging="407"/>
        <w:spacing w:after="0" w:line="269"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ind w:left="900" w:right="680" w:hanging="407"/>
        <w:spacing w:after="0" w:line="25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competing products before or more successfully than we do.</w:t>
      </w:r>
    </w:p>
    <w:p>
      <w:pPr>
        <w:ind w:left="900" w:right="440" w:hanging="407"/>
        <w:spacing w:after="0" w:line="28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ind w:left="900" w:hanging="407"/>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Product liability lawsuits against us could cause us to incur substantial liabilities and to limit commercialization of any products that we may develop.</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23" w:lineRule="exact"/>
        <w:rPr>
          <w:sz w:val="20"/>
          <w:szCs w:val="20"/>
          <w:color w:val="auto"/>
        </w:rPr>
      </w:pPr>
    </w:p>
    <w:p>
      <w:pPr>
        <w:ind w:left="900" w:hanging="407"/>
        <w:spacing w:after="0" w:line="257"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reliance on third parties for the manufacture of our product candidates for nonclinical and clinical trials, and for eventual commercialization, increases the risk that we will not have sufficient quantities of our product candidates or products at an acceptable cost and quality, which could delay, prevent or impair our development or commercialization efforts.</w:t>
      </w:r>
    </w:p>
    <w:p>
      <w:pPr>
        <w:spacing w:after="0" w:line="1" w:lineRule="exact"/>
        <w:rPr>
          <w:rFonts w:ascii="Arial" w:cs="Arial" w:eastAsia="Arial" w:hAnsi="Arial"/>
          <w:sz w:val="17"/>
          <w:szCs w:val="17"/>
          <w:color w:val="auto"/>
        </w:rPr>
      </w:pPr>
    </w:p>
    <w:p>
      <w:pPr>
        <w:ind w:left="900" w:right="620" w:hanging="407"/>
        <w:spacing w:after="0" w:line="334"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3" w:lineRule="exact"/>
        <w:rPr>
          <w:sz w:val="20"/>
          <w:szCs w:val="20"/>
          <w:color w:val="auto"/>
        </w:rPr>
      </w:pPr>
    </w:p>
    <w:p>
      <w:pPr>
        <w:ind w:left="900" w:right="160" w:hanging="407"/>
        <w:spacing w:after="0" w:line="257"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1" w:lineRule="exact"/>
        <w:rPr>
          <w:rFonts w:ascii="Arial" w:cs="Arial" w:eastAsia="Arial" w:hAnsi="Arial"/>
          <w:sz w:val="17"/>
          <w:szCs w:val="17"/>
          <w:color w:val="auto"/>
        </w:rPr>
      </w:pPr>
    </w:p>
    <w:p>
      <w:pPr>
        <w:ind w:left="900" w:right="160" w:hanging="407"/>
        <w:spacing w:after="0" w:line="253"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become involved in lawsuits to protect or enforce our patents or other intellectual property, which could be expensive, time-consuming and unsuccessful.</w:t>
      </w:r>
    </w:p>
    <w:p>
      <w:pPr>
        <w:ind w:left="900" w:right="900" w:hanging="407"/>
        <w:spacing w:after="0" w:line="253"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need to license certain intellectual property from third parties, and such licenses may not be available or may not be available on commercially reasonable terms.</w:t>
      </w:r>
    </w:p>
    <w:p>
      <w:pPr>
        <w:ind w:left="900" w:hanging="407"/>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protect the confidentiality of our trade secrets, our business and competitive position would be harmed.</w:t>
      </w:r>
    </w:p>
    <w:p>
      <w:pPr>
        <w:spacing w:after="0" w:line="25" w:lineRule="exact"/>
        <w:rPr>
          <w:rFonts w:ascii="Arial" w:cs="Arial" w:eastAsia="Arial" w:hAnsi="Arial"/>
          <w:sz w:val="17"/>
          <w:szCs w:val="17"/>
          <w:color w:val="auto"/>
        </w:rPr>
      </w:pPr>
    </w:p>
    <w:p>
      <w:pPr>
        <w:ind w:left="900" w:hanging="407"/>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subject to trade secret claims from former employers of Company personnel.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8" w:lineRule="exact"/>
        <w:rPr>
          <w:sz w:val="20"/>
          <w:szCs w:val="20"/>
          <w:color w:val="auto"/>
        </w:rPr>
      </w:pPr>
    </w:p>
    <w:p>
      <w:pPr>
        <w:ind w:left="900" w:right="240" w:hanging="407"/>
        <w:spacing w:after="0" w:line="25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 price could be volatile as holders of our preferred stock become able to convert their shares to common stock and sell these shares in the open market.</w:t>
      </w:r>
    </w:p>
    <w:p>
      <w:pPr>
        <w:ind w:left="900" w:right="220" w:hanging="407"/>
        <w:spacing w:after="0" w:line="25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establish and maintain proper and effective internal control over financial reporting, our operating results and our ability to operate our business could be harmed.</w:t>
      </w:r>
    </w:p>
    <w:p>
      <w:pPr>
        <w:ind w:left="900" w:right="220" w:hanging="407"/>
        <w:spacing w:after="0" w:line="25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Provisions in our corporate charter and under Delaware law could make an acquisition of the Company more difficult and may prevent attempts by our stockholders to replace or remove our current management.</w:t>
      </w:r>
    </w:p>
    <w:p>
      <w:pPr>
        <w:ind w:left="900" w:hanging="407"/>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do not expect to pay any cash dividends in the foreseeable future.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8" w:lineRule="exact"/>
        <w:rPr>
          <w:sz w:val="20"/>
          <w:szCs w:val="20"/>
          <w:color w:val="auto"/>
        </w:rPr>
      </w:pPr>
    </w:p>
    <w:p>
      <w:pPr>
        <w:ind w:right="120" w:firstLine="602"/>
        <w:spacing w:after="0" w:line="255" w:lineRule="auto"/>
        <w:rPr>
          <w:sz w:val="20"/>
          <w:szCs w:val="20"/>
          <w:color w:val="auto"/>
        </w:rPr>
      </w:pPr>
      <w:r>
        <w:rPr>
          <w:rFonts w:ascii="Arial" w:cs="Arial" w:eastAsia="Arial" w:hAnsi="Arial"/>
          <w:sz w:val="17"/>
          <w:szCs w:val="17"/>
          <w:color w:val="auto"/>
        </w:rPr>
        <w:t>Eledon Pharmaceuticals, Inc. (“Eledon” or the “Company”) is a clinical stage biopharmaceutical company focused on developing life-changing, targeted medicines for persons living with an autoimmune disease, requiring an organ or cell-based transplant, or living with amyotrophic lateral sclerosis (“ALS”). Our lead product candidate, AT-1501, is a humanized monoclonal antibody (mAb), designed to target CD40 Ligand (“CD40L”), also called CD154), a molecule expressed on the surface of human immune system T cells. The central role of CD40/CD40L signaling in generating pro-inflammatory responses makes it an attractive candidate for therapeutic intervention in autoimmune disease, induction and maintenance of transplant tolerance, and neuroinflammation. Blocking the activation of the CD40L pathway prevents acute and long-term allograft transplant rejection in multiple animal species and ameliorates disease progression and pathology in preclinical models of autoimmunity and ALS.</w:t>
      </w:r>
    </w:p>
    <w:p>
      <w:pPr>
        <w:spacing w:after="0" w:line="185" w:lineRule="exact"/>
        <w:rPr>
          <w:sz w:val="20"/>
          <w:szCs w:val="20"/>
          <w:color w:val="auto"/>
        </w:rPr>
      </w:pPr>
    </w:p>
    <w:p>
      <w:pPr>
        <w:ind w:right="20" w:firstLine="546"/>
        <w:spacing w:after="0" w:line="294" w:lineRule="auto"/>
        <w:rPr>
          <w:sz w:val="20"/>
          <w:szCs w:val="20"/>
          <w:color w:val="auto"/>
        </w:rPr>
      </w:pPr>
      <w:r>
        <w:rPr>
          <w:rFonts w:ascii="Arial" w:cs="Arial" w:eastAsia="Arial" w:hAnsi="Arial"/>
          <w:sz w:val="15"/>
          <w:szCs w:val="15"/>
          <w:color w:val="auto"/>
        </w:rPr>
        <w:t>In September 2020, we acquired Anelixis Therapeutics, Inc. (“Anelixis”), the company that owned or controlled the intellectual property related to AT-1501. AT-1501 is a humanized IgG1 anti-CD40L antibody lacking Fc effector function. It is designed to inhibit signaling via CD40L, a costimulatory type II membrane receptor expressed on activated T cells and CD40, a receptor expressed on Antigen Presenting Cells (“APC”s). Interactions between B cells expressing CD40, and activated CD4+ “helper” T cells expressing CD40L, play a critical role in promoting germinal center formation, clonal expansion, antibody production, and the secretion of pro-inflammatory cytokines that amplify immune response. The role of CD40 in B cells has been extensively characterized and shown to have an important role in the generation of primary and secondary humoral immune responses to T cell dependent antigens. Anti-CD40L antibodies also inhibit both CD40 as well as CD11 costimulatory receptors on antigen presenting cells, thus inhibiting the pro-inflammatory polarization of CD4+ and CD8+ lymphocytes. Finally, blocking CD40L also polarizes CD4+ lymphocytes to FoxP3 positive Tregs, a specialized subpopulation of T cells that act to suppress immune response and create a more tolerogenic environment. Importantly, blocking the CD40-CD40L pathway has not been shown to cause systemic lymphopenia.</w:t>
      </w:r>
    </w:p>
    <w:p>
      <w:pPr>
        <w:spacing w:after="0" w:line="161" w:lineRule="exact"/>
        <w:rPr>
          <w:sz w:val="20"/>
          <w:szCs w:val="20"/>
          <w:color w:val="auto"/>
        </w:rPr>
      </w:pPr>
    </w:p>
    <w:p>
      <w:pPr>
        <w:ind w:right="500" w:firstLine="546"/>
        <w:spacing w:after="0" w:line="279" w:lineRule="auto"/>
        <w:rPr>
          <w:sz w:val="20"/>
          <w:szCs w:val="20"/>
          <w:color w:val="auto"/>
        </w:rPr>
      </w:pPr>
      <w:r>
        <w:rPr>
          <w:rFonts w:ascii="Arial" w:cs="Arial" w:eastAsia="Arial" w:hAnsi="Arial"/>
          <w:sz w:val="17"/>
          <w:szCs w:val="17"/>
          <w:color w:val="auto"/>
        </w:rPr>
        <w:t>Our business strategy is to optimize the clinical and commercial value of AT-1501, and become a global biopharmaceutical company with a focused autoimmune franchise.</w:t>
      </w:r>
    </w:p>
    <w:p>
      <w:pPr>
        <w:spacing w:after="0" w:line="164"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AT-1501 is designed to negate the risk of thrombolytic events seen in the first generation of anti-CD40L antibodies by introducing structural modifications that have been shown in preclinical models to eliminate binding to the Fcγ receptors associated with platelet activation without altering the binding of AT-1501 to CD40L. In non-human primate studies, dosing of AT-1501 up to 200 mg/kg per week for 26 weeks, demonstrated no adverse events regarding coagulation, platelet activation or thromboembolism.</w:t>
      </w:r>
    </w:p>
    <w:p>
      <w:pPr>
        <w:spacing w:after="0" w:line="178" w:lineRule="exact"/>
        <w:rPr>
          <w:sz w:val="20"/>
          <w:szCs w:val="20"/>
          <w:color w:val="auto"/>
        </w:rPr>
      </w:pPr>
    </w:p>
    <w:p>
      <w:pPr>
        <w:ind w:right="260" w:firstLine="546"/>
        <w:spacing w:after="0" w:line="318" w:lineRule="auto"/>
        <w:rPr>
          <w:sz w:val="20"/>
          <w:szCs w:val="20"/>
          <w:color w:val="auto"/>
        </w:rPr>
      </w:pPr>
      <w:r>
        <w:rPr>
          <w:rFonts w:ascii="Arial" w:cs="Arial" w:eastAsia="Arial" w:hAnsi="Arial"/>
          <w:sz w:val="15"/>
          <w:szCs w:val="15"/>
          <w:color w:val="auto"/>
        </w:rPr>
        <w:t>We have completed a single ascending dose Phase 1 study of AT-1501 in healthy volunteers and people with ALS. In this study, the doses of AT-1501 studied were well tolerated in healthy subjects and adults with ALS, and demonstrated a safety profile comparable to placebo. AT-1501 demonstrated low anti-drug antibody responses that were not dose related, linear dose proportionality across the dose ranges, and a half-life of up to 26 days.</w:t>
      </w:r>
    </w:p>
    <w:p>
      <w:pPr>
        <w:spacing w:after="0" w:line="139" w:lineRule="exact"/>
        <w:rPr>
          <w:sz w:val="20"/>
          <w:szCs w:val="20"/>
          <w:color w:val="auto"/>
        </w:rPr>
      </w:pPr>
    </w:p>
    <w:p>
      <w:pPr>
        <w:ind w:right="220" w:firstLine="546"/>
        <w:spacing w:after="0" w:line="283" w:lineRule="auto"/>
        <w:rPr>
          <w:sz w:val="20"/>
          <w:szCs w:val="20"/>
          <w:color w:val="auto"/>
        </w:rPr>
      </w:pPr>
      <w:r>
        <w:rPr>
          <w:rFonts w:ascii="Arial" w:cs="Arial" w:eastAsia="Arial" w:hAnsi="Arial"/>
          <w:sz w:val="16"/>
          <w:szCs w:val="16"/>
          <w:color w:val="auto"/>
        </w:rPr>
        <w:t>We plan to develop AT-1501 in up to four indications: prevention of kidney allograft rejection, prevention of islet cell allograft rejection, autoimmune nephritis, and ALS. We selected our indications based on preclinical and clinical data that was generated with either our molecule or historical anti-CD40L molecules. In October 2020, we initiated a Phase 2a clinical trial of AT-1501 in ALS. In November 2020, we received clearance from Health Canada to proceed with the initiation of a Phase 2 clinical trial of AT-1501 in islet cell transplantation for the treatment of type 1 diabetes.</w:t>
      </w:r>
    </w:p>
    <w:p>
      <w:pPr>
        <w:spacing w:after="0" w:line="164" w:lineRule="exact"/>
        <w:rPr>
          <w:sz w:val="20"/>
          <w:szCs w:val="20"/>
          <w:color w:val="auto"/>
        </w:rPr>
      </w:pPr>
    </w:p>
    <w:p>
      <w:pPr>
        <w:ind w:right="60" w:firstLine="546"/>
        <w:spacing w:after="0" w:line="302" w:lineRule="auto"/>
        <w:rPr>
          <w:sz w:val="20"/>
          <w:szCs w:val="20"/>
          <w:color w:val="auto"/>
        </w:rPr>
      </w:pPr>
      <w:r>
        <w:rPr>
          <w:rFonts w:ascii="Arial" w:cs="Arial" w:eastAsia="Arial" w:hAnsi="Arial"/>
          <w:sz w:val="15"/>
          <w:szCs w:val="15"/>
          <w:color w:val="auto"/>
        </w:rPr>
        <w:t>Prior to our acquisition of Anelixis, we had been focused on developing medicines for patients with disorders of the ear, nose, and throat (“ENT”). In June 2020, we announced that our lead program did not achieve statistical significance for the primary efficacy endpoints in the treatment of acute otitis media. As a result of this failure to achieve the primary study endpoint, we suspended the clinical development of our legacy ENT assets while we assessed potential development strategies. Following the June 2020 announcement, we significantly curtailed development expenses as we sought to identify strategic alternatives that would maximize stockholder value. As a result of these activities, we acquired Anelixis and raised additional capital in September 2020, as described above.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Kidney transplantation: prevention of allograft rejection</w:t>
      </w:r>
    </w:p>
    <w:p>
      <w:pPr>
        <w:spacing w:after="0" w:line="120" w:lineRule="exact"/>
        <w:rPr>
          <w:sz w:val="20"/>
          <w:szCs w:val="20"/>
          <w:color w:val="auto"/>
        </w:rPr>
      </w:pPr>
    </w:p>
    <w:p>
      <w:pPr>
        <w:ind w:right="220" w:firstLine="546"/>
        <w:spacing w:after="0" w:line="262" w:lineRule="auto"/>
        <w:rPr>
          <w:sz w:val="20"/>
          <w:szCs w:val="20"/>
          <w:color w:val="auto"/>
        </w:rPr>
      </w:pPr>
      <w:r>
        <w:rPr>
          <w:rFonts w:ascii="Arial" w:cs="Arial" w:eastAsia="Arial" w:hAnsi="Arial"/>
          <w:sz w:val="17"/>
          <w:szCs w:val="17"/>
          <w:color w:val="auto"/>
        </w:rPr>
        <w:t>Kidney transplantation is the most common type of solid organ transplantation in the United States with an estimated 200,000 Americans living with a transplanted kidney. In 2019, an estimated 23,000 kidneys were transplanted, of which 10-15% were re-transplants in persons that had already received at least one other kidney. Yet, over 90,000 people in the U.S. are waiting for a kidney transplant and in 2014, nearly 5,000 Americans died waiting for a kidney with another nearly 4,000 becoming too sick to receive a transplant.</w:t>
      </w:r>
    </w:p>
    <w:p>
      <w:pPr>
        <w:spacing w:after="0" w:line="178"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Calcineurin inhibitor (“CNI”s) are a critical component of many immunosuppressive regimens to prevent acute and long-term kidney transplant rejection. However, chronic exposure to certain CNIs including tacrolimus is associated with nephrotoxicity, cardiotoxicity, an increase in opportunistic infections, increased malignancies, and an increase in type 1 diabetes due to pancreatic Beta cell toxicity. These liabilities may result in a requirement for reduced exposures to CNIs over long periods of time and a resulting decrease in the ability to prevent long-term rejection.</w:t>
      </w:r>
    </w:p>
    <w:p>
      <w:pPr>
        <w:spacing w:after="0" w:line="178" w:lineRule="exact"/>
        <w:rPr>
          <w:sz w:val="20"/>
          <w:szCs w:val="20"/>
          <w:color w:val="auto"/>
        </w:rPr>
      </w:pPr>
    </w:p>
    <w:p>
      <w:pPr>
        <w:ind w:right="260" w:firstLine="546"/>
        <w:spacing w:after="0" w:line="318" w:lineRule="auto"/>
        <w:rPr>
          <w:sz w:val="20"/>
          <w:szCs w:val="20"/>
          <w:color w:val="auto"/>
        </w:rPr>
      </w:pPr>
      <w:r>
        <w:rPr>
          <w:rFonts w:ascii="Arial" w:cs="Arial" w:eastAsia="Arial" w:hAnsi="Arial"/>
          <w:sz w:val="15"/>
          <w:szCs w:val="15"/>
          <w:color w:val="auto"/>
        </w:rPr>
        <w:t>AT-1501 seeks to address challenges associated with current immunosuppressive transplantation regimens using CNI-based therapies. The ability to prevent acute and chronic transplant rejection without the need for CNIs has the potential to transform the clinical management of preventing graft rejection by mitigating the adverse events associated with CNIs and improving long-term graft survival, thus potentially decreasing the need for repeat kidney transplants.</w:t>
      </w:r>
    </w:p>
    <w:p>
      <w:pPr>
        <w:spacing w:after="0" w:line="139" w:lineRule="exact"/>
        <w:rPr>
          <w:sz w:val="20"/>
          <w:szCs w:val="20"/>
          <w:color w:val="auto"/>
        </w:rPr>
      </w:pPr>
    </w:p>
    <w:p>
      <w:pPr>
        <w:ind w:firstLine="546"/>
        <w:spacing w:after="0" w:line="312" w:lineRule="auto"/>
        <w:rPr>
          <w:sz w:val="20"/>
          <w:szCs w:val="20"/>
          <w:color w:val="auto"/>
        </w:rPr>
      </w:pPr>
      <w:r>
        <w:rPr>
          <w:rFonts w:ascii="Arial" w:cs="Arial" w:eastAsia="Arial" w:hAnsi="Arial"/>
          <w:sz w:val="16"/>
          <w:szCs w:val="16"/>
          <w:color w:val="auto"/>
        </w:rPr>
        <w:t>Several historical studies have described the effects of anti-CD40L antibodies in nonhuman primate models of kidney transplant and shown that even short courses of anti CD40L therapy can prevent both acute rejection and long-term rejection in nonhuman primates with durable efficacy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5026660" cy="4551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26660"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430" w:right="379" w:bottom="1440"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7"/>
          <w:szCs w:val="17"/>
          <w:b w:val="1"/>
          <w:bCs w:val="1"/>
          <w:color w:val="auto"/>
        </w:rPr>
        <w:t xml:space="preserve">Figure 2: Historical Anti-CD40L Antibody 5c8 Prevents Acute and Long Term Kidney Transplant Rejection in Nonhuman Primates. (A) </w:t>
      </w:r>
      <w:r>
        <w:rPr>
          <w:rFonts w:ascii="Arial" w:cs="Arial" w:eastAsia="Arial" w:hAnsi="Arial"/>
          <w:sz w:val="17"/>
          <w:szCs w:val="17"/>
          <w:color w:val="auto"/>
        </w:rPr>
        <w:t>Kaplan Meier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Graph: ABI793, an anti-CD40L antibody or an IgG isotype control antibody was given intravenously to seven monkeys on postoperative days (PODs) 0, 1, 4, 11, 18, 28, 56, and 84 at a dose of 20 mg/kg (Kanmaz, 2004). </w:t>
      </w:r>
      <w:r>
        <w:rPr>
          <w:rFonts w:ascii="Arial" w:cs="Arial" w:eastAsia="Arial" w:hAnsi="Arial"/>
          <w:sz w:val="17"/>
          <w:szCs w:val="17"/>
          <w:b w:val="1"/>
          <w:bCs w:val="1"/>
          <w:color w:val="auto"/>
        </w:rPr>
        <w:t>(B)</w:t>
      </w:r>
      <w:r>
        <w:rPr>
          <w:rFonts w:ascii="Arial" w:cs="Arial" w:eastAsia="Arial" w:hAnsi="Arial"/>
          <w:sz w:val="17"/>
          <w:szCs w:val="17"/>
          <w:color w:val="auto"/>
        </w:rPr>
        <w:t xml:space="preserve"> The combination of anti-CD154 dAb with basiliximab, mycophenolate mofetil, and steroids significantly improved rejection-free allograft survival (Kim,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Islet cell transplantation (“ICT”): prevention of allograft rejection</w:t>
      </w:r>
    </w:p>
    <w:p>
      <w:pPr>
        <w:spacing w:after="0" w:line="223" w:lineRule="exact"/>
        <w:rPr>
          <w:sz w:val="20"/>
          <w:szCs w:val="20"/>
          <w:color w:val="auto"/>
        </w:rPr>
      </w:pPr>
    </w:p>
    <w:p>
      <w:pPr>
        <w:ind w:right="80" w:firstLine="546"/>
        <w:spacing w:after="0" w:line="295" w:lineRule="auto"/>
        <w:rPr>
          <w:sz w:val="20"/>
          <w:szCs w:val="20"/>
          <w:color w:val="auto"/>
        </w:rPr>
      </w:pPr>
      <w:r>
        <w:rPr>
          <w:rFonts w:ascii="Arial" w:cs="Arial" w:eastAsia="Arial" w:hAnsi="Arial"/>
          <w:sz w:val="15"/>
          <w:szCs w:val="15"/>
          <w:color w:val="auto"/>
        </w:rPr>
        <w:t>Type 1 diabetes is a T cell mediated autoimmune disease with progressive loss of insulin producing pancreatic beta cells and affects over one million persons in the U.S. Of these individuals, an estimated 70,000 people have a particularly hard to control type 1 diabetes called Brittle Diabetes (“BT1D”) which is in part characterized by large swings in blood glucose levels and impaired awareness of hypoglycemia. Impaired awareness of hypoglycemia for people with type 1 diabetes is associated with severe hypoglycemic events which can lead to significant symptoms and even death. Pancreatic islet cell transplantation is gaining attention as a therapeutic option for type 1 diabetes because it can restore physiological insulin secretion, minimize the risk of hypoglycemic unawareness, and reduce the risk of death due to severe hypoglycemia. The advances made in this field over the past decade have improved patient outcomes, and the procedure has been evolving from an experimental treatment to a clinical treatment option. In November 2020, we received clearance from Health Canada to proceed with the initiation of a Phase 2 clinical trial of AT-1501 in islet cell transplantation for the treatment of type 1 diabetes.</w:t>
      </w:r>
    </w:p>
    <w:p>
      <w:pPr>
        <w:spacing w:after="0" w:line="160" w:lineRule="exact"/>
        <w:rPr>
          <w:sz w:val="20"/>
          <w:szCs w:val="20"/>
          <w:color w:val="auto"/>
        </w:rPr>
      </w:pPr>
    </w:p>
    <w:p>
      <w:pPr>
        <w:ind w:right="20" w:firstLine="546"/>
        <w:spacing w:after="0" w:line="290" w:lineRule="auto"/>
        <w:rPr>
          <w:sz w:val="20"/>
          <w:szCs w:val="20"/>
          <w:color w:val="auto"/>
        </w:rPr>
      </w:pPr>
      <w:r>
        <w:rPr>
          <w:rFonts w:ascii="Arial" w:cs="Arial" w:eastAsia="Arial" w:hAnsi="Arial"/>
          <w:sz w:val="15"/>
          <w:szCs w:val="15"/>
          <w:color w:val="auto"/>
        </w:rPr>
        <w:t>A number of issues are believed to continue to hamper the overall success of ICT and to need to be addressed in order for there to be widespread clinical acceptance. These include the acute loss of transplanted islets with current immunosuppressive treatments, particularly those with CNI-based therapies, due to islet cell toxicity and alloreactive immunologic responses to transplanted islets. Over time, the progressive loss of islet cells and decline in islet cell function often leads to the need for multiple donors in order for BTID patients to have optimal response to blood glucose levels and possibly achieve insulin independence. AT-</w:t>
      </w:r>
    </w:p>
    <w:p>
      <w:pPr>
        <w:spacing w:after="0" w:line="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1501 seeks to address the challenges associated with current ICT immunosuppressive regimens using CNI-based therapies, by replacing the CNIs with AT-1501. CD40L blockade may abolish many effector mechanisms of inflammation, prevent and intervene in the progression of autoimmunity, and instill transplant tolerance.</w:t>
      </w:r>
    </w:p>
    <w:p>
      <w:pPr>
        <w:spacing w:after="0" w:line="181" w:lineRule="exact"/>
        <w:rPr>
          <w:sz w:val="20"/>
          <w:szCs w:val="20"/>
          <w:color w:val="auto"/>
        </w:rPr>
      </w:pPr>
    </w:p>
    <w:p>
      <w:pPr>
        <w:ind w:firstLine="546"/>
        <w:spacing w:after="0" w:line="259" w:lineRule="auto"/>
        <w:rPr>
          <w:sz w:val="20"/>
          <w:szCs w:val="20"/>
          <w:color w:val="auto"/>
        </w:rPr>
      </w:pPr>
      <w:r>
        <w:rPr>
          <w:rFonts w:ascii="Arial" w:cs="Arial" w:eastAsia="Arial" w:hAnsi="Arial"/>
          <w:sz w:val="17"/>
          <w:szCs w:val="17"/>
          <w:color w:val="auto"/>
        </w:rPr>
        <w:t>Historical studies in nonhuman primate models of islet cell transplantation have demonstrated that treatment with anti-CD40L antibodies induces long term islet cell function and graft survival, even as a monotherapy. AT-1501 has shown pre-clinical, proof-of-concept efficacy in a non-human primate model of type 1 diabetes, where animals undergoing ICT maintained glucose control and sustained levels of C-peptide with chronic AT-1501 treatment for up to a year. Compared to combination immunosuppressive therapy including CNIs, AT-1501 monotherapy was more effective in preventing long term islet cell rejection, associated with better graft function, and showed an improved safety profile (Figure 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219710</wp:posOffset>
            </wp:positionV>
            <wp:extent cx="5067300" cy="285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067300" cy="285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3: Fasting, Postprandial Blood Glucose and C-Peptide Levels Over Time</w:t>
      </w:r>
      <w:r>
        <w:rPr>
          <w:rFonts w:ascii="Arial" w:cs="Arial" w:eastAsia="Arial" w:hAnsi="Arial"/>
          <w:sz w:val="16"/>
          <w:szCs w:val="16"/>
          <w:color w:val="auto"/>
        </w:rPr>
        <w:t>.</w:t>
      </w:r>
      <w:r>
        <w:rPr>
          <w:rFonts w:ascii="Arial" w:cs="Arial" w:eastAsia="Arial" w:hAnsi="Arial"/>
          <w:sz w:val="16"/>
          <w:szCs w:val="16"/>
          <w:b w:val="1"/>
          <w:bCs w:val="1"/>
          <w:color w:val="auto"/>
        </w:rPr>
        <w:t xml:space="preserve"> Top Graphs</w:t>
      </w:r>
      <w:r>
        <w:rPr>
          <w:rFonts w:ascii="Arial" w:cs="Arial" w:eastAsia="Arial" w:hAnsi="Arial"/>
          <w:sz w:val="16"/>
          <w:szCs w:val="16"/>
          <w:color w:val="auto"/>
        </w:rPr>
        <w:t>: Daily fasting glucose levels (black circles); post prandial</w:t>
      </w:r>
    </w:p>
    <w:p>
      <w:pPr>
        <w:spacing w:after="0" w:line="3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glucose levels (green line) and exogenous insulin (blue line) versus time (days). </w:t>
      </w:r>
      <w:r>
        <w:rPr>
          <w:rFonts w:ascii="Arial" w:cs="Arial" w:eastAsia="Arial" w:hAnsi="Arial"/>
          <w:sz w:val="17"/>
          <w:szCs w:val="17"/>
          <w:b w:val="1"/>
          <w:bCs w:val="1"/>
          <w:color w:val="auto"/>
        </w:rPr>
        <w:t>Bottom Graphs</w:t>
      </w:r>
      <w:r>
        <w:rPr>
          <w:rFonts w:ascii="Arial" w:cs="Arial" w:eastAsia="Arial" w:hAnsi="Arial"/>
          <w:sz w:val="17"/>
          <w:szCs w:val="17"/>
          <w:color w:val="auto"/>
        </w:rPr>
        <w:t xml:space="preserve">: C peptide levels fasting blue bars) and post prandial (red bars) versus time (days). </w:t>
      </w:r>
      <w:r>
        <w:rPr>
          <w:rFonts w:ascii="Arial" w:cs="Arial" w:eastAsia="Arial" w:hAnsi="Arial"/>
          <w:sz w:val="17"/>
          <w:szCs w:val="17"/>
          <w:b w:val="1"/>
          <w:bCs w:val="1"/>
          <w:color w:val="auto"/>
        </w:rPr>
        <w:t>Left Panel Standard of Care (SOC</w:t>
      </w:r>
      <w:r>
        <w:rPr>
          <w:rFonts w:ascii="Arial" w:cs="Arial" w:eastAsia="Arial" w:hAnsi="Arial"/>
          <w:sz w:val="17"/>
          <w:szCs w:val="17"/>
          <w:color w:val="auto"/>
        </w:rPr>
        <w:t xml:space="preserve">): Thymoglobulin at 5 mg/kg on post-operative day (POD) -2, -1, 0, 1, 2, Enbrel at 0.8 mg/kg on POD 0 and at 0.4 mg/kg on POD 3, 7, 10. Sirolimus, starting on POD -2 at 0.02 mg/kg; target trough levels 8-12 ng/ml and Tacrolimus, starting on POD 1 at 0.025 mg/kg target trough levels 4-6 ng/ml. </w:t>
      </w:r>
      <w:r>
        <w:rPr>
          <w:rFonts w:ascii="Arial" w:cs="Arial" w:eastAsia="Arial" w:hAnsi="Arial"/>
          <w:sz w:val="17"/>
          <w:szCs w:val="17"/>
          <w:b w:val="1"/>
          <w:bCs w:val="1"/>
          <w:color w:val="auto"/>
        </w:rPr>
        <w:t>Right Panels AT-1501 Monotherapy</w:t>
      </w:r>
      <w:r>
        <w:rPr>
          <w:rFonts w:ascii="Arial" w:cs="Arial" w:eastAsia="Arial" w:hAnsi="Arial"/>
          <w:sz w:val="17"/>
          <w:szCs w:val="17"/>
          <w:color w:val="auto"/>
        </w:rPr>
        <w:t>: AT-1501 at 23-26 mg/kg in the first 3 months post-transplant on POD -1, 0, 3, 10, 18, 23, 28 and then every 14 days until end of study.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Autoimmune Nephritis</w:t>
      </w:r>
    </w:p>
    <w:p>
      <w:pPr>
        <w:spacing w:after="0" w:line="223" w:lineRule="exact"/>
        <w:rPr>
          <w:sz w:val="20"/>
          <w:szCs w:val="20"/>
          <w:color w:val="auto"/>
        </w:rPr>
      </w:pPr>
    </w:p>
    <w:p>
      <w:pPr>
        <w:ind w:firstLine="546"/>
        <w:spacing w:after="0" w:line="273" w:lineRule="auto"/>
        <w:rPr>
          <w:sz w:val="20"/>
          <w:szCs w:val="20"/>
          <w:color w:val="auto"/>
        </w:rPr>
      </w:pPr>
      <w:r>
        <w:rPr>
          <w:rFonts w:ascii="Arial" w:cs="Arial" w:eastAsia="Arial" w:hAnsi="Arial"/>
          <w:sz w:val="16"/>
          <w:szCs w:val="16"/>
          <w:color w:val="auto"/>
        </w:rPr>
        <w:t>Autoimmune Nephritis refers to a group of autoimmune disorders associated with inflammation and eventual destruction of the kidney. These disorders include Lupus Nephritis (“LN”), focal segmental glomerulosclerosis (“FSGS”) and IgA Nephropathy (“IgAN”). Systemic lupus erythematosus, (“SLE”), is one of the largest autoimmune populations globally and up to an estimated 40 percent of people with SLE develop LN, which may lead to kidney dysfunction, dialysis and end stage renal disease. LN is an orphan disease with an estimated prevalence of between 65,000 and 120,000 persons in the United States. FSGS is also an orphan disease with an estimated prevalence of 40,000 people in the US and variable progression to end stage renal failure. FSGS results from renal podocyte injury associated with immune complex formation in the glomeruli. IgAN, also called Berger’s disease, is a type of glomerulonephritis that occurs when galactose-deficient IgA immune complexes build up in the kidneys, causing inflammation that ultimately damages kidney tissues. With an estimated prevalence of approximately 140,000 persons in the United States, IgAN is one of the most common, orphan, kidney diseases. There are currently no European Medicines Agency (“EMA”) or U.S. Food and Drug Administration (“FDA”) approved treatments for IgAN or FSGS, and only two approved for LN, although immunosuppressants such as systemic steroids and CNIs are prescribed off-label.</w:t>
      </w:r>
    </w:p>
    <w:p>
      <w:pPr>
        <w:spacing w:after="0" w:line="176" w:lineRule="exact"/>
        <w:rPr>
          <w:sz w:val="20"/>
          <w:szCs w:val="20"/>
          <w:color w:val="auto"/>
        </w:rPr>
      </w:pPr>
    </w:p>
    <w:p>
      <w:pPr>
        <w:ind w:right="260" w:firstLine="546"/>
        <w:spacing w:after="0" w:line="259" w:lineRule="auto"/>
        <w:rPr>
          <w:sz w:val="20"/>
          <w:szCs w:val="20"/>
          <w:color w:val="auto"/>
        </w:rPr>
      </w:pPr>
      <w:r>
        <w:rPr>
          <w:rFonts w:ascii="Arial" w:cs="Arial" w:eastAsia="Arial" w:hAnsi="Arial"/>
          <w:sz w:val="17"/>
          <w:szCs w:val="17"/>
          <w:color w:val="auto"/>
        </w:rPr>
        <w:t>In historical preclinical animal models of lupus nephritis, anti-CD40L antibodies ameliorated disease progression, improved kidney function, reduced immune cell infiltrate into the kidney, and improved survival. Systemic biomarkers of SLE such as anti-dsDNA antibodies have also been reduced with anti-CD40L treatment in animal models. Similar data has been described in preclinical models of FSGS. FSGS models using historical anti-CD40L treatments have shown ameliorated kidney function as measured by a reduction in proteinuria and were associated with a decrease in immune cell infiltrate into the glomeruli (Figure 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4: Blocking CD40L Improves Survival and Pathophysiology Associated with Autoimmune Nephritis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1097280</wp:posOffset>
            </wp:positionH>
            <wp:positionV relativeFrom="page">
              <wp:posOffset>219710</wp:posOffset>
            </wp:positionV>
            <wp:extent cx="5353685" cy="1342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53685" cy="134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 xml:space="preserve">Figure 4: </w:t>
      </w:r>
      <w:r>
        <w:rPr>
          <w:rFonts w:ascii="Arial" w:cs="Arial" w:eastAsia="Arial" w:hAnsi="Arial"/>
          <w:sz w:val="17"/>
          <w:szCs w:val="17"/>
          <w:color w:val="auto"/>
        </w:rPr>
        <w:t>Effect of anti-CD40L in the SNF1 rodent model of Lupus. (A) The survival curves of anti-CD40L treated and HIg controls differ significantly (</w:t>
      </w:r>
      <w:r>
        <w:rPr>
          <w:rFonts w:ascii="Arial" w:cs="Arial" w:eastAsia="Arial" w:hAnsi="Arial"/>
          <w:sz w:val="17"/>
          <w:szCs w:val="17"/>
          <w:i w:val="1"/>
          <w:iCs w:val="1"/>
          <w:color w:val="auto"/>
        </w:rPr>
        <w:t>p</w:t>
      </w:r>
      <w:r>
        <w:rPr>
          <w:rFonts w:ascii="Arial" w:cs="Arial" w:eastAsia="Arial" w:hAnsi="Arial"/>
          <w:sz w:val="17"/>
          <w:szCs w:val="17"/>
          <w:b w:val="1"/>
          <w:bCs w:val="1"/>
          <w:color w:val="auto"/>
        </w:rPr>
        <w:t xml:space="preserve"> </w:t>
      </w:r>
      <w:r>
        <w:rPr>
          <w:rFonts w:ascii="Arial" w:cs="Arial" w:eastAsia="Arial" w:hAnsi="Arial"/>
          <w:sz w:val="17"/>
          <w:szCs w:val="17"/>
          <w:color w:val="auto"/>
        </w:rPr>
        <w:t>&lt; 0.001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Wilcoxon test). Control mice receiving HIgG control die rapidly with the onset of severe nephritis, and all but one are dead by age 12 mo while all anti-CD40L treated mice are alive when the study is terminated at age 15.5 months (Kalled.1998). (B) Urine was monitored weekly for proteinuria. Proteinuria was scored as follows: 0.5+ (15 to 30 mg/dl); 1+ (30 mg/dl); 2+ (100 mg/dl); 3+ (300 mg/dl) and 4+ (&gt;20000 mg/dl). The proportion of mice with =&gt; +3 proteinuria differed significantly between anti-CD40L treated and HIg controls at all timepoints ( </w:t>
      </w:r>
      <w:r>
        <w:rPr>
          <w:rFonts w:ascii="Arial" w:cs="Arial" w:eastAsia="Arial" w:hAnsi="Arial"/>
          <w:sz w:val="17"/>
          <w:szCs w:val="17"/>
          <w:i w:val="1"/>
          <w:iCs w:val="1"/>
          <w:color w:val="auto"/>
        </w:rPr>
        <w:t>p</w:t>
      </w:r>
      <w:r>
        <w:rPr>
          <w:rFonts w:ascii="Arial" w:cs="Arial" w:eastAsia="Arial" w:hAnsi="Arial"/>
          <w:sz w:val="17"/>
          <w:szCs w:val="17"/>
          <w:color w:val="auto"/>
        </w:rPr>
        <w:t xml:space="preserve"> &lt; 0.001 by x</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test). Controls that did not have =&gt; 3+ proteinuria at the start of treatment became 4+ soon after, as opposed to anti-CD40L treated mice where the proteinuria levels of six of seven mice declined and only one mouse developed 3+ proteinuria (Kalled, 1998). (C) MR1 treatment was associated with a significant reduction in the number of infiltrating macrophages. The number of infiltrating CD4+ and CD8+ cells was not statistically different from the Adriamycin alone group. Bars represent mean values + standard deviation. **</w:t>
      </w:r>
      <w:r>
        <w:rPr>
          <w:rFonts w:ascii="Arial" w:cs="Arial" w:eastAsia="Arial" w:hAnsi="Arial"/>
          <w:sz w:val="17"/>
          <w:szCs w:val="17"/>
          <w:i w:val="1"/>
          <w:iCs w:val="1"/>
          <w:color w:val="auto"/>
        </w:rPr>
        <w:t>P</w:t>
      </w:r>
      <w:r>
        <w:rPr>
          <w:rFonts w:ascii="Arial" w:cs="Arial" w:eastAsia="Arial" w:hAnsi="Arial"/>
          <w:sz w:val="17"/>
          <w:szCs w:val="17"/>
          <w:color w:val="auto"/>
        </w:rPr>
        <w:t xml:space="preserve"> &lt; 0.01 vs. Adriamycin alone group (Kairatis, 2003).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Amyotrophic Lateral Sclerosis</w:t>
      </w:r>
    </w:p>
    <w:p>
      <w:pPr>
        <w:spacing w:after="0" w:line="223" w:lineRule="exact"/>
        <w:rPr>
          <w:sz w:val="20"/>
          <w:szCs w:val="20"/>
          <w:color w:val="auto"/>
        </w:rPr>
      </w:pPr>
    </w:p>
    <w:p>
      <w:pPr>
        <w:ind w:right="20" w:firstLine="546"/>
        <w:spacing w:after="0" w:line="262" w:lineRule="auto"/>
        <w:rPr>
          <w:sz w:val="20"/>
          <w:szCs w:val="20"/>
          <w:color w:val="auto"/>
        </w:rPr>
      </w:pPr>
      <w:r>
        <w:rPr>
          <w:rFonts w:ascii="Arial" w:cs="Arial" w:eastAsia="Arial" w:hAnsi="Arial"/>
          <w:sz w:val="17"/>
          <w:szCs w:val="17"/>
          <w:color w:val="auto"/>
        </w:rPr>
        <w:t>ALS is a progressive, paralytic disorder characterized by degeneration of motor neurons in the brain and spinal cord. In the U.S., the incidence is estimated at approximately 5,000 cases per year with a prevalence of approximately 30,000 cases overall. Despite 2 approved drugs, in most cases, death from respiratory failure occurs approximately 2 to 5 years after diagnosis, with 50% of patients living ≥3 years from diagnosis and only 20% of patients living ≥5 years from diagnosis.</w:t>
      </w:r>
    </w:p>
    <w:p>
      <w:pPr>
        <w:spacing w:after="0" w:line="178" w:lineRule="exact"/>
        <w:rPr>
          <w:sz w:val="20"/>
          <w:szCs w:val="20"/>
          <w:color w:val="auto"/>
        </w:rPr>
      </w:pPr>
    </w:p>
    <w:p>
      <w:pPr>
        <w:ind w:right="40" w:firstLine="546"/>
        <w:spacing w:after="0" w:line="259" w:lineRule="auto"/>
        <w:rPr>
          <w:sz w:val="20"/>
          <w:szCs w:val="20"/>
          <w:color w:val="auto"/>
        </w:rPr>
      </w:pPr>
      <w:r>
        <w:rPr>
          <w:rFonts w:ascii="Arial" w:cs="Arial" w:eastAsia="Arial" w:hAnsi="Arial"/>
          <w:sz w:val="17"/>
          <w:szCs w:val="17"/>
          <w:color w:val="auto"/>
        </w:rPr>
        <w:t>Neuroinflammation in ALS is characterized by the infiltration of lymphocytes and macrophages into the central nervous system, and the activation of microglia and reactive astrocytes. Reactive astrocytes and microglia as well as infiltrating lymphocytes, dendritic cells, monocytes, macrophages and immune complexes have been identified in cerebrospinal fluid and neural tissues in both animal models of ALS and at autopsy in ALS patients. While the exact pathogenic mechanism of ALS is still not fully understood, there is strong evidence indicating that this neuroinflammation plays an important role in the disease’s pathogenesis.</w:t>
      </w:r>
    </w:p>
    <w:p>
      <w:pPr>
        <w:spacing w:after="0" w:line="183" w:lineRule="exact"/>
        <w:rPr>
          <w:sz w:val="20"/>
          <w:szCs w:val="20"/>
          <w:color w:val="auto"/>
        </w:rPr>
      </w:pPr>
    </w:p>
    <w:p>
      <w:pPr>
        <w:ind w:right="80" w:firstLine="546"/>
        <w:spacing w:after="0" w:line="297" w:lineRule="auto"/>
        <w:rPr>
          <w:sz w:val="20"/>
          <w:szCs w:val="20"/>
          <w:color w:val="auto"/>
        </w:rPr>
      </w:pPr>
      <w:r>
        <w:rPr>
          <w:rFonts w:ascii="Arial" w:cs="Arial" w:eastAsia="Arial" w:hAnsi="Arial"/>
          <w:sz w:val="15"/>
          <w:szCs w:val="15"/>
          <w:color w:val="auto"/>
        </w:rPr>
        <w:t>AT-1501 is designed to block CD40L binding to CD40, thereby potentially inhibiting neuroinflammatory pathways leading to disease progression in ALS. In vitro proof-of-concept studies have shown that AT-1501 binds to CD40L in human cells and blocks CD40L binding on APCs and activated T cells. The potential for therapeutic benefit of CD40L blockage in treating ALS has been demonstrated in a SOD1 mouse model of ALS, where a murine anti-CD40L antibody, MR1, prolonged survival and delayed the onset of neurological disease progression. These clinical manifestations are believed to be due to reduced immune cell infiltration of macrophages into skeletal muscle and their destroying denervated nerves. The plasticity of the nervous system to repair itself in the absence of this immune cell attack is believed to result in improved neuromuscular junction occupancy and improved muscle function. Blocking CD40L signaling also prevents pro-inflammatory polarization of lymphocytes, reduced neuroinflammation and improved motor neuron survival in rodent ALS models (Figure 5).</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Figure 5: Blocking CD40L Improves Survival and Pathophysiology Associated with ALS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1089025</wp:posOffset>
            </wp:positionH>
            <wp:positionV relativeFrom="page">
              <wp:posOffset>219710</wp:posOffset>
            </wp:positionV>
            <wp:extent cx="5378450" cy="2103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78450"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b w:val="1"/>
          <w:bCs w:val="1"/>
          <w:color w:val="auto"/>
        </w:rPr>
        <w:t xml:space="preserve">Anti-CD40L (MR1) treatment decreases CD68+ macrophages, improves neuromuscular junction occupancy and improves motor neuron survival. </w:t>
      </w:r>
      <w:r>
        <w:rPr>
          <w:rFonts w:ascii="Arial" w:cs="Arial" w:eastAsia="Arial" w:hAnsi="Arial"/>
          <w:sz w:val="15"/>
          <w:szCs w:val="15"/>
          <w:color w:val="auto"/>
        </w:rPr>
        <w:t>(A) Quantification of reduction of CD68+ macrophages by anti-CD40L treatment at day 100. (White bar, control IgG) ; gray bar (anti-CD40L–</w:t>
      </w:r>
      <w:r>
        <w:rPr>
          <w:rFonts w:ascii="Arial" w:cs="Arial" w:eastAsia="Arial" w:hAnsi="Arial"/>
          <w:sz w:val="15"/>
          <w:szCs w:val="15"/>
          <w:b w:val="1"/>
          <w:bCs w:val="1"/>
          <w:color w:val="auto"/>
        </w:rPr>
        <w:t xml:space="preserve"> </w:t>
      </w:r>
      <w:r>
        <w:rPr>
          <w:rFonts w:ascii="Arial" w:cs="Arial" w:eastAsia="Arial" w:hAnsi="Arial"/>
          <w:sz w:val="15"/>
          <w:szCs w:val="15"/>
          <w:color w:val="auto"/>
        </w:rPr>
        <w:t>treatment); black bar (untreated age-matched non-transgenic mice) (B) Quantification of neuromuscular occupancy in SOD1 mice prior to overt symptoms (day</w:t>
      </w:r>
    </w:p>
    <w:p>
      <w:pPr>
        <w:spacing w:after="0" w:line="2" w:lineRule="exact"/>
        <w:rPr>
          <w:sz w:val="20"/>
          <w:szCs w:val="20"/>
          <w:color w:val="auto"/>
        </w:rPr>
      </w:pPr>
    </w:p>
    <w:p>
      <w:pPr>
        <w:ind w:right="200" w:firstLine="3"/>
        <w:spacing w:after="0" w:line="298" w:lineRule="auto"/>
        <w:tabs>
          <w:tab w:leader="none" w:pos="2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versus after symptom onset (day 85) treated with an IgG control antibody (veh) or anti-CD40L antibody. (C) Quantitative comparison of lumbar spinal cord motor neuron counts per mm2 in IgG vehicle control (White bar) versus anti-CD40L treated mice (grey bar) at day 100 (Lincecum, 2010).</w:t>
      </w:r>
    </w:p>
    <w:p>
      <w:pPr>
        <w:spacing w:after="0" w:line="151"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In October 2020, we initiated a Phase 2a, open-label, multi-center study to evaluate the safety and tolerability of multiple doses of AT-1501 in adult subjects with ALS. Approximately 54 subjects with ALS are planned to be enrolled into the study in the United States and Canada at up to 13 ALS treatment sites. Ascending doses of AT-1501 will be administered as IV infusions to four sequentially enrolling cohorts. The first two cohorts will consist of nine participants, and the last two cohorts of 18 participants, who will each receive six bi-weekly infusions of AT-1501 over a 12-week study period. Blood samples for target engagement, and exploratory biomarkers for inflammation and neurodegeneration will be taken and analyzed. Participant-focused clinical outcomes will also be assessed.</w:t>
      </w:r>
    </w:p>
    <w:p>
      <w:pPr>
        <w:spacing w:after="0" w:line="183" w:lineRule="exact"/>
        <w:rPr>
          <w:sz w:val="20"/>
          <w:szCs w:val="20"/>
          <w:color w:val="auto"/>
        </w:rPr>
      </w:pPr>
    </w:p>
    <w:p>
      <w:pPr>
        <w:ind w:right="240" w:firstLine="546"/>
        <w:spacing w:after="0" w:line="266" w:lineRule="auto"/>
        <w:rPr>
          <w:sz w:val="20"/>
          <w:szCs w:val="20"/>
          <w:color w:val="auto"/>
        </w:rPr>
      </w:pPr>
      <w:r>
        <w:rPr>
          <w:rFonts w:ascii="Arial" w:cs="Arial" w:eastAsia="Arial" w:hAnsi="Arial"/>
          <w:sz w:val="17"/>
          <w:szCs w:val="17"/>
          <w:color w:val="auto"/>
        </w:rPr>
        <w:t xml:space="preserve">The competitive conditions faced by the Company are described in greater detail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Annual Report on Form 10-K under the caption “We face substantial competition, which may result in others discovering, developing or commercializing competing products before or more successfully than we do.”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Intellectual Property</w:t>
      </w:r>
    </w:p>
    <w:p>
      <w:pPr>
        <w:spacing w:after="0" w:line="223" w:lineRule="exact"/>
        <w:rPr>
          <w:sz w:val="20"/>
          <w:szCs w:val="20"/>
          <w:color w:val="auto"/>
        </w:rPr>
      </w:pPr>
    </w:p>
    <w:p>
      <w:pPr>
        <w:ind w:firstLine="501"/>
        <w:spacing w:after="0" w:line="258" w:lineRule="auto"/>
        <w:rPr>
          <w:sz w:val="20"/>
          <w:szCs w:val="20"/>
          <w:color w:val="auto"/>
        </w:rPr>
      </w:pPr>
      <w:r>
        <w:rPr>
          <w:rFonts w:ascii="Arial" w:cs="Arial" w:eastAsia="Arial" w:hAnsi="Arial"/>
          <w:sz w:val="17"/>
          <w:szCs w:val="17"/>
          <w:color w:val="auto"/>
        </w:rPr>
        <w:t>Eledon’s success depends in part on its ability to obtain and maintain proprietary protection for its product candidates, novel discoveries, product technologies and other know-how, to operate without infringing on the proprietary rights of others and to prevent others from infringing Eledon’s proprietary rights. Eledon seeks to protect its product candidates by, among other methods, filing U.S. and foreign patent applications related to its proprietary technology, inventions and improvements that are important to the development and implementation of its business. Eledon also relies on trademarks, trade secrets, know-how, continuing technological innovation and potential in-licensing opportunities to develop and maintain Eledon’s proprietary protection for Eledon’s product candidates.</w:t>
      </w:r>
    </w:p>
    <w:p>
      <w:pPr>
        <w:spacing w:after="0" w:line="183" w:lineRule="exact"/>
        <w:rPr>
          <w:sz w:val="20"/>
          <w:szCs w:val="20"/>
          <w:color w:val="auto"/>
        </w:rPr>
      </w:pPr>
    </w:p>
    <w:p>
      <w:pPr>
        <w:ind w:right="80" w:firstLine="501"/>
        <w:spacing w:after="0" w:line="256" w:lineRule="auto"/>
        <w:rPr>
          <w:sz w:val="20"/>
          <w:szCs w:val="20"/>
          <w:color w:val="auto"/>
        </w:rPr>
      </w:pPr>
      <w:r>
        <w:rPr>
          <w:rFonts w:ascii="Arial" w:cs="Arial" w:eastAsia="Arial" w:hAnsi="Arial"/>
          <w:sz w:val="17"/>
          <w:szCs w:val="17"/>
          <w:color w:val="auto"/>
        </w:rPr>
        <w:t>Eledon’s intellectual property portfolio includes issued patents and patent applications directed toward isolated antibodies and methods of treatment using the isolated antibodies that block the interaction of CD40L and CD40 to treat CD-40L related diseases or disorders. Eledon has exclusive rights to three patent families. Two of the three families are directed to AT-1501 and related antibodies. The first family is directed to methods for treating amyotrophic lateral sclerosis with antibodies and includes two United States patents and 14 foreign patents (Japan, Hong Kong, Belgium, China, Germany, Denmark, Spain, Finland, France, Great Britain, Ireland, Italy, the Netherlands, and Sweden). The second family is directed to AT-1501 (JB5 in the patents/applications in this family). AT-1501 is the current clinical candidate, with 14 pending applications, and issued/allowed patents including two issued United States patents, one allowed United States patent application, and a Russian patent. The third family is directed to AT-1501 with 15 pending applications, including one United States patent application. In the first family, the patents will expire in December 2029, absent any term adjustments or extensions. In the second family, any issued patent will expire in February 2036, absent any term adjustments or extensions. In the third family, any issued patent will expire in May 2038, absent any term adjustments or extensions.</w:t>
      </w:r>
    </w:p>
    <w:p>
      <w:pPr>
        <w:spacing w:after="0" w:line="184" w:lineRule="exact"/>
        <w:rPr>
          <w:sz w:val="20"/>
          <w:szCs w:val="20"/>
          <w:color w:val="auto"/>
        </w:rPr>
      </w:pPr>
    </w:p>
    <w:p>
      <w:pPr>
        <w:ind w:right="20" w:firstLine="501"/>
        <w:spacing w:after="0" w:line="297" w:lineRule="auto"/>
        <w:rPr>
          <w:sz w:val="20"/>
          <w:szCs w:val="20"/>
          <w:color w:val="auto"/>
        </w:rPr>
      </w:pPr>
      <w:r>
        <w:rPr>
          <w:rFonts w:ascii="Arial" w:cs="Arial" w:eastAsia="Arial" w:hAnsi="Arial"/>
          <w:sz w:val="15"/>
          <w:szCs w:val="15"/>
          <w:color w:val="auto"/>
        </w:rPr>
        <w:t>Eledon’s intellectual property portfolio also includes issued patents and patent applications directed towards products derived from Eledon’s surfactant platform and foam platform with claims to drug substance, pharmaceutical preparations as well as to methods of treatment. For OP0201, Eledon owns or has exclusive rights to one U.S. patent application, one international application, and seven foreign patent applications. If allowed, the last to expire patent application will expire in December 2039, absent any adjustments or extensions. For OP0101 and OP0102, Eledon owns or has exclusive rights to two families of patents, one with three United States and seven foreign patents (Canada, France, Germany, Israel, Italy, Spain, and the United Kingdom), and a second with two United States and five foreign patents (France, Germany, Italy, Spain and the United Kingdom). In the first family the last to expire issued patent in the United States will expire in September 2027, including patent term adjustment. In the second family the last to expire issued patent in the United States will expire in December 2033.</w:t>
      </w:r>
    </w:p>
    <w:p>
      <w:pPr>
        <w:spacing w:after="0" w:line="156" w:lineRule="exact"/>
        <w:rPr>
          <w:sz w:val="20"/>
          <w:szCs w:val="20"/>
          <w:color w:val="auto"/>
        </w:rPr>
      </w:pPr>
    </w:p>
    <w:p>
      <w:pPr>
        <w:ind w:right="140" w:firstLine="546"/>
        <w:spacing w:after="0" w:line="266" w:lineRule="auto"/>
        <w:rPr>
          <w:sz w:val="20"/>
          <w:szCs w:val="20"/>
          <w:color w:val="auto"/>
        </w:rPr>
      </w:pPr>
      <w:r>
        <w:rPr>
          <w:rFonts w:ascii="Arial" w:cs="Arial" w:eastAsia="Arial" w:hAnsi="Arial"/>
          <w:sz w:val="17"/>
          <w:szCs w:val="17"/>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75" w:lineRule="exact"/>
        <w:rPr>
          <w:sz w:val="20"/>
          <w:szCs w:val="20"/>
          <w:color w:val="auto"/>
        </w:rPr>
      </w:pPr>
    </w:p>
    <w:p>
      <w:pPr>
        <w:jc w:val="both"/>
        <w:ind w:right="420" w:firstLine="546"/>
        <w:spacing w:after="0" w:line="266" w:lineRule="auto"/>
        <w:rPr>
          <w:sz w:val="20"/>
          <w:szCs w:val="20"/>
          <w:color w:val="auto"/>
        </w:rPr>
      </w:pPr>
      <w:r>
        <w:rPr>
          <w:rFonts w:ascii="Arial" w:cs="Arial" w:eastAsia="Arial" w:hAnsi="Arial"/>
          <w:sz w:val="17"/>
          <w:szCs w:val="17"/>
          <w:color w:val="auto"/>
        </w:rPr>
        <w:t>Eledon also protects its proprietary information by requiring its employees, consultants, contractors and other advisors to execute nondisclosure and assignment of invention agreements upon commencement of their respective employment or engagement. In addition, Eledon also requires confidentiality or service agreements from third parties that receive confidential information or materials.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Note 5. Commitments and Contingencies</w:t>
      </w:r>
      <w:r>
        <w:rPr>
          <w:rFonts w:ascii="Arial" w:cs="Arial" w:eastAsia="Arial" w:hAnsi="Arial"/>
          <w:sz w:val="15"/>
          <w:szCs w:val="15"/>
          <w:color w:val="auto"/>
        </w:rPr>
        <w:t xml:space="preserve"> under the caption “Grants and Licenses” for further information about the Company’s intellectual property.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3" w:lineRule="exact"/>
        <w:rPr>
          <w:sz w:val="20"/>
          <w:szCs w:val="20"/>
          <w:color w:val="auto"/>
        </w:rPr>
      </w:pPr>
    </w:p>
    <w:p>
      <w:pPr>
        <w:ind w:right="20" w:firstLine="546"/>
        <w:spacing w:after="0" w:line="279" w:lineRule="auto"/>
        <w:rPr>
          <w:sz w:val="20"/>
          <w:szCs w:val="20"/>
          <w:color w:val="auto"/>
        </w:rPr>
      </w:pPr>
      <w:r>
        <w:rPr>
          <w:rFonts w:ascii="Arial" w:cs="Arial" w:eastAsia="Arial" w:hAnsi="Arial"/>
          <w:sz w:val="16"/>
          <w:szCs w:val="16"/>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430"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U.S. Government Regulation</w:t>
      </w:r>
    </w:p>
    <w:p>
      <w:pPr>
        <w:spacing w:after="0" w:line="217" w:lineRule="exact"/>
        <w:rPr>
          <w:sz w:val="20"/>
          <w:szCs w:val="20"/>
          <w:color w:val="auto"/>
        </w:rPr>
      </w:pPr>
    </w:p>
    <w:p>
      <w:pPr>
        <w:ind w:firstLine="546"/>
        <w:spacing w:after="0" w:line="297" w:lineRule="auto"/>
        <w:rPr>
          <w:sz w:val="20"/>
          <w:szCs w:val="20"/>
          <w:color w:val="auto"/>
        </w:rPr>
      </w:pPr>
      <w:r>
        <w:rPr>
          <w:rFonts w:ascii="Arial" w:cs="Arial" w:eastAsia="Arial" w:hAnsi="Arial"/>
          <w:sz w:val="15"/>
          <w:szCs w:val="15"/>
          <w:color w:val="auto"/>
        </w:rPr>
        <w:t>The FDA regulates drugs under the Federal Food, Drug, and Cosmetic Act (“FDCA”) and its implementing regulations, and biologics under the FDCA and the Public Health Service Act (“PHSA”) and its implementing regulations. FDA approval is required before any new unapproved drug or biologic or dosage form, including a new use of a previously approved drug, can be marketed in the U.S. Drugs and biologics are also subject 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withdrawal of an approval,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14" w:lineRule="exact"/>
        <w:rPr>
          <w:sz w:val="20"/>
          <w:szCs w:val="20"/>
          <w:color w:val="auto"/>
        </w:rPr>
      </w:pPr>
    </w:p>
    <w:p>
      <w:pPr>
        <w:ind w:left="940" w:right="180" w:hanging="395"/>
        <w:spacing w:after="0" w:line="279"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completion of extensive preclinical laboratory tests and preclinical animal studies, all performed in accordance with the Good Laboratory Practices (“GLP”) regulations;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26" w:lineRule="exact"/>
        <w:rPr>
          <w:rFonts w:ascii="Arial" w:cs="Arial" w:eastAsia="Arial" w:hAnsi="Arial"/>
          <w:sz w:val="17"/>
          <w:szCs w:val="17"/>
          <w:color w:val="auto"/>
        </w:rPr>
      </w:pPr>
    </w:p>
    <w:p>
      <w:pPr>
        <w:ind w:left="940" w:right="260" w:hanging="395"/>
        <w:spacing w:after="0" w:line="279"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representing each clinical site before each clinical trial may be initiated;</w:t>
      </w:r>
    </w:p>
    <w:p>
      <w:pPr>
        <w:spacing w:after="0" w:line="61" w:lineRule="exact"/>
        <w:rPr>
          <w:rFonts w:ascii="Arial" w:cs="Arial" w:eastAsia="Arial" w:hAnsi="Arial"/>
          <w:sz w:val="17"/>
          <w:szCs w:val="17"/>
          <w:color w:val="auto"/>
        </w:rPr>
      </w:pPr>
    </w:p>
    <w:p>
      <w:pPr>
        <w:ind w:left="940" w:right="360" w:hanging="395"/>
        <w:spacing w:after="0" w:line="279"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completion of manufacturing scale up and stability studies, all performed in accordance with the Good Manufacturing Practices “GMP” regulations;</w:t>
      </w:r>
    </w:p>
    <w:p>
      <w:pPr>
        <w:spacing w:after="0" w:line="149" w:lineRule="exact"/>
        <w:rPr>
          <w:rFonts w:ascii="Arial" w:cs="Arial" w:eastAsia="Arial" w:hAnsi="Arial"/>
          <w:sz w:val="15"/>
          <w:szCs w:val="15"/>
          <w:color w:val="auto"/>
        </w:rPr>
      </w:pPr>
    </w:p>
    <w:p>
      <w:pPr>
        <w:ind w:left="940" w:right="380" w:hanging="395"/>
        <w:spacing w:after="0" w:line="279"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biologics license application (“BLA”) or a new drug application, or NDA, after completion of all pivotal clinical trials;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review of the product application by an FDA advisory committee, where appropriate and if applicable;</w:t>
      </w:r>
    </w:p>
    <w:p>
      <w:pPr>
        <w:spacing w:after="0" w:line="126" w:lineRule="exact"/>
        <w:rPr>
          <w:rFonts w:ascii="Arial" w:cs="Arial" w:eastAsia="Arial" w:hAnsi="Arial"/>
          <w:sz w:val="17"/>
          <w:szCs w:val="17"/>
          <w:color w:val="auto"/>
        </w:rPr>
      </w:pPr>
    </w:p>
    <w:p>
      <w:pPr>
        <w:ind w:left="940" w:hanging="395"/>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 BLA or NDA to file the application for review;</w:t>
      </w:r>
    </w:p>
    <w:p>
      <w:pPr>
        <w:spacing w:after="0" w:line="126" w:lineRule="exact"/>
        <w:rPr>
          <w:rFonts w:ascii="Arial" w:cs="Arial" w:eastAsia="Arial" w:hAnsi="Arial"/>
          <w:sz w:val="17"/>
          <w:szCs w:val="17"/>
          <w:color w:val="auto"/>
        </w:rPr>
      </w:pPr>
    </w:p>
    <w:p>
      <w:pPr>
        <w:ind w:left="940" w:right="780" w:hanging="395"/>
        <w:spacing w:after="0" w:line="279"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satisfactory completion of a FDA pre-approval inspection of the manufacturing facilities where the proposed product is produced to assess compliance with current Good Manufacturing Practices (“cGMP”) regulations;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FDA audit of the clinical trial sites that generated the data in support of the BLA or NDA; and</w:t>
      </w:r>
    </w:p>
    <w:p>
      <w:pPr>
        <w:spacing w:after="0" w:line="126" w:lineRule="exact"/>
        <w:rPr>
          <w:rFonts w:ascii="Arial" w:cs="Arial" w:eastAsia="Arial" w:hAnsi="Arial"/>
          <w:sz w:val="17"/>
          <w:szCs w:val="17"/>
          <w:color w:val="auto"/>
        </w:rPr>
      </w:pPr>
    </w:p>
    <w:p>
      <w:pPr>
        <w:ind w:left="940" w:hanging="395"/>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a BLA or NDA prior to any commercial marketing or sale of the product.</w:t>
      </w:r>
    </w:p>
    <w:p>
      <w:pPr>
        <w:spacing w:after="0" w:line="230" w:lineRule="exact"/>
        <w:rPr>
          <w:sz w:val="20"/>
          <w:szCs w:val="20"/>
          <w:color w:val="auto"/>
        </w:rPr>
      </w:pPr>
    </w:p>
    <w:p>
      <w:pPr>
        <w:ind w:right="580" w:firstLine="546"/>
        <w:spacing w:after="0" w:line="279"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64" w:lineRule="exact"/>
        <w:rPr>
          <w:sz w:val="20"/>
          <w:szCs w:val="20"/>
          <w:color w:val="auto"/>
        </w:rPr>
      </w:pPr>
    </w:p>
    <w:p>
      <w:pPr>
        <w:ind w:right="20" w:firstLine="546"/>
        <w:spacing w:after="0" w:line="256" w:lineRule="auto"/>
        <w:rPr>
          <w:sz w:val="20"/>
          <w:szCs w:val="20"/>
          <w:color w:val="auto"/>
        </w:rPr>
      </w:pPr>
      <w:r>
        <w:rPr>
          <w:rFonts w:ascii="Arial" w:cs="Arial" w:eastAsia="Arial" w:hAnsi="Arial"/>
          <w:sz w:val="17"/>
          <w:szCs w:val="17"/>
          <w:color w:val="auto"/>
        </w:rPr>
        <w:t>An IND is a request for authorization from the FDA to administer an investigational new drug product to humans in clinical trials. The central focus of an IND submission is on the general investigational plan and the protocol(s) for human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color w:val="auto"/>
        </w:rPr>
        <w:t>Clinical Trials</w:t>
      </w:r>
    </w:p>
    <w:p>
      <w:pPr>
        <w:spacing w:after="0" w:line="114" w:lineRule="exact"/>
        <w:rPr>
          <w:sz w:val="20"/>
          <w:szCs w:val="20"/>
          <w:color w:val="auto"/>
        </w:rPr>
      </w:pPr>
    </w:p>
    <w:p>
      <w:pPr>
        <w:ind w:firstLine="546"/>
        <w:spacing w:after="0" w:line="299" w:lineRule="auto"/>
        <w:rPr>
          <w:sz w:val="20"/>
          <w:szCs w:val="20"/>
          <w:color w:val="auto"/>
        </w:rPr>
      </w:pPr>
      <w:r>
        <w:rPr>
          <w:rFonts w:ascii="Arial" w:cs="Arial" w:eastAsia="Arial" w:hAnsi="Arial"/>
          <w:sz w:val="15"/>
          <w:szCs w:val="15"/>
          <w:color w:val="auto"/>
        </w:rPr>
        <w:t>Clinical trials involve the administration of the investigational new drug to human subjects under the supervision of qualified investigators in accordance with Good Clinical Practices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155"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The clinical investigation of a drug is generally divided into three phases. Although the phases are usually conducted sequentially, they may overlap or be combined.</w:t>
      </w:r>
    </w:p>
    <w:p>
      <w:pPr>
        <w:spacing w:after="0" w:line="61" w:lineRule="exact"/>
        <w:rPr>
          <w:sz w:val="20"/>
          <w:szCs w:val="20"/>
          <w:color w:val="auto"/>
        </w:rPr>
      </w:pPr>
    </w:p>
    <w:p>
      <w:pPr>
        <w:jc w:val="both"/>
        <w:ind w:left="940" w:right="180" w:hanging="395"/>
        <w:spacing w:after="0" w:line="266"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spacing w:after="0" w:line="71" w:lineRule="exact"/>
        <w:rPr>
          <w:rFonts w:ascii="Arial" w:cs="Arial" w:eastAsia="Arial" w:hAnsi="Arial"/>
          <w:sz w:val="17"/>
          <w:szCs w:val="17"/>
          <w:color w:val="auto"/>
        </w:rPr>
      </w:pPr>
    </w:p>
    <w:p>
      <w:pPr>
        <w:ind w:left="940" w:right="340" w:hanging="395"/>
        <w:spacing w:after="0" w:line="279"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evaluate dosage tolerance and optimal dosage, identify possible adverse side effects and safety risks, and preliminarily evaluate efficacy.</w:t>
      </w:r>
    </w:p>
    <w:p>
      <w:pPr>
        <w:spacing w:after="0" w:line="61" w:lineRule="exact"/>
        <w:rPr>
          <w:rFonts w:ascii="Arial" w:cs="Arial" w:eastAsia="Arial" w:hAnsi="Arial"/>
          <w:sz w:val="17"/>
          <w:szCs w:val="17"/>
          <w:color w:val="auto"/>
        </w:rPr>
      </w:pPr>
    </w:p>
    <w:p>
      <w:pPr>
        <w:ind w:left="940" w:right="20" w:hanging="395"/>
        <w:spacing w:after="0" w:line="266" w:lineRule="auto"/>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3. The drug is administered to an expanded patient population, generally at geographically dispersed clinical trial sites to generate enough data to evaluate dosage, clinical effectiveness and safety, to establish the overall benefit-risk relationship of the investigational new drug product, and to provide an adequate basis for physician labeling.</w:t>
      </w:r>
    </w:p>
    <w:p>
      <w:pPr>
        <w:spacing w:after="0" w:line="175" w:lineRule="exact"/>
        <w:rPr>
          <w:sz w:val="20"/>
          <w:szCs w:val="20"/>
          <w:color w:val="auto"/>
        </w:rPr>
      </w:pPr>
    </w:p>
    <w:p>
      <w:pPr>
        <w:ind w:right="60" w:firstLine="546"/>
        <w:spacing w:after="0" w:line="266" w:lineRule="auto"/>
        <w:rPr>
          <w:sz w:val="20"/>
          <w:szCs w:val="20"/>
          <w:color w:val="auto"/>
        </w:rPr>
      </w:pPr>
      <w:r>
        <w:rPr>
          <w:rFonts w:ascii="Arial" w:cs="Arial" w:eastAsia="Arial" w:hAnsi="Arial"/>
          <w:sz w:val="17"/>
          <w:szCs w:val="17"/>
          <w:color w:val="auto"/>
        </w:rPr>
        <w:t>In some cases, the FDA may condition approval of a BLA or NDA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w:t>
      </w:r>
    </w:p>
    <w:p>
      <w:pPr>
        <w:spacing w:after="0" w:line="175" w:lineRule="exact"/>
        <w:rPr>
          <w:sz w:val="20"/>
          <w:szCs w:val="20"/>
          <w:color w:val="auto"/>
        </w:rPr>
      </w:pPr>
    </w:p>
    <w:p>
      <w:pPr>
        <w:ind w:right="40" w:firstLine="546"/>
        <w:spacing w:after="0" w:line="276" w:lineRule="auto"/>
        <w:rPr>
          <w:sz w:val="20"/>
          <w:szCs w:val="20"/>
          <w:color w:val="auto"/>
        </w:rPr>
      </w:pPr>
      <w:r>
        <w:rPr>
          <w:rFonts w:ascii="Arial" w:cs="Arial" w:eastAsia="Arial" w:hAnsi="Arial"/>
          <w:sz w:val="16"/>
          <w:szCs w:val="16"/>
          <w:color w:val="auto"/>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69" w:lineRule="exact"/>
        <w:rPr>
          <w:sz w:val="20"/>
          <w:szCs w:val="20"/>
          <w:color w:val="auto"/>
        </w:rPr>
      </w:pPr>
    </w:p>
    <w:p>
      <w:pPr>
        <w:ind w:right="120" w:firstLine="546"/>
        <w:spacing w:after="0" w:line="279" w:lineRule="auto"/>
        <w:rPr>
          <w:sz w:val="20"/>
          <w:szCs w:val="20"/>
          <w:color w:val="auto"/>
        </w:rPr>
      </w:pPr>
      <w:r>
        <w:rPr>
          <w:rFonts w:ascii="Arial" w:cs="Arial" w:eastAsia="Arial" w:hAnsi="Arial"/>
          <w:sz w:val="17"/>
          <w:szCs w:val="17"/>
          <w:color w:val="auto"/>
        </w:rPr>
        <w:t>The clinical trial process can take three to ten years or more to complete, and there can be no assurance that the data collected will support FDA approval or licensure of the product. Results from one trial are not necessarily predictive of results from later trials.</w:t>
      </w:r>
    </w:p>
    <w:p>
      <w:pPr>
        <w:spacing w:after="0" w:line="164" w:lineRule="exact"/>
        <w:rPr>
          <w:sz w:val="20"/>
          <w:szCs w:val="20"/>
          <w:color w:val="auto"/>
        </w:rPr>
      </w:pPr>
    </w:p>
    <w:p>
      <w:pPr>
        <w:ind w:right="60" w:firstLine="546"/>
        <w:spacing w:after="0" w:line="258" w:lineRule="auto"/>
        <w:rPr>
          <w:sz w:val="20"/>
          <w:szCs w:val="20"/>
          <w:color w:val="auto"/>
        </w:rPr>
      </w:pPr>
      <w:r>
        <w:rPr>
          <w:rFonts w:ascii="Arial" w:cs="Arial" w:eastAsia="Arial" w:hAnsi="Arial"/>
          <w:sz w:val="17"/>
          <w:szCs w:val="17"/>
          <w:color w:val="auto"/>
        </w:rPr>
        <w:t>A drug being studied in clinical trials may be made available to individual patients in certain circumstances. Pursuant to the 21st Century Cures Act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(compassionate use). This requirement applies on the later of 60 calendar days after the date of enactment of the Cures Act or the first initiation of a Phase 2 or Phase 3 trial of the investigational drug. At this time, Eledon does not have a program for the compassionate use of an investigational product outside of a clinical trial as it is not applicable to our investigational products.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color w:val="auto"/>
        </w:rPr>
        <w:t>Submission of a BLA or NDA to the FDA</w:t>
      </w:r>
    </w:p>
    <w:p>
      <w:pPr>
        <w:spacing w:after="0" w:line="114"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Assuming successful completion of all required testing (e.g. completion of pivotal clinical trials)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and these fees are typically increased on an annual basis. Applications for orphan drug products are exempted from the BLA and NDA user fees and may be exempted from product and establishment user fees, unless the application includes an indication for other than a rare disease or condition. No application user fees were paid for AT-1501 or OP0201 in calendar 2020.</w:t>
      </w:r>
    </w:p>
    <w:p>
      <w:pPr>
        <w:spacing w:after="0" w:line="183" w:lineRule="exact"/>
        <w:rPr>
          <w:sz w:val="20"/>
          <w:szCs w:val="20"/>
          <w:color w:val="auto"/>
        </w:rPr>
      </w:pPr>
    </w:p>
    <w:p>
      <w:pPr>
        <w:ind w:right="60" w:firstLine="546"/>
        <w:spacing w:after="0" w:line="279" w:lineRule="auto"/>
        <w:rPr>
          <w:sz w:val="20"/>
          <w:szCs w:val="20"/>
          <w:color w:val="auto"/>
        </w:rPr>
      </w:pPr>
      <w:r>
        <w:rPr>
          <w:rFonts w:ascii="Arial" w:cs="Arial" w:eastAsia="Arial" w:hAnsi="Arial"/>
          <w:sz w:val="16"/>
          <w:szCs w:val="16"/>
          <w:color w:val="auto"/>
        </w:rPr>
        <w:t>A BLA or NDA for a new molecular entity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several alternative sources, including investigator-initiated trials that are not sponsored by Eledon. To support marketing approval, the data submitted must be sufficient in quality and quantity to establish the safety and effectiveness of the investigational new drug product to the satisfaction of the FDA.</w:t>
      </w:r>
    </w:p>
    <w:p>
      <w:pPr>
        <w:spacing w:after="0" w:line="168" w:lineRule="exact"/>
        <w:rPr>
          <w:sz w:val="20"/>
          <w:szCs w:val="20"/>
          <w:color w:val="auto"/>
        </w:rPr>
      </w:pPr>
    </w:p>
    <w:p>
      <w:pPr>
        <w:ind w:right="380" w:firstLine="546"/>
        <w:spacing w:after="0" w:line="290" w:lineRule="auto"/>
        <w:rPr>
          <w:sz w:val="20"/>
          <w:szCs w:val="20"/>
          <w:color w:val="auto"/>
        </w:rPr>
      </w:pPr>
      <w:r>
        <w:rPr>
          <w:rFonts w:ascii="Arial" w:cs="Arial" w:eastAsia="Arial" w:hAnsi="Arial"/>
          <w:sz w:val="16"/>
          <w:szCs w:val="16"/>
          <w:color w:val="auto"/>
        </w:rPr>
        <w:t>Once a BLA or NDA for a new molecular entity has been submitted,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spacing w:after="0" w:line="158" w:lineRule="exact"/>
        <w:rPr>
          <w:sz w:val="20"/>
          <w:szCs w:val="20"/>
          <w:color w:val="auto"/>
        </w:rPr>
      </w:pPr>
    </w:p>
    <w:p>
      <w:pPr>
        <w:ind w:right="40" w:firstLine="546"/>
        <w:spacing w:after="0" w:line="262" w:lineRule="auto"/>
        <w:rPr>
          <w:sz w:val="20"/>
          <w:szCs w:val="20"/>
          <w:color w:val="auto"/>
        </w:rPr>
      </w:pPr>
      <w:r>
        <w:rPr>
          <w:rFonts w:ascii="Arial" w:cs="Arial" w:eastAsia="Arial" w:hAnsi="Arial"/>
          <w:sz w:val="17"/>
          <w:szCs w:val="17"/>
          <w:color w:val="auto"/>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spacing w:after="0" w:line="178"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The FDA’s Decision on a BLA or NDA</w:t>
      </w:r>
    </w:p>
    <w:p>
      <w:pPr>
        <w:spacing w:after="0" w:line="114" w:lineRule="exact"/>
        <w:rPr>
          <w:sz w:val="20"/>
          <w:szCs w:val="20"/>
          <w:color w:val="auto"/>
        </w:rPr>
      </w:pPr>
    </w:p>
    <w:p>
      <w:pPr>
        <w:ind w:firstLine="546"/>
        <w:spacing w:after="0" w:line="272" w:lineRule="auto"/>
        <w:rPr>
          <w:sz w:val="20"/>
          <w:szCs w:val="20"/>
          <w:color w:val="auto"/>
        </w:rPr>
      </w:pPr>
      <w:r>
        <w:rPr>
          <w:rFonts w:ascii="Arial" w:cs="Arial" w:eastAsia="Arial" w:hAnsi="Arial"/>
          <w:sz w:val="16"/>
          <w:szCs w:val="16"/>
          <w:color w:val="auto"/>
        </w:rPr>
        <w:t>The FDA evaluates a BLA to determine whether the data demonstrate that the biologic is safe, pure, and potent, or effective, and an NDA to determine whether the drug is safe and effective. After the FDA evaluates the BLA or NDA and conducts inspections of manufacturing facilities where the product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or an additional pivotal Phase 3 clinical trial(s), or other significant, expensive and time-consuming requirements related to clinical trials, preclinical studies or manufacturing. Even if such additional information is submitted, the FDA may ultimately decide that the BLA or NDA does not satisfy the criteria for approval and issue a denial. The FDA could also approve the BLA or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Post-Approval Requirements</w:t>
      </w:r>
    </w:p>
    <w:p>
      <w:pPr>
        <w:spacing w:after="0" w:line="114" w:lineRule="exact"/>
        <w:rPr>
          <w:sz w:val="20"/>
          <w:szCs w:val="20"/>
          <w:color w:val="auto"/>
        </w:rPr>
      </w:pPr>
    </w:p>
    <w:p>
      <w:pPr>
        <w:ind w:right="200" w:firstLine="546"/>
        <w:spacing w:after="0" w:line="259"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ind w:right="120" w:firstLine="546"/>
        <w:spacing w:after="0" w:line="279" w:lineRule="auto"/>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68" w:lineRule="exact"/>
        <w:rPr>
          <w:sz w:val="20"/>
          <w:szCs w:val="20"/>
          <w:color w:val="auto"/>
        </w:rPr>
      </w:pPr>
    </w:p>
    <w:p>
      <w:pPr>
        <w:ind w:firstLine="546"/>
        <w:spacing w:after="0" w:line="276" w:lineRule="auto"/>
        <w:rPr>
          <w:sz w:val="20"/>
          <w:szCs w:val="20"/>
          <w:color w:val="auto"/>
        </w:rPr>
      </w:pPr>
      <w:r>
        <w:rPr>
          <w:rFonts w:ascii="Arial" w:cs="Arial" w:eastAsia="Arial" w:hAnsi="Arial"/>
          <w:sz w:val="16"/>
          <w:szCs w:val="16"/>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distribution, or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 Also, new government requirements, including those resulting from new legislation, may be established, or the FDA’s policies may change, which could delay or prevent regulatory approval of our products under development.</w:t>
      </w:r>
    </w:p>
    <w:p>
      <w:pPr>
        <w:spacing w:after="0" w:line="169" w:lineRule="exact"/>
        <w:rPr>
          <w:sz w:val="20"/>
          <w:szCs w:val="20"/>
          <w:color w:val="auto"/>
        </w:rPr>
      </w:pPr>
    </w:p>
    <w:p>
      <w:pPr>
        <w:ind w:right="60" w:firstLine="546"/>
        <w:spacing w:after="0" w:line="25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0" w:lineRule="exact"/>
        <w:rPr>
          <w:sz w:val="20"/>
          <w:szCs w:val="20"/>
          <w:color w:val="auto"/>
        </w:rPr>
      </w:pPr>
    </w:p>
    <w:p>
      <w:pPr>
        <w:ind w:left="940" w:hanging="39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6" w:lineRule="exact"/>
        <w:rPr>
          <w:rFonts w:ascii="Arial" w:cs="Arial" w:eastAsia="Arial" w:hAnsi="Arial"/>
          <w:sz w:val="17"/>
          <w:szCs w:val="17"/>
          <w:color w:val="auto"/>
        </w:rPr>
      </w:pPr>
    </w:p>
    <w:p>
      <w:pPr>
        <w:ind w:left="940" w:hanging="39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fines, untitled or warning letters or holds on post-approval clinical trials;</w:t>
      </w:r>
    </w:p>
    <w:p>
      <w:pPr>
        <w:spacing w:after="0" w:line="126" w:lineRule="exact"/>
        <w:rPr>
          <w:rFonts w:ascii="Arial" w:cs="Arial" w:eastAsia="Arial" w:hAnsi="Arial"/>
          <w:sz w:val="17"/>
          <w:szCs w:val="17"/>
          <w:color w:val="auto"/>
        </w:rPr>
      </w:pPr>
    </w:p>
    <w:p>
      <w:pPr>
        <w:ind w:left="940" w:right="500" w:hanging="395"/>
        <w:spacing w:after="0" w:line="279"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refusal of the FDA to approve pending BLAs or NDAs or supplements to approved BLAs or NDAs, or suspension or revocation of licenses or withdrawal of approvals;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26" w:lineRule="exact"/>
        <w:rPr>
          <w:rFonts w:ascii="Arial" w:cs="Arial" w:eastAsia="Arial" w:hAnsi="Arial"/>
          <w:sz w:val="17"/>
          <w:szCs w:val="17"/>
          <w:color w:val="auto"/>
        </w:rPr>
      </w:pPr>
    </w:p>
    <w:p>
      <w:pPr>
        <w:ind w:left="940" w:hanging="39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30" w:lineRule="exact"/>
        <w:rPr>
          <w:sz w:val="20"/>
          <w:szCs w:val="20"/>
          <w:color w:val="auto"/>
        </w:rPr>
      </w:pPr>
    </w:p>
    <w:p>
      <w:pPr>
        <w:ind w:right="80" w:firstLine="546"/>
        <w:spacing w:after="0" w:line="290"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Designation and Exclusivity</w:t>
      </w:r>
    </w:p>
    <w:p>
      <w:pPr>
        <w:spacing w:after="0" w:line="114" w:lineRule="exact"/>
        <w:rPr>
          <w:sz w:val="20"/>
          <w:szCs w:val="20"/>
          <w:color w:val="auto"/>
        </w:rPr>
      </w:pPr>
    </w:p>
    <w:p>
      <w:pPr>
        <w:jc w:val="both"/>
        <w:ind w:firstLine="546"/>
        <w:spacing w:after="0" w:line="266"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making the drug for this type of disease or condition will be recovered from sales in the United States.</w:t>
      </w:r>
    </w:p>
    <w:p>
      <w:pPr>
        <w:spacing w:after="0" w:line="175"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200"/>
        <w:spacing w:after="0" w:line="279" w:lineRule="auto"/>
        <w:rPr>
          <w:sz w:val="20"/>
          <w:szCs w:val="20"/>
          <w:color w:val="auto"/>
        </w:rPr>
      </w:pPr>
      <w:r>
        <w:rPr>
          <w:rFonts w:ascii="Arial" w:cs="Arial" w:eastAsia="Arial" w:hAnsi="Arial"/>
          <w:sz w:val="17"/>
          <w:szCs w:val="17"/>
          <w:color w:val="auto"/>
        </w:rPr>
        <w:t>limited circumstances, such as a showing of clinical superiority over the product with orphan exclusivity. The Company received an orphan drug designation for AT-1501 for the treatment of ALS.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Pediatric Trials and Exclusivity</w:t>
      </w:r>
    </w:p>
    <w:p>
      <w:pPr>
        <w:spacing w:after="0" w:line="114" w:lineRule="exact"/>
        <w:rPr>
          <w:sz w:val="20"/>
          <w:szCs w:val="20"/>
          <w:color w:val="auto"/>
        </w:rPr>
      </w:pPr>
    </w:p>
    <w:p>
      <w:pPr>
        <w:ind w:right="40" w:firstLine="546"/>
        <w:spacing w:after="0" w:line="272" w:lineRule="auto"/>
        <w:rPr>
          <w:sz w:val="20"/>
          <w:szCs w:val="20"/>
          <w:color w:val="auto"/>
        </w:rPr>
      </w:pPr>
      <w:r>
        <w:rPr>
          <w:rFonts w:ascii="Arial" w:cs="Arial" w:eastAsia="Arial" w:hAnsi="Arial"/>
          <w:sz w:val="16"/>
          <w:szCs w:val="16"/>
          <w:color w:val="auto"/>
        </w:rPr>
        <w:t>Under the Pediatric Research Equity Act of 2003 (“PREA”) as amended, BLAs and NDAs must contain data to assess the safety and effectiveness of an investigational new drug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for an indication for which orphan designation has been granted. In the future we may seek pediatric approval for AT-1501 applications in connection with renal and islet cell transplantations, which may require the submission of a PSP.</w:t>
      </w:r>
    </w:p>
    <w:p>
      <w:pPr>
        <w:spacing w:after="0" w:line="177" w:lineRule="exact"/>
        <w:rPr>
          <w:sz w:val="20"/>
          <w:szCs w:val="20"/>
          <w:color w:val="auto"/>
        </w:rPr>
      </w:pPr>
    </w:p>
    <w:p>
      <w:pPr>
        <w:ind w:right="40" w:firstLine="546"/>
        <w:spacing w:after="0" w:line="297" w:lineRule="auto"/>
        <w:rPr>
          <w:sz w:val="20"/>
          <w:szCs w:val="20"/>
          <w:color w:val="auto"/>
        </w:rPr>
      </w:pPr>
      <w:r>
        <w:rPr>
          <w:rFonts w:ascii="Arial" w:cs="Arial" w:eastAsia="Arial" w:hAnsi="Arial"/>
          <w:sz w:val="15"/>
          <w:szCs w:val="15"/>
          <w:color w:val="auto"/>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or NDA sponsor’s data.</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Restoration</w:t>
      </w:r>
    </w:p>
    <w:p>
      <w:pPr>
        <w:spacing w:after="0" w:line="114" w:lineRule="exact"/>
        <w:rPr>
          <w:sz w:val="20"/>
          <w:szCs w:val="20"/>
          <w:color w:val="auto"/>
        </w:rPr>
      </w:pPr>
    </w:p>
    <w:p>
      <w:pPr>
        <w:ind w:firstLine="546"/>
        <w:spacing w:after="0" w:line="273"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or NDA, plus the time between the submission date and the approval of that application, except that the review period is reduced by any time during which the applicant failed to exercise due diligence.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the patent term for one of our currently owned or licensed patents to add patent life beyond its current expiration date, depending on the expected length of the clinical trials and other factors involved in the filing of the relevant BLA or NDA.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Abbreviated New Drug Applications for Generic Drugs</w:t>
      </w:r>
    </w:p>
    <w:p>
      <w:pPr>
        <w:spacing w:after="0" w:line="114"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In 1984, with passage of the Hatch-Waxman Amendments,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right="120" w:firstLine="546"/>
        <w:spacing w:after="0" w:line="262" w:lineRule="auto"/>
        <w:rPr>
          <w:sz w:val="20"/>
          <w:szCs w:val="20"/>
          <w:color w:val="auto"/>
        </w:rPr>
      </w:pPr>
      <w:r>
        <w:rPr>
          <w:rFonts w:ascii="Arial" w:cs="Arial" w:eastAsia="Arial" w:hAnsi="Arial"/>
          <w:sz w:val="17"/>
          <w:szCs w:val="17"/>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generic drug do not show a significant difference from the rate and extent of absorption of the listed drug...”</w:t>
      </w:r>
    </w:p>
    <w:p>
      <w:pPr>
        <w:spacing w:after="0" w:line="178" w:lineRule="exact"/>
        <w:rPr>
          <w:sz w:val="20"/>
          <w:szCs w:val="20"/>
          <w:color w:val="auto"/>
        </w:rPr>
      </w:pPr>
    </w:p>
    <w:p>
      <w:pPr>
        <w:ind w:right="20" w:firstLine="546"/>
        <w:spacing w:after="0" w:line="259" w:lineRule="auto"/>
        <w:rPr>
          <w:sz w:val="20"/>
          <w:szCs w:val="20"/>
          <w:color w:val="auto"/>
        </w:rPr>
      </w:pPr>
      <w:r>
        <w:rPr>
          <w:rFonts w:ascii="Arial" w:cs="Arial" w:eastAsia="Arial" w:hAnsi="Arial"/>
          <w:sz w:val="17"/>
          <w:szCs w:val="17"/>
          <w:color w:val="auto"/>
        </w:rPr>
        <w:t>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an “AB” therapeutic equivalence rating to mean that a generic drug is fully substitutable for the RLD. In addition, by operation of certain state laws and numerous health insurance programs, the FDA’s designation of an “AB” rating often results in substitution of the generic drug without the knowledge or consent of either the prescribing physician or patient.</w:t>
      </w:r>
    </w:p>
    <w:p>
      <w:pPr>
        <w:spacing w:after="0" w:line="183" w:lineRule="exact"/>
        <w:rPr>
          <w:sz w:val="20"/>
          <w:szCs w:val="20"/>
          <w:color w:val="auto"/>
        </w:rPr>
      </w:pPr>
    </w:p>
    <w:p>
      <w:pPr>
        <w:ind w:right="120" w:firstLine="546"/>
        <w:spacing w:after="0" w:line="258" w:lineRule="auto"/>
        <w:rPr>
          <w:sz w:val="20"/>
          <w:szCs w:val="20"/>
          <w:color w:val="auto"/>
        </w:rPr>
      </w:pPr>
      <w:r>
        <w:rPr>
          <w:rFonts w:ascii="Arial" w:cs="Arial" w:eastAsia="Arial" w:hAnsi="Arial"/>
          <w:sz w:val="17"/>
          <w:szCs w:val="17"/>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Hatch-Waxman Patent Certification and the 30-Month Stay</w:t>
      </w:r>
    </w:p>
    <w:p>
      <w:pPr>
        <w:spacing w:after="0" w:line="114" w:lineRule="exact"/>
        <w:rPr>
          <w:sz w:val="20"/>
          <w:szCs w:val="20"/>
          <w:color w:val="auto"/>
        </w:rPr>
      </w:pPr>
    </w:p>
    <w:p>
      <w:pPr>
        <w:ind w:right="300" w:firstLine="546"/>
        <w:spacing w:after="0" w:line="262"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Specifically, the applicant must certify with respect to each patent that:</w:t>
      </w:r>
    </w:p>
    <w:p>
      <w:pPr>
        <w:spacing w:after="0" w:line="114" w:lineRule="exact"/>
        <w:rPr>
          <w:sz w:val="20"/>
          <w:szCs w:val="20"/>
          <w:color w:val="auto"/>
        </w:rPr>
      </w:pPr>
    </w:p>
    <w:p>
      <w:pPr>
        <w:ind w:left="1080" w:hanging="53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required patent information has not been filed;</w:t>
      </w:r>
    </w:p>
    <w:p>
      <w:pPr>
        <w:spacing w:after="0" w:line="126" w:lineRule="exact"/>
        <w:rPr>
          <w:rFonts w:ascii="Arial" w:cs="Arial" w:eastAsia="Arial" w:hAnsi="Arial"/>
          <w:sz w:val="17"/>
          <w:szCs w:val="17"/>
          <w:color w:val="auto"/>
        </w:rPr>
      </w:pPr>
    </w:p>
    <w:p>
      <w:pPr>
        <w:ind w:left="1080" w:hanging="53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listed patent has expired;</w:t>
      </w:r>
    </w:p>
    <w:p>
      <w:pPr>
        <w:spacing w:after="0" w:line="126" w:lineRule="exact"/>
        <w:rPr>
          <w:rFonts w:ascii="Arial" w:cs="Arial" w:eastAsia="Arial" w:hAnsi="Arial"/>
          <w:sz w:val="17"/>
          <w:szCs w:val="17"/>
          <w:color w:val="auto"/>
        </w:rPr>
      </w:pPr>
    </w:p>
    <w:p>
      <w:pPr>
        <w:ind w:left="1080" w:hanging="53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listed patent has not expired, but will expire on a particular date and approval is sought after patent expiration; or</w:t>
      </w:r>
    </w:p>
    <w:p>
      <w:pPr>
        <w:spacing w:after="0" w:line="126" w:lineRule="exact"/>
        <w:rPr>
          <w:rFonts w:ascii="Arial" w:cs="Arial" w:eastAsia="Arial" w:hAnsi="Arial"/>
          <w:sz w:val="17"/>
          <w:szCs w:val="17"/>
          <w:color w:val="auto"/>
        </w:rPr>
      </w:pPr>
    </w:p>
    <w:p>
      <w:pPr>
        <w:ind w:left="1080" w:hanging="535"/>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listed patent is invalid, unenforceable or will not be infringed by the new product.</w:t>
      </w:r>
    </w:p>
    <w:p>
      <w:pPr>
        <w:spacing w:after="0" w:line="230" w:lineRule="exact"/>
        <w:rPr>
          <w:sz w:val="20"/>
          <w:szCs w:val="20"/>
          <w:color w:val="auto"/>
        </w:rPr>
      </w:pPr>
    </w:p>
    <w:p>
      <w:pPr>
        <w:ind w:right="20" w:firstLine="546"/>
        <w:spacing w:after="0" w:line="266"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w:t>
      </w:r>
    </w:p>
    <w:p>
      <w:pPr>
        <w:spacing w:after="0" w:line="175" w:lineRule="exact"/>
        <w:rPr>
          <w:sz w:val="20"/>
          <w:szCs w:val="20"/>
          <w:color w:val="auto"/>
        </w:rPr>
      </w:pPr>
    </w:p>
    <w:p>
      <w:pPr>
        <w:ind w:right="60" w:firstLine="546"/>
        <w:spacing w:after="0" w:line="259"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Union/Rest of World Government Regulation</w:t>
      </w:r>
    </w:p>
    <w:p>
      <w:pPr>
        <w:spacing w:after="0" w:line="114" w:lineRule="exact"/>
        <w:rPr>
          <w:sz w:val="20"/>
          <w:szCs w:val="20"/>
          <w:color w:val="auto"/>
        </w:rPr>
      </w:pPr>
    </w:p>
    <w:p>
      <w:pPr>
        <w:ind w:firstLine="546"/>
        <w:spacing w:after="0" w:line="283"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(“EU”) and in other jurisdictions, the approval process varies between countries and jurisdictions and can involve additional product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right="80"/>
        <w:spacing w:after="0" w:line="266" w:lineRule="auto"/>
        <w:rPr>
          <w:sz w:val="20"/>
          <w:szCs w:val="20"/>
          <w:color w:val="auto"/>
        </w:rPr>
      </w:pPr>
      <w:r>
        <w:rPr>
          <w:rFonts w:ascii="Arial" w:cs="Arial" w:eastAsia="Arial" w:hAnsi="Arial"/>
          <w:sz w:val="17"/>
          <w:szCs w:val="17"/>
          <w:color w:val="auto"/>
        </w:rPr>
        <w:t>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5" w:lineRule="exact"/>
        <w:rPr>
          <w:sz w:val="20"/>
          <w:szCs w:val="20"/>
          <w:color w:val="auto"/>
        </w:rPr>
      </w:pPr>
    </w:p>
    <w:p>
      <w:pPr>
        <w:ind w:right="60" w:firstLine="546"/>
        <w:spacing w:after="0" w:line="302" w:lineRule="auto"/>
        <w:rPr>
          <w:sz w:val="20"/>
          <w:szCs w:val="20"/>
          <w:color w:val="auto"/>
        </w:rPr>
      </w:pPr>
      <w:r>
        <w:rPr>
          <w:rFonts w:ascii="Arial" w:cs="Arial" w:eastAsia="Arial" w:hAnsi="Arial"/>
          <w:sz w:val="15"/>
          <w:szCs w:val="15"/>
          <w:color w:val="auto"/>
        </w:rPr>
        <w:t>Whether or not we obtain FDA approval for a product candidate,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52" w:lineRule="exact"/>
        <w:rPr>
          <w:sz w:val="20"/>
          <w:szCs w:val="20"/>
          <w:color w:val="auto"/>
        </w:rPr>
      </w:pPr>
    </w:p>
    <w:p>
      <w:pPr>
        <w:ind w:right="640" w:firstLine="546"/>
        <w:spacing w:after="0" w:line="349" w:lineRule="auto"/>
        <w:rPr>
          <w:sz w:val="20"/>
          <w:szCs w:val="20"/>
          <w:color w:val="auto"/>
        </w:rPr>
      </w:pPr>
      <w:r>
        <w:rPr>
          <w:rFonts w:ascii="Arial" w:cs="Arial" w:eastAsia="Arial" w:hAnsi="Arial"/>
          <w:sz w:val="15"/>
          <w:szCs w:val="15"/>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17" w:lineRule="exact"/>
        <w:rPr>
          <w:sz w:val="20"/>
          <w:szCs w:val="20"/>
          <w:color w:val="auto"/>
        </w:rPr>
      </w:pPr>
    </w:p>
    <w:p>
      <w:pPr>
        <w:ind w:right="40" w:firstLine="546"/>
        <w:spacing w:after="0" w:line="349" w:lineRule="auto"/>
        <w:rPr>
          <w:sz w:val="20"/>
          <w:szCs w:val="20"/>
          <w:color w:val="auto"/>
        </w:rPr>
      </w:pPr>
      <w:r>
        <w:rPr>
          <w:rFonts w:ascii="Arial" w:cs="Arial" w:eastAsia="Arial" w:hAnsi="Arial"/>
          <w:sz w:val="15"/>
          <w:szCs w:val="15"/>
          <w:color w:val="auto"/>
        </w:rPr>
        <w:t>To obtain regulatory approval of an investigational medicinal product under EU regulatory systems, we must submit a marketing authorization application. The content of the BLA or NDA filed in the United States is like that required in the EU, except, among other things, country-specific document requirements</w:t>
      </w:r>
    </w:p>
    <w:p>
      <w:pPr>
        <w:spacing w:after="0" w:line="117" w:lineRule="exact"/>
        <w:rPr>
          <w:sz w:val="20"/>
          <w:szCs w:val="20"/>
          <w:color w:val="auto"/>
        </w:rPr>
      </w:pPr>
    </w:p>
    <w:p>
      <w:pPr>
        <w:ind w:right="160" w:firstLine="546"/>
        <w:spacing w:after="0" w:line="279" w:lineRule="auto"/>
        <w:rPr>
          <w:sz w:val="20"/>
          <w:szCs w:val="20"/>
          <w:color w:val="auto"/>
        </w:rPr>
      </w:pPr>
      <w:r>
        <w:rPr>
          <w:rFonts w:ascii="Arial" w:cs="Arial" w:eastAsia="Arial" w:hAnsi="Arial"/>
          <w:sz w:val="17"/>
          <w:szCs w:val="17"/>
          <w:color w:val="auto"/>
        </w:rPr>
        <w:t>For other countries outside of the EU, such as countries in Eastern Europe, Latin America or Asia, the requirements governing product licensing, pricing, and reimbursement vary from country to country.</w:t>
      </w:r>
    </w:p>
    <w:p>
      <w:pPr>
        <w:spacing w:after="0" w:line="164" w:lineRule="exact"/>
        <w:rPr>
          <w:sz w:val="20"/>
          <w:szCs w:val="20"/>
          <w:color w:val="auto"/>
        </w:rPr>
      </w:pPr>
    </w:p>
    <w:p>
      <w:pPr>
        <w:ind w:firstLine="546"/>
        <w:spacing w:after="0" w:line="318" w:lineRule="auto"/>
        <w:rPr>
          <w:sz w:val="20"/>
          <w:szCs w:val="20"/>
          <w:color w:val="auto"/>
        </w:rPr>
      </w:pPr>
      <w:r>
        <w:rPr>
          <w:rFonts w:ascii="Arial" w:cs="Arial" w:eastAsia="Arial" w:hAnsi="Arial"/>
          <w:sz w:val="15"/>
          <w:szCs w:val="15"/>
          <w:color w:val="auto"/>
        </w:rPr>
        <w:t>Countries that are part of the EU, as well as countries outside of the European Union, have their own governing bodies, requirements, and processes with respect to the approval of pharmaceutical and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Authorization Procedures in the EU</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Medicines can be authorized in the EU by using either the centralized authorization procedure or national authorization procedures.</w:t>
      </w:r>
    </w:p>
    <w:p>
      <w:pPr>
        <w:spacing w:after="0" w:line="114" w:lineRule="exact"/>
        <w:rPr>
          <w:sz w:val="20"/>
          <w:szCs w:val="20"/>
          <w:color w:val="auto"/>
        </w:rPr>
      </w:pPr>
    </w:p>
    <w:p>
      <w:pPr>
        <w:ind w:left="940" w:right="20" w:hanging="395"/>
        <w:spacing w:after="0" w:line="302" w:lineRule="auto"/>
        <w:tabs>
          <w:tab w:leader="none" w:pos="9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Centralized procedure. The EMA implemented the centralized procedure for the approval of human medicines to facilitate marketing authorizations that are valid throughout the European Economic Area (“EEA”).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49" w:lineRule="exact"/>
        <w:rPr>
          <w:rFonts w:ascii="Arial" w:cs="Arial" w:eastAsia="Arial" w:hAnsi="Arial"/>
          <w:sz w:val="15"/>
          <w:szCs w:val="15"/>
          <w:color w:val="auto"/>
        </w:rPr>
      </w:pPr>
    </w:p>
    <w:p>
      <w:pPr>
        <w:ind w:left="940" w:right="40" w:hanging="395"/>
        <w:spacing w:after="0" w:line="266"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spacing w:after="0" w:line="71" w:lineRule="exact"/>
        <w:rPr>
          <w:rFonts w:ascii="Arial" w:cs="Arial" w:eastAsia="Arial" w:hAnsi="Arial"/>
          <w:sz w:val="17"/>
          <w:szCs w:val="17"/>
          <w:color w:val="auto"/>
        </w:rPr>
      </w:pPr>
    </w:p>
    <w:p>
      <w:pPr>
        <w:ind w:left="940" w:right="500" w:hanging="395"/>
        <w:spacing w:after="0" w:line="279"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National authorization procedures. There are also two other possible routes to authorize medicinal products in several EU countries, which are available for investigational medicinal products that fall outside the scope of the centralized procedure:</w:t>
      </w:r>
    </w:p>
    <w:p>
      <w:pPr>
        <w:spacing w:after="0" w:line="61" w:lineRule="exact"/>
        <w:rPr>
          <w:rFonts w:ascii="Arial" w:cs="Arial" w:eastAsia="Arial" w:hAnsi="Arial"/>
          <w:sz w:val="17"/>
          <w:szCs w:val="17"/>
          <w:color w:val="auto"/>
        </w:rPr>
      </w:pPr>
    </w:p>
    <w:p>
      <w:pPr>
        <w:jc w:val="both"/>
        <w:ind w:left="940" w:right="60" w:hanging="395"/>
        <w:spacing w:after="0" w:line="349" w:lineRule="auto"/>
        <w:tabs>
          <w:tab w:leader="none" w:pos="9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4" w:lineRule="exact"/>
        <w:rPr>
          <w:rFonts w:ascii="Arial" w:cs="Arial" w:eastAsia="Arial" w:hAnsi="Arial"/>
          <w:sz w:val="15"/>
          <w:szCs w:val="15"/>
          <w:color w:val="auto"/>
        </w:rPr>
      </w:pPr>
    </w:p>
    <w:p>
      <w:pPr>
        <w:ind w:left="940" w:right="140" w:hanging="395"/>
        <w:spacing w:after="0" w:line="290" w:lineRule="auto"/>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ind w:firstLine="546"/>
        <w:spacing w:after="0" w:line="279" w:lineRule="auto"/>
        <w:rPr>
          <w:sz w:val="20"/>
          <w:szCs w:val="20"/>
          <w:color w:val="auto"/>
        </w:rPr>
      </w:pPr>
      <w:r>
        <w:rPr>
          <w:rFonts w:ascii="Arial" w:cs="Arial" w:eastAsia="Arial" w:hAnsi="Arial"/>
          <w:sz w:val="16"/>
          <w:szCs w:val="16"/>
          <w:color w:val="auto"/>
        </w:rPr>
        <w:t>In some cases, a Pediatric Investigation Plan (“PIP”) or a request for waiver or deferral, is required for submission prior to submitting a marketing authorization application. A PIP describes, among other things, proposed pediatric trials and their timing relative to clinical trials in adults. A PIP will be submitted to EMA and other EU countries, as required. The PIP will need to be submitted early during product development before marketing authorization applications are submitted. The timing of PIP submission cannot be after initiation of pivotal trials or confirmatory (phase 3) trials. In the future we may seek pediatric approval for AT-1501 applications in connection with renal and islet cell transplantations, which may require the submission of a PIP.</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Exclusivity of New Chemical Entities and New Fixed Dose Combinations</w:t>
      </w:r>
    </w:p>
    <w:p>
      <w:pPr>
        <w:spacing w:after="0" w:line="114" w:lineRule="exact"/>
        <w:rPr>
          <w:sz w:val="20"/>
          <w:szCs w:val="20"/>
          <w:color w:val="auto"/>
        </w:rPr>
      </w:pPr>
    </w:p>
    <w:p>
      <w:pPr>
        <w:ind w:right="100" w:firstLine="546"/>
        <w:spacing w:after="0" w:line="299" w:lineRule="auto"/>
        <w:rPr>
          <w:sz w:val="20"/>
          <w:szCs w:val="20"/>
          <w:color w:val="auto"/>
        </w:rPr>
      </w:pPr>
      <w:r>
        <w:rPr>
          <w:rFonts w:ascii="Arial" w:cs="Arial" w:eastAsia="Arial" w:hAnsi="Arial"/>
          <w:sz w:val="15"/>
          <w:szCs w:val="15"/>
          <w:color w:val="auto"/>
        </w:rPr>
        <w:t>In the EU, new chemical entities, sometimes referred to as new active substances as well as new fixed dose combinations,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a generic application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Exceptional Circumstances/Conditional Approval</w:t>
      </w:r>
    </w:p>
    <w:p>
      <w:pPr>
        <w:spacing w:after="0" w:line="114" w:lineRule="exact"/>
        <w:rPr>
          <w:sz w:val="20"/>
          <w:szCs w:val="20"/>
          <w:color w:val="auto"/>
        </w:rPr>
      </w:pPr>
    </w:p>
    <w:p>
      <w:pPr>
        <w:ind w:right="20" w:firstLine="546"/>
        <w:spacing w:after="0" w:line="294" w:lineRule="auto"/>
        <w:rPr>
          <w:sz w:val="20"/>
          <w:szCs w:val="20"/>
          <w:color w:val="auto"/>
        </w:rPr>
      </w:pPr>
      <w:r>
        <w:rPr>
          <w:rFonts w:ascii="Arial" w:cs="Arial" w:eastAsia="Arial" w:hAnsi="Arial"/>
          <w:sz w:val="15"/>
          <w:szCs w:val="15"/>
          <w:color w:val="auto"/>
        </w:rPr>
        <w:t>Orphan drugs or drugs with unmet medical needs may be eligible for EU approval under exceptional circumstances or with conditional approval. Approval under exceptional circumstances may be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may be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Accelerated Review</w:t>
      </w:r>
    </w:p>
    <w:p>
      <w:pPr>
        <w:spacing w:after="0" w:line="114" w:lineRule="exact"/>
        <w:rPr>
          <w:sz w:val="20"/>
          <w:szCs w:val="20"/>
          <w:color w:val="auto"/>
        </w:rPr>
      </w:pPr>
    </w:p>
    <w:p>
      <w:pPr>
        <w:ind w:right="60" w:firstLine="546"/>
        <w:spacing w:after="0" w:line="259" w:lineRule="auto"/>
        <w:rPr>
          <w:sz w:val="20"/>
          <w:szCs w:val="20"/>
          <w:color w:val="auto"/>
        </w:rPr>
      </w:pPr>
      <w:r>
        <w:rPr>
          <w:rFonts w:ascii="Arial" w:cs="Arial" w:eastAsia="Arial" w:hAnsi="Arial"/>
          <w:sz w:val="17"/>
          <w:szCs w:val="17"/>
          <w:color w:val="auto"/>
        </w:rPr>
        <w:t>Under the centralized procedure in the EU,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or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114" w:lineRule="exact"/>
        <w:rPr>
          <w:sz w:val="20"/>
          <w:szCs w:val="20"/>
          <w:color w:val="auto"/>
        </w:rPr>
      </w:pPr>
    </w:p>
    <w:p>
      <w:pPr>
        <w:ind w:right="100" w:firstLine="546"/>
        <w:spacing w:after="0" w:line="257"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182" w:lineRule="exact"/>
        <w:rPr>
          <w:sz w:val="20"/>
          <w:szCs w:val="20"/>
          <w:color w:val="auto"/>
        </w:rPr>
      </w:pPr>
    </w:p>
    <w:p>
      <w:pPr>
        <w:ind w:right="140" w:firstLine="546"/>
        <w:spacing w:after="0" w:line="279"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right="180"/>
        <w:spacing w:after="0" w:line="307" w:lineRule="auto"/>
        <w:rPr>
          <w:sz w:val="20"/>
          <w:szCs w:val="20"/>
          <w:color w:val="auto"/>
        </w:rPr>
      </w:pPr>
      <w:r>
        <w:rPr>
          <w:rFonts w:ascii="Arial" w:cs="Arial" w:eastAsia="Arial" w:hAnsi="Arial"/>
          <w:sz w:val="15"/>
          <w:szCs w:val="15"/>
          <w:color w:val="auto"/>
        </w:rPr>
        <w:t>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49" w:lineRule="exact"/>
        <w:rPr>
          <w:sz w:val="20"/>
          <w:szCs w:val="20"/>
          <w:color w:val="auto"/>
        </w:rPr>
      </w:pPr>
    </w:p>
    <w:p>
      <w:pPr>
        <w:ind w:right="40" w:firstLine="546"/>
        <w:spacing w:after="0" w:line="272"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Affordable Care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healthcare programs. Some of the provisions of the Affordable Care Act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Affordable Care Act.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Thus, the full impact of the Affordable Care Act, any law replacing elements of it, or the political uncertainty surrounding its repeal or replacement on our business remains unclear. Adoption of government controls, measures and tightening of restrictive policies in jurisdictions with existing controls and measures could limit payments for pharmaceuticals.</w:t>
      </w:r>
    </w:p>
    <w:p>
      <w:pPr>
        <w:spacing w:after="0" w:line="173" w:lineRule="exact"/>
        <w:rPr>
          <w:sz w:val="20"/>
          <w:szCs w:val="20"/>
          <w:color w:val="auto"/>
        </w:rPr>
      </w:pPr>
    </w:p>
    <w:p>
      <w:pPr>
        <w:ind w:right="80" w:firstLine="546"/>
        <w:spacing w:after="0" w:line="297" w:lineRule="auto"/>
        <w:rPr>
          <w:sz w:val="20"/>
          <w:szCs w:val="20"/>
          <w:color w:val="auto"/>
        </w:rPr>
      </w:pPr>
      <w:r>
        <w:rPr>
          <w:rFonts w:ascii="Arial" w:cs="Arial" w:eastAsia="Arial" w:hAnsi="Arial"/>
          <w:sz w:val="15"/>
          <w:szCs w:val="15"/>
          <w:color w:val="auto"/>
        </w:rPr>
        <w:t>In European countries,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56" w:lineRule="exact"/>
        <w:rPr>
          <w:sz w:val="20"/>
          <w:szCs w:val="20"/>
          <w:color w:val="auto"/>
        </w:rPr>
      </w:pPr>
    </w:p>
    <w:p>
      <w:pPr>
        <w:ind w:firstLine="546"/>
        <w:spacing w:after="0" w:line="259"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the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 and Compliance Requirements</w:t>
      </w:r>
    </w:p>
    <w:p>
      <w:pPr>
        <w:spacing w:after="0" w:line="114" w:lineRule="exact"/>
        <w:rPr>
          <w:sz w:val="20"/>
          <w:szCs w:val="20"/>
          <w:color w:val="auto"/>
        </w:rPr>
      </w:pPr>
    </w:p>
    <w:p>
      <w:pPr>
        <w:ind w:right="100" w:firstLine="546"/>
        <w:spacing w:after="0" w:line="318" w:lineRule="auto"/>
        <w:rPr>
          <w:sz w:val="20"/>
          <w:szCs w:val="20"/>
          <w:color w:val="auto"/>
        </w:rPr>
      </w:pPr>
      <w:r>
        <w:rPr>
          <w:rFonts w:ascii="Arial" w:cs="Arial" w:eastAsia="Arial" w:hAnsi="Arial"/>
          <w:sz w:val="15"/>
          <w:szCs w:val="15"/>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6" w:lineRule="exact"/>
        <w:rPr>
          <w:sz w:val="20"/>
          <w:szCs w:val="20"/>
          <w:color w:val="auto"/>
        </w:rPr>
      </w:pPr>
    </w:p>
    <w:p>
      <w:pPr>
        <w:ind w:left="940" w:right="280" w:hanging="395"/>
        <w:spacing w:after="0" w:line="266" w:lineRule="auto"/>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1" w:lineRule="exact"/>
        <w:rPr>
          <w:rFonts w:ascii="Arial" w:cs="Arial" w:eastAsia="Arial" w:hAnsi="Arial"/>
          <w:sz w:val="17"/>
          <w:szCs w:val="17"/>
          <w:color w:val="auto"/>
        </w:rPr>
      </w:pPr>
    </w:p>
    <w:p>
      <w:pPr>
        <w:jc w:val="both"/>
        <w:ind w:left="940" w:right="660" w:hanging="395"/>
        <w:spacing w:after="0" w:line="266" w:lineRule="auto"/>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940" w:right="540" w:hanging="395"/>
        <w:spacing w:after="0" w:line="312"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7" w:lineRule="exact"/>
        <w:rPr>
          <w:rFonts w:ascii="Arial" w:cs="Arial" w:eastAsia="Arial" w:hAnsi="Arial"/>
          <w:sz w:val="16"/>
          <w:szCs w:val="16"/>
          <w:color w:val="auto"/>
        </w:rPr>
      </w:pPr>
    </w:p>
    <w:p>
      <w:pPr>
        <w:ind w:left="940" w:right="340" w:hanging="395"/>
        <w:spacing w:after="0" w:line="266"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transparency laws, including the provision of the Affordable Care Act referred to as the federal Physician Payment Sunshine Act, that requires drug and biologics manufacturers to disclose payments and other transfers of value provided to physicians and teaching hospitals and ownership interests of physicians and their immediate family members;</w:t>
      </w:r>
    </w:p>
    <w:p>
      <w:pPr>
        <w:spacing w:after="0" w:line="71" w:lineRule="exact"/>
        <w:rPr>
          <w:rFonts w:ascii="Arial" w:cs="Arial" w:eastAsia="Arial" w:hAnsi="Arial"/>
          <w:sz w:val="17"/>
          <w:szCs w:val="17"/>
          <w:color w:val="auto"/>
        </w:rPr>
      </w:pPr>
    </w:p>
    <w:p>
      <w:pPr>
        <w:ind w:left="940" w:right="280" w:hanging="395"/>
        <w:spacing w:after="0" w:line="349" w:lineRule="auto"/>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(“HITECH”) and its implementing regulations, which imposes certain requirements relating to the privacy, security and transmission of individually identifiable health information; and</w:t>
      </w:r>
    </w:p>
    <w:p>
      <w:pPr>
        <w:spacing w:after="0" w:line="14" w:lineRule="exact"/>
        <w:rPr>
          <w:rFonts w:ascii="Arial" w:cs="Arial" w:eastAsia="Arial" w:hAnsi="Arial"/>
          <w:sz w:val="15"/>
          <w:szCs w:val="15"/>
          <w:color w:val="auto"/>
        </w:rPr>
      </w:pPr>
    </w:p>
    <w:p>
      <w:pPr>
        <w:ind w:left="940" w:hanging="395"/>
        <w:spacing w:after="0" w:line="318" w:lineRule="auto"/>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state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39" w:lineRule="exact"/>
        <w:rPr>
          <w:sz w:val="20"/>
          <w:szCs w:val="20"/>
          <w:color w:val="auto"/>
        </w:rPr>
      </w:pPr>
    </w:p>
    <w:p>
      <w:pPr>
        <w:ind w:right="60" w:firstLine="546"/>
        <w:spacing w:after="0" w:line="257"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85" w:lineRule="exact"/>
        <w:rPr>
          <w:sz w:val="20"/>
          <w:szCs w:val="20"/>
          <w:color w:val="auto"/>
        </w:rPr>
      </w:pPr>
    </w:p>
    <w:p>
      <w:pPr>
        <w:ind w:right="100" w:firstLine="546"/>
        <w:spacing w:after="0" w:line="283" w:lineRule="auto"/>
        <w:rPr>
          <w:sz w:val="20"/>
          <w:szCs w:val="20"/>
          <w:color w:val="auto"/>
        </w:rPr>
      </w:pPr>
      <w:r>
        <w:rPr>
          <w:rFonts w:ascii="Arial" w:cs="Arial" w:eastAsia="Arial" w:hAnsi="Arial"/>
          <w:sz w:val="16"/>
          <w:szCs w:val="16"/>
          <w:color w:val="auto"/>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64"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0"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As of March 26, 2021, Eledon had ten full-time employees. None of our employees are represented by labor unions or covered by collective bargaining agreements. We consider our relationship with our employees to be good.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33" w:lineRule="exact"/>
        <w:rPr>
          <w:sz w:val="20"/>
          <w:szCs w:val="20"/>
          <w:color w:val="auto"/>
        </w:rPr>
      </w:pPr>
    </w:p>
    <w:p>
      <w:pPr>
        <w:ind w:right="120" w:firstLine="546"/>
        <w:spacing w:after="0" w:line="349" w:lineRule="auto"/>
        <w:rPr>
          <w:sz w:val="20"/>
          <w:szCs w:val="20"/>
          <w:color w:val="auto"/>
        </w:rPr>
      </w:pPr>
      <w:r>
        <w:rPr>
          <w:rFonts w:ascii="Arial" w:cs="Arial" w:eastAsia="Arial" w:hAnsi="Arial"/>
          <w:sz w:val="15"/>
          <w:szCs w:val="15"/>
          <w:color w:val="auto"/>
        </w:rPr>
        <w:t>On September 14, 2020, the Company acquired Anelixis Therapeutics, Inc. (“Anelixis”), a Delaware Corporation, after which Anelixis became a wholly-owned subsidiary of the Company. On January 4, 2021, the Company changed its name from Novus Therapeutics, Inc. to Eledon Pharmaceuticals, Inc.</w:t>
      </w:r>
    </w:p>
    <w:p>
      <w:pPr>
        <w:spacing w:after="0" w:line="14" w:lineRule="exact"/>
        <w:rPr>
          <w:sz w:val="20"/>
          <w:szCs w:val="20"/>
          <w:color w:val="auto"/>
        </w:rPr>
      </w:pPr>
    </w:p>
    <w:p>
      <w:pPr>
        <w:ind w:right="120" w:firstLine="546"/>
        <w:spacing w:after="0" w:line="262" w:lineRule="auto"/>
        <w:rPr>
          <w:sz w:val="20"/>
          <w:szCs w:val="20"/>
          <w:color w:val="auto"/>
        </w:rPr>
      </w:pPr>
      <w:r>
        <w:rPr>
          <w:rFonts w:ascii="Arial" w:cs="Arial" w:eastAsia="Arial" w:hAnsi="Arial"/>
          <w:sz w:val="17"/>
          <w:szCs w:val="17"/>
          <w:color w:val="auto"/>
        </w:rPr>
        <w:t>Our executive offices are located at 19900 MacArthur Boulevard, Suite 550, Irvine, California 92612. The Company also has research and development facilities in the Boston, Massachusetts area. Our telephone number is (949) 238-8090 and our website is eledon.com. We do not incorporate the information on or accessible through our website into this Annual Report, and you should not consider any information on, or that can be accessed through, our website as part of this Annual Report on Form 10-K.</w:t>
      </w:r>
    </w:p>
    <w:p>
      <w:pPr>
        <w:spacing w:after="0" w:line="178" w:lineRule="exact"/>
        <w:rPr>
          <w:sz w:val="20"/>
          <w:szCs w:val="20"/>
          <w:color w:val="auto"/>
        </w:rPr>
      </w:pPr>
    </w:p>
    <w:p>
      <w:pPr>
        <w:ind w:right="20" w:firstLine="546"/>
        <w:spacing w:after="0" w:line="262" w:lineRule="auto"/>
        <w:rPr>
          <w:sz w:val="20"/>
          <w:szCs w:val="20"/>
          <w:color w:val="auto"/>
        </w:rPr>
      </w:pPr>
      <w:r>
        <w:rPr>
          <w:rFonts w:ascii="Arial" w:cs="Arial" w:eastAsia="Arial" w:hAnsi="Arial"/>
          <w:sz w:val="17"/>
          <w:szCs w:val="17"/>
          <w:color w:val="auto"/>
        </w:rPr>
        <w:t>You are advised to read this Annual Report on Form 10-K in conjunction with other reports and documents that we file from time to time with the Securities and Exchange Commission (“SEC”). In particular, please read our definitive proxy statement, which will be filed with the SEC in connection with our 2021 annual meeting of stockholders, our quarterly reports on Form 10-Q and any current reports on Form 8-K that we may file from time to time. You may obtain copies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line="312" w:lineRule="auto"/>
        <w:rPr>
          <w:sz w:val="20"/>
          <w:szCs w:val="20"/>
          <w:color w:val="auto"/>
        </w:rPr>
      </w:pPr>
      <w:r>
        <w:rPr>
          <w:rFonts w:ascii="Arial" w:cs="Arial" w:eastAsia="Arial" w:hAnsi="Arial"/>
          <w:sz w:val="16"/>
          <w:szCs w:val="16"/>
          <w:color w:val="auto"/>
        </w:rPr>
        <w:t>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firstLine="546"/>
        <w:spacing w:after="0" w:line="307" w:lineRule="auto"/>
        <w:rPr>
          <w:sz w:val="20"/>
          <w:szCs w:val="20"/>
          <w:color w:val="auto"/>
        </w:rPr>
      </w:pPr>
      <w:r>
        <w:rPr>
          <w:rFonts w:ascii="Arial" w:cs="Arial" w:eastAsia="Arial" w:hAnsi="Arial"/>
          <w:sz w:val="15"/>
          <w:szCs w:val="15"/>
          <w:i w:val="1"/>
          <w:iCs w:val="1"/>
          <w:color w:val="auto"/>
        </w:rPr>
        <w:t>An investment in shares of our common stock involves a high degree of risk. 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Operations</w:t>
      </w:r>
    </w:p>
    <w:p>
      <w:pPr>
        <w:spacing w:after="0" w:line="326"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b w:val="1"/>
          <w:bCs w:val="1"/>
          <w:i w:val="1"/>
          <w:iCs w:val="1"/>
          <w:color w:val="auto"/>
        </w:rPr>
        <w:t>Our short operating history and the Anelixis acquisition may make it difficult to evaluate the success of our business to date and to assess our future viability.</w:t>
      </w:r>
    </w:p>
    <w:p>
      <w:pPr>
        <w:spacing w:after="0" w:line="61" w:lineRule="exact"/>
        <w:rPr>
          <w:sz w:val="20"/>
          <w:szCs w:val="20"/>
          <w:color w:val="auto"/>
        </w:rPr>
      </w:pPr>
    </w:p>
    <w:p>
      <w:pPr>
        <w:ind w:right="220" w:firstLine="546"/>
        <w:spacing w:after="0" w:line="275" w:lineRule="auto"/>
        <w:rPr>
          <w:sz w:val="20"/>
          <w:szCs w:val="20"/>
          <w:color w:val="auto"/>
        </w:rPr>
      </w:pPr>
      <w:r>
        <w:rPr>
          <w:rFonts w:ascii="Arial" w:cs="Arial" w:eastAsia="Arial" w:hAnsi="Arial"/>
          <w:sz w:val="16"/>
          <w:szCs w:val="16"/>
          <w:color w:val="auto"/>
        </w:rPr>
        <w:t>We are a clinical stage biopharmaceutical company. Our ongoing operations to date have been limited to organizing and staffing the Company, business planning, raising capital, acquiring and developing technology, identifying potential product candidates. We have not yet demonstrated our ability to successfully manufacture drug product in large enough quantities and with stability to support additional clinical trials, execute pivotal clinical trials, obtain marketing approvals, manufacture a commercial scale product or arrange for a third party to do so on our behalf, or conduct sales and marketing activities necessary for successful product commercialization. It can take many years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 In addition, as a result of the acquisition of Anelixis our future business, prospects, financial position and operating results could be significantly different than those in historical periods or projected by our management.</w:t>
      </w:r>
    </w:p>
    <w:p>
      <w:pPr>
        <w:spacing w:after="0" w:line="67" w:lineRule="exact"/>
        <w:rPr>
          <w:sz w:val="20"/>
          <w:szCs w:val="20"/>
          <w:color w:val="auto"/>
        </w:rPr>
      </w:pPr>
    </w:p>
    <w:p>
      <w:pPr>
        <w:ind w:right="160" w:firstLine="546"/>
        <w:spacing w:after="0" w:line="266" w:lineRule="auto"/>
        <w:rPr>
          <w:sz w:val="20"/>
          <w:szCs w:val="20"/>
          <w:color w:val="auto"/>
        </w:rPr>
      </w:pPr>
      <w:r>
        <w:rPr>
          <w:rFonts w:ascii="Arial" w:cs="Arial" w:eastAsia="Arial" w:hAnsi="Arial"/>
          <w:sz w:val="17"/>
          <w:szCs w:val="17"/>
          <w:color w:val="auto"/>
        </w:rPr>
        <w:t>In addition, as an early stage business, we may encounter unforeseen expenses, difficulties, complications, delays and other known and unknown factors. To successfully market any of our product candidates, we will need to transition from a company with a clinical development focus to a company capable of supporting commercial activities. We may not be successful in such a transition.</w:t>
      </w:r>
    </w:p>
    <w:p>
      <w:pPr>
        <w:spacing w:after="0" w:line="278" w:lineRule="exact"/>
        <w:rPr>
          <w:sz w:val="20"/>
          <w:szCs w:val="20"/>
          <w:color w:val="auto"/>
        </w:rPr>
      </w:pPr>
    </w:p>
    <w:p>
      <w:pPr>
        <w:ind w:right="140" w:firstLine="546"/>
        <w:spacing w:after="0" w:line="279"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expect that we will continue to incur losses over the next several years and may never achieve or maintain profitability.</w:t>
      </w:r>
    </w:p>
    <w:p>
      <w:pPr>
        <w:spacing w:after="0" w:line="61" w:lineRule="exact"/>
        <w:rPr>
          <w:sz w:val="20"/>
          <w:szCs w:val="20"/>
          <w:color w:val="auto"/>
        </w:rPr>
      </w:pPr>
    </w:p>
    <w:p>
      <w:pPr>
        <w:ind w:firstLine="546"/>
        <w:spacing w:after="0" w:line="293" w:lineRule="auto"/>
        <w:rPr>
          <w:sz w:val="20"/>
          <w:szCs w:val="20"/>
          <w:color w:val="auto"/>
        </w:rPr>
      </w:pPr>
      <w:r>
        <w:rPr>
          <w:rFonts w:ascii="Arial" w:cs="Arial" w:eastAsia="Arial" w:hAnsi="Arial"/>
          <w:sz w:val="15"/>
          <w:szCs w:val="15"/>
          <w:color w:val="auto"/>
        </w:rPr>
        <w:t>We have incurred significant annual net operating losses in every year since our inception. We have no products approved for commercial sale and have not generated any revenue from product sales to date, and we continue to incur significant research and development and other general and administrative expenses related to our ongoing operations. If AT-1501 or any future product candidates we develop are not successfully developed and approved, we may never generate any revenue from sales of products. The Company has experienced recurring net losses and negative cash flows from operating activities since its inception. The Company’s net loss for the year ended December 31, 2020 is $22.8 million. As of December 31, 2020, the Company had cash and cash equivalents of $114.2 million, working capital of $113.1 million and an accumulated deficit of $80.4 million. We have not generated any revenues from product sales, have not completed the development of any product candidate and may never have a product candidate approved for commercialization. We expect it will be several years, if ever, before we have a product candidate ready for commercialization. We have financed our operations to date primarily through sales of equity. We have devoted substantially all of our financial resources and efforts to research and development, including preclinical studies and our clinical trials. Our net losses may fluctuate significantly from quarter to quarter and year to year and will depend, in part, on the rate at which we incur expenses and our ability to generate revenue. Net losses and negative cash flows have had, and will continue to have, an adverse effect on our stockholders’ equity and working capital.</w:t>
      </w:r>
    </w:p>
    <w:p>
      <w:pPr>
        <w:spacing w:after="0" w:line="159" w:lineRule="exact"/>
        <w:rPr>
          <w:sz w:val="20"/>
          <w:szCs w:val="20"/>
          <w:color w:val="auto"/>
        </w:rPr>
      </w:pPr>
    </w:p>
    <w:p>
      <w:pPr>
        <w:ind w:right="160" w:firstLine="546"/>
        <w:spacing w:after="0" w:line="279" w:lineRule="auto"/>
        <w:rPr>
          <w:sz w:val="20"/>
          <w:szCs w:val="20"/>
          <w:color w:val="auto"/>
        </w:rPr>
      </w:pPr>
      <w:r>
        <w:rPr>
          <w:rFonts w:ascii="Arial" w:cs="Arial" w:eastAsia="Arial" w:hAnsi="Arial"/>
          <w:sz w:val="17"/>
          <w:szCs w:val="17"/>
          <w:color w:val="auto"/>
        </w:rPr>
        <w:t>Although we raised approximately $108.1 million in total gross offering proceeds from our September and December 2020 financings, we anticipate that we will continue to incur significant expenses as we:</w:t>
      </w:r>
    </w:p>
    <w:p>
      <w:pPr>
        <w:spacing w:after="0" w:line="61" w:lineRule="exact"/>
        <w:rPr>
          <w:sz w:val="20"/>
          <w:szCs w:val="20"/>
          <w:color w:val="auto"/>
        </w:rPr>
      </w:pPr>
    </w:p>
    <w:p>
      <w:pPr>
        <w:ind w:left="940" w:hanging="39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conduct nonclinical and clinical development of our product candidates or any future product candidate;</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seek to identify and acquire additional product candidates;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acquire or in-license other products and technologies;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collaboration arrangements with regards to product discovery or development;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 manufacturing processes;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marketing approvals for any of our product candidates that successfully complete clinical trials;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hire additional personnel;</w:t>
      </w:r>
    </w:p>
    <w:p>
      <w:pPr>
        <w:spacing w:after="0" w:line="139" w:lineRule="exact"/>
        <w:rPr>
          <w:rFonts w:ascii="Arial" w:cs="Arial" w:eastAsia="Arial" w:hAnsi="Arial"/>
          <w:sz w:val="17"/>
          <w:szCs w:val="17"/>
          <w:color w:val="auto"/>
        </w:rPr>
      </w:pPr>
    </w:p>
    <w:p>
      <w:pPr>
        <w:ind w:left="940" w:right="20" w:hanging="395"/>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 and planned future commercialization efforts; and</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operate as a public company.</w:t>
      </w:r>
    </w:p>
    <w:p>
      <w:pPr>
        <w:spacing w:after="0" w:line="243" w:lineRule="exact"/>
        <w:rPr>
          <w:sz w:val="20"/>
          <w:szCs w:val="20"/>
          <w:color w:val="auto"/>
        </w:rPr>
      </w:pPr>
    </w:p>
    <w:p>
      <w:pPr>
        <w:ind w:firstLine="546"/>
        <w:spacing w:after="0" w:line="257" w:lineRule="auto"/>
        <w:rPr>
          <w:sz w:val="20"/>
          <w:szCs w:val="20"/>
          <w:color w:val="auto"/>
        </w:rPr>
      </w:pPr>
      <w:r>
        <w:rPr>
          <w:rFonts w:ascii="Arial" w:cs="Arial" w:eastAsia="Arial" w:hAnsi="Arial"/>
          <w:sz w:val="17"/>
          <w:szCs w:val="17"/>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could impair our ability to raise capital, maintain our nonclinical and clinical development efforts, and expand our business or continue our operations and may require us to raise additional capital that may dilute the ownership interest of common stockholders. A decline in the value of the Company could also cause stockholders to lose all or part of their investment.</w:t>
      </w:r>
    </w:p>
    <w:p>
      <w:pPr>
        <w:spacing w:after="0" w:line="285" w:lineRule="exact"/>
        <w:rPr>
          <w:sz w:val="20"/>
          <w:szCs w:val="20"/>
          <w:color w:val="auto"/>
        </w:rPr>
      </w:pPr>
    </w:p>
    <w:p>
      <w:pPr>
        <w:ind w:right="60" w:firstLine="546"/>
        <w:spacing w:after="0" w:line="349" w:lineRule="auto"/>
        <w:rPr>
          <w:sz w:val="20"/>
          <w:szCs w:val="20"/>
          <w:color w:val="auto"/>
        </w:rPr>
      </w:pPr>
      <w:r>
        <w:rPr>
          <w:rFonts w:ascii="Arial" w:cs="Arial" w:eastAsia="Arial" w:hAnsi="Arial"/>
          <w:sz w:val="15"/>
          <w:szCs w:val="15"/>
          <w:b w:val="1"/>
          <w:bCs w:val="1"/>
          <w:i w:val="1"/>
          <w:iCs w:val="1"/>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14" w:lineRule="exact"/>
        <w:rPr>
          <w:sz w:val="20"/>
          <w:szCs w:val="20"/>
          <w:color w:val="auto"/>
        </w:rPr>
      </w:pPr>
    </w:p>
    <w:p>
      <w:pPr>
        <w:ind w:firstLine="546"/>
        <w:spacing w:after="0" w:line="294" w:lineRule="auto"/>
        <w:rPr>
          <w:sz w:val="20"/>
          <w:szCs w:val="20"/>
          <w:color w:val="auto"/>
        </w:rPr>
      </w:pPr>
      <w:r>
        <w:rPr>
          <w:rFonts w:ascii="Arial" w:cs="Arial" w:eastAsia="Arial" w:hAnsi="Arial"/>
          <w:sz w:val="15"/>
          <w:szCs w:val="15"/>
          <w:color w:val="auto"/>
        </w:rPr>
        <w:t>We currently do not have any products that have gained regulatory approval. We have invested substantially all our efforts and financial resources in product development, including funding our formulation and device development, manufacturing, nonclinical studies, and clinical trials. A significant portion of our financial resources were devoted to the development of products for patients with disorders of the ear, nose, and throat, particularly our surfactant-based product for the treatment of OM; however, in June 2020 topline results from our phase 2a clinical trial of OP0201 nasal aerosol in infants and children with acute otitis media did not meet the primary efficacy endpoints in the trial and our board of directors initiated a review of strategic alternatives that resulted in the acquisition of Anelixis, a privately held clinical stage biotechnology company with a single product candidate in clinical development (AT-1501) and a second candidate in pre-clinical development (AT-2001). Our ability to generate product revenues, which we do not expect will occur for several years, if ever, will depend heavily on the successful development and eventual commercialization of one or more drug candidates. As a result, our business is substantially dependent on our ability to successfully complete the development of and obtain regulatory approval for one of our or potential future additional product candidates.</w:t>
      </w:r>
    </w:p>
    <w:p>
      <w:pPr>
        <w:spacing w:after="0" w:line="161" w:lineRule="exact"/>
        <w:rPr>
          <w:sz w:val="20"/>
          <w:szCs w:val="20"/>
          <w:color w:val="auto"/>
        </w:rPr>
      </w:pPr>
    </w:p>
    <w:p>
      <w:pPr>
        <w:ind w:right="240" w:firstLine="546"/>
        <w:spacing w:after="0" w:line="312" w:lineRule="auto"/>
        <w:rPr>
          <w:sz w:val="20"/>
          <w:szCs w:val="20"/>
          <w:color w:val="auto"/>
        </w:rPr>
      </w:pPr>
      <w:r>
        <w:rPr>
          <w:rFonts w:ascii="Arial" w:cs="Arial" w:eastAsia="Arial" w:hAnsi="Arial"/>
          <w:sz w:val="16"/>
          <w:szCs w:val="16"/>
          <w:color w:val="auto"/>
        </w:rPr>
        <w:t>We have not yet demonstrated an ability to successfully overcome many of the risks and uncertainties frequently encountered by companies in new and rapidly evolving fields, particularly in the pharmaceutical area. For example, to execute our business plan, we will need to successfully:</w:t>
      </w:r>
    </w:p>
    <w:p>
      <w:pPr>
        <w:spacing w:after="0" w:line="37" w:lineRule="exact"/>
        <w:rPr>
          <w:sz w:val="20"/>
          <w:szCs w:val="20"/>
          <w:color w:val="auto"/>
        </w:rPr>
      </w:pPr>
    </w:p>
    <w:p>
      <w:pPr>
        <w:ind w:left="940" w:hanging="39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execute formulation, manufacturing, clinical, and nonclinical development activities;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manufacture drug product at commercial scale;</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and confirm commercially acceptable stability (shelf-life) of our drug products;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in-license or acquire other product candidates and advance them through clinical development;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required regulatory approvals for the development and commercialization of AT-1501 or other product candidates;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leverage, and expand our intellectual property portfolio;</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25" w:name="page26"/>
    <w:bookmarkEnd w:id="25"/>
    <w:p>
      <w:pPr>
        <w:ind w:left="940" w:hanging="39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on our own or in collaboration with strategic partners;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gain market acceptance for any approved and marketed drug products;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 and maintain adequate product pricing and reimbursement;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 and maintain any strategic relationships we elect to enter; and</w:t>
      </w:r>
    </w:p>
    <w:p>
      <w:pPr>
        <w:spacing w:after="0" w:line="139" w:lineRule="exact"/>
        <w:rPr>
          <w:rFonts w:ascii="Arial" w:cs="Arial" w:eastAsia="Arial" w:hAnsi="Arial"/>
          <w:sz w:val="17"/>
          <w:szCs w:val="17"/>
          <w:color w:val="auto"/>
        </w:rPr>
      </w:pPr>
    </w:p>
    <w:p>
      <w:pPr>
        <w:ind w:left="940" w:right="260" w:hanging="395"/>
        <w:spacing w:after="0" w:line="279"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manage our spending as costs and expenses increase due to product manufacturing, nonclinical development, clinical trials, regulatory approvals, post-marketing commitments, and commercialization.</w:t>
      </w:r>
    </w:p>
    <w:p>
      <w:pPr>
        <w:spacing w:after="0" w:line="164" w:lineRule="exact"/>
        <w:rPr>
          <w:sz w:val="20"/>
          <w:szCs w:val="20"/>
          <w:color w:val="auto"/>
        </w:rPr>
      </w:pPr>
    </w:p>
    <w:p>
      <w:pPr>
        <w:ind w:right="120" w:firstLine="546"/>
        <w:spacing w:after="0" w:line="279" w:lineRule="auto"/>
        <w:rPr>
          <w:sz w:val="20"/>
          <w:szCs w:val="20"/>
          <w:color w:val="auto"/>
        </w:rPr>
      </w:pPr>
      <w:r>
        <w:rPr>
          <w:rFonts w:ascii="Arial" w:cs="Arial" w:eastAsia="Arial" w:hAnsi="Arial"/>
          <w:sz w:val="17"/>
          <w:szCs w:val="17"/>
          <w:color w:val="auto"/>
        </w:rPr>
        <w:t>If we are unsuccessful in accomplishing these objectives, we may not be able to successfully develop and commercialize our or other product candidates, and our business will suffer.</w:t>
      </w:r>
    </w:p>
    <w:p>
      <w:pPr>
        <w:spacing w:after="0" w:line="267" w:lineRule="exact"/>
        <w:rPr>
          <w:sz w:val="20"/>
          <w:szCs w:val="20"/>
          <w:color w:val="auto"/>
        </w:rPr>
      </w:pPr>
    </w:p>
    <w:p>
      <w:pPr>
        <w:ind w:right="320" w:firstLine="546"/>
        <w:spacing w:after="0" w:line="279" w:lineRule="auto"/>
        <w:rPr>
          <w:sz w:val="20"/>
          <w:szCs w:val="20"/>
          <w:color w:val="auto"/>
        </w:rPr>
      </w:pPr>
      <w:r>
        <w:rPr>
          <w:rFonts w:ascii="Arial" w:cs="Arial" w:eastAsia="Arial" w:hAnsi="Arial"/>
          <w:sz w:val="17"/>
          <w:szCs w:val="17"/>
          <w:b w:val="1"/>
          <w:bCs w:val="1"/>
          <w:i w:val="1"/>
          <w:iCs w:val="1"/>
          <w:color w:val="auto"/>
        </w:rPr>
        <w:t>The ongoing COVID-19 pandemic and actions taken in response to it may result in additional disruptions to our business operations, which could have a material adverse effect on our business.</w:t>
      </w:r>
    </w:p>
    <w:p>
      <w:pPr>
        <w:spacing w:after="0" w:line="61" w:lineRule="exact"/>
        <w:rPr>
          <w:sz w:val="20"/>
          <w:szCs w:val="20"/>
          <w:color w:val="auto"/>
        </w:rPr>
      </w:pPr>
    </w:p>
    <w:p>
      <w:pPr>
        <w:ind w:right="20" w:firstLine="546"/>
        <w:spacing w:after="0" w:line="275" w:lineRule="auto"/>
        <w:rPr>
          <w:sz w:val="20"/>
          <w:szCs w:val="20"/>
          <w:color w:val="auto"/>
        </w:rPr>
      </w:pPr>
      <w:r>
        <w:rPr>
          <w:rFonts w:ascii="Arial" w:cs="Arial" w:eastAsia="Arial" w:hAnsi="Arial"/>
          <w:sz w:val="16"/>
          <w:szCs w:val="16"/>
          <w:color w:val="auto"/>
        </w:rPr>
        <w:t>Our business and its operations, including but not limited to ongoing or planned research and development activities, have been adversely affected by the ongoing COVID-19 pandemic, which has also caused significant disruption in the operations of third parties upon whom we rely. The COVID-19 pandemic and actions taken by governments, businesses, and individuals in response to it, including executive orders, shelter-in-place orders and work-from-home policies, have had effects that have and may continue to negatively impact productivity and disrupt our business. For example, we have experienced delays in certain preclinical studies and resulting delays in data collection and have also experienced inefficiencies in planning and executing trials due to our limited ability to conduct meetings with key third parties. In addition, in response to public health directives and orders, we have ceased all non-essential business travel and implemented work-from-home policies for all of our employees, resulting in reduced productivity. These and similar, and perhaps more severe, disruptions in our operations could negatively impact our business, operating results and financial condition.</w:t>
      </w:r>
    </w:p>
    <w:p>
      <w:pPr>
        <w:spacing w:after="0" w:line="67" w:lineRule="exact"/>
        <w:rPr>
          <w:sz w:val="20"/>
          <w:szCs w:val="20"/>
          <w:color w:val="auto"/>
        </w:rPr>
      </w:pPr>
    </w:p>
    <w:p>
      <w:pPr>
        <w:ind w:right="80" w:firstLine="546"/>
        <w:spacing w:after="0" w:line="262" w:lineRule="auto"/>
        <w:rPr>
          <w:sz w:val="20"/>
          <w:szCs w:val="20"/>
          <w:color w:val="auto"/>
        </w:rPr>
      </w:pPr>
      <w:r>
        <w:rPr>
          <w:rFonts w:ascii="Arial" w:cs="Arial" w:eastAsia="Arial" w:hAnsi="Arial"/>
          <w:sz w:val="17"/>
          <w:szCs w:val="17"/>
          <w:color w:val="auto"/>
        </w:rPr>
        <w:t>Quarantines, shelter-in-place, executive and similar government orders, or the perception that such orders, shutdowns or other restrictions on the conduct of business operations could occur, related to COVID-19 or other infectious diseases, could also impact personnel at the third parties on whom we are highly dependent for clinical trials as well as formulation and device development in the United States and other countries, or the timing, availability or cost of materials we use or require to conduct our business.</w:t>
      </w:r>
    </w:p>
    <w:p>
      <w:pPr>
        <w:spacing w:after="0" w:line="75" w:lineRule="exact"/>
        <w:rPr>
          <w:sz w:val="20"/>
          <w:szCs w:val="20"/>
          <w:color w:val="auto"/>
        </w:rPr>
      </w:pPr>
    </w:p>
    <w:p>
      <w:pPr>
        <w:ind w:right="260" w:firstLine="546"/>
        <w:spacing w:after="0" w:line="279" w:lineRule="auto"/>
        <w:rPr>
          <w:sz w:val="20"/>
          <w:szCs w:val="20"/>
          <w:color w:val="auto"/>
        </w:rPr>
      </w:pPr>
      <w:r>
        <w:rPr>
          <w:rFonts w:ascii="Arial" w:cs="Arial" w:eastAsia="Arial" w:hAnsi="Arial"/>
          <w:sz w:val="17"/>
          <w:szCs w:val="17"/>
          <w:color w:val="auto"/>
        </w:rPr>
        <w:t>If COVID-19 continues to spread in the United States, Canada and elsewhere, we may experience additional disruptions that could severely impact our business and development activities, including, but not limited to:</w:t>
      </w:r>
    </w:p>
    <w:p>
      <w:pPr>
        <w:spacing w:after="0" w:line="61" w:lineRule="exact"/>
        <w:rPr>
          <w:sz w:val="20"/>
          <w:szCs w:val="20"/>
          <w:color w:val="auto"/>
        </w:rPr>
      </w:pPr>
    </w:p>
    <w:p>
      <w:pPr>
        <w:ind w:left="940" w:right="40" w:hanging="395"/>
        <w:spacing w:after="0" w:line="279"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necessary interactions with local regulators, ethics committees and other important agencies and contractors due to limitations in employee resources or forced furlough of government employees;</w:t>
      </w:r>
    </w:p>
    <w:p>
      <w:pPr>
        <w:spacing w:after="0" w:line="61" w:lineRule="exact"/>
        <w:rPr>
          <w:rFonts w:ascii="Arial" w:cs="Arial" w:eastAsia="Arial" w:hAnsi="Arial"/>
          <w:sz w:val="17"/>
          <w:szCs w:val="17"/>
          <w:color w:val="auto"/>
        </w:rPr>
      </w:pPr>
    </w:p>
    <w:p>
      <w:pPr>
        <w:ind w:left="1000" w:hanging="404"/>
        <w:spacing w:after="0"/>
        <w:tabs>
          <w:tab w:leader="none" w:pos="10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delays in manufacturing of our drug candidates due to increased competition for manufacturing capacity as a result of the pandemic;</w:t>
      </w:r>
    </w:p>
    <w:p>
      <w:pPr>
        <w:spacing w:after="0" w:line="139" w:lineRule="exact"/>
        <w:rPr>
          <w:rFonts w:ascii="Arial" w:cs="Arial" w:eastAsia="Arial" w:hAnsi="Arial"/>
          <w:sz w:val="17"/>
          <w:szCs w:val="17"/>
          <w:color w:val="auto"/>
        </w:rPr>
      </w:pPr>
    </w:p>
    <w:p>
      <w:pPr>
        <w:ind w:left="940" w:right="260" w:hanging="395"/>
        <w:spacing w:after="0" w:line="279"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our development activities, including because of sickness of employees or their families or the desire of employees to avoid contact with large groups of people;</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refusal of the FDA to accept data from clinical trials in affected geographies;</w:t>
      </w:r>
    </w:p>
    <w:p>
      <w:pPr>
        <w:spacing w:after="0" w:line="139" w:lineRule="exact"/>
        <w:rPr>
          <w:rFonts w:ascii="Arial" w:cs="Arial" w:eastAsia="Arial" w:hAnsi="Arial"/>
          <w:sz w:val="17"/>
          <w:szCs w:val="17"/>
          <w:color w:val="auto"/>
        </w:rPr>
      </w:pPr>
    </w:p>
    <w:p>
      <w:pPr>
        <w:ind w:left="940" w:hanging="395"/>
        <w:spacing w:after="0" w:line="279"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procuring drug substance and/or in manufacturing drug product due to limitations in employee resources or forced furloughs at our contract manufacturing organizations;</w:t>
      </w:r>
    </w:p>
    <w:p>
      <w:pPr>
        <w:spacing w:after="0" w:line="61" w:lineRule="exact"/>
        <w:rPr>
          <w:rFonts w:ascii="Arial" w:cs="Arial" w:eastAsia="Arial" w:hAnsi="Arial"/>
          <w:sz w:val="17"/>
          <w:szCs w:val="17"/>
          <w:color w:val="auto"/>
        </w:rPr>
      </w:pPr>
    </w:p>
    <w:p>
      <w:pPr>
        <w:ind w:left="940" w:right="60" w:hanging="395"/>
        <w:spacing w:after="0" w:line="279"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initiation of future clinical trials, including delays in receiving authorization from local regulatory authorities to initiate such clinical trials; and</w:t>
      </w:r>
    </w:p>
    <w:p>
      <w:pPr>
        <w:spacing w:after="0" w:line="61" w:lineRule="exact"/>
        <w:rPr>
          <w:rFonts w:ascii="Arial" w:cs="Arial" w:eastAsia="Arial" w:hAnsi="Arial"/>
          <w:sz w:val="17"/>
          <w:szCs w:val="17"/>
          <w:color w:val="auto"/>
        </w:rPr>
      </w:pPr>
    </w:p>
    <w:p>
      <w:pPr>
        <w:ind w:left="940" w:right="180" w:hanging="395"/>
        <w:spacing w:after="0" w:line="279"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enrollment and trial execution, for example, because clinical trial sites may be unable to operate normally, or patients may elect to forego visits to medical facilities or undertake voluntary medical procedures.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26" w:name="page27"/>
    <w:bookmarkEnd w:id="26"/>
    <w:p>
      <w:pPr>
        <w:ind w:right="360" w:firstLine="546"/>
        <w:spacing w:after="0" w:line="290" w:lineRule="auto"/>
        <w:rPr>
          <w:sz w:val="20"/>
          <w:szCs w:val="20"/>
          <w:color w:val="auto"/>
        </w:rPr>
      </w:pPr>
      <w:r>
        <w:rPr>
          <w:rFonts w:ascii="Arial" w:cs="Arial" w:eastAsia="Arial" w:hAnsi="Arial"/>
          <w:sz w:val="16"/>
          <w:szCs w:val="16"/>
          <w:b w:val="1"/>
          <w:bCs w:val="1"/>
          <w:i w:val="1"/>
          <w:iCs w:val="1"/>
          <w:color w:val="auto"/>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spacing w:after="0" w:line="158" w:lineRule="exact"/>
        <w:rPr>
          <w:sz w:val="20"/>
          <w:szCs w:val="20"/>
          <w:color w:val="auto"/>
        </w:rPr>
      </w:pPr>
    </w:p>
    <w:p>
      <w:pPr>
        <w:ind w:right="40" w:firstLine="546"/>
        <w:spacing w:after="0" w:line="293" w:lineRule="auto"/>
        <w:rPr>
          <w:sz w:val="20"/>
          <w:szCs w:val="20"/>
          <w:color w:val="auto"/>
        </w:rPr>
      </w:pPr>
      <w:r>
        <w:rPr>
          <w:rFonts w:ascii="Arial" w:cs="Arial" w:eastAsia="Arial" w:hAnsi="Arial"/>
          <w:sz w:val="15"/>
          <w:szCs w:val="15"/>
          <w:color w:val="auto"/>
        </w:rPr>
        <w:t>Given the early stage of development for our product candidates, the risk of failure is high. Before obtaining marketing approval from regulatory authorities for the sale of any product candidate, we must conduct nonclinical trials, and then conduct extensive clinical trials to demonstrate the safety and efficacy of our product candidates in humans. Formulation and device development, nonclinical and clinical testing are all expensive activities, difficult to design and implement, and can take years to complete. Failure can occur at any time during the development program, including during the clinical trial process. Further, the results of nonclinical studies and early clinical trials of our product candidates, as well as earlier generation formulations may not be predictive of the results of later-stage clinical trials. Interim results of a clinical trial do not necessarily predict final results. Moreover, nonclinical and clinical data are often susceptible to varying interpretations and analyses, and many companies that have believed their product candidates performed satisfactorily in nonclinical and clinical trials have nonetheless failed to obtain marketing approval of their products. There is a risk that additional nonclinical and/or clinical safety studies will be required by the FDA or similar regulatory authorities outside the United States. and/or that subsequent studies will not match results seen in prior studies. It is impossible to predict when or if any of our product candidates will prove effective, safe and well-tolerated in humans or will receive regulatory approval.</w:t>
      </w:r>
    </w:p>
    <w:p>
      <w:pPr>
        <w:spacing w:after="0" w:line="163" w:lineRule="exact"/>
        <w:rPr>
          <w:sz w:val="20"/>
          <w:szCs w:val="20"/>
          <w:color w:val="auto"/>
        </w:rPr>
      </w:pPr>
    </w:p>
    <w:p>
      <w:pPr>
        <w:ind w:right="60" w:firstLine="546"/>
        <w:spacing w:after="0" w:line="277" w:lineRule="auto"/>
        <w:rPr>
          <w:sz w:val="20"/>
          <w:szCs w:val="20"/>
          <w:color w:val="auto"/>
        </w:rPr>
      </w:pPr>
      <w:r>
        <w:rPr>
          <w:rFonts w:ascii="Arial" w:cs="Arial" w:eastAsia="Arial" w:hAnsi="Arial"/>
          <w:sz w:val="16"/>
          <w:szCs w:val="16"/>
          <w:color w:val="auto"/>
        </w:rPr>
        <w:t>We may experience delays in our clinical trials, and we do not know whether planned clinical trials will begin or enroll subjects on time, need to be redesigned or be completed on schedule, if at all. There can be no assurance that the FDA or equivalent foreign regulatory bodies will approve investigational new drug applications and allow us to start clinical trials for any of our product candidates in the future, including for islet cell transplant. Once a clinical trial has commenced, there is also no assurance that the FDA or equivalent foreign regulatory body will not put any of our product candidates on clinical hold. We may experience numerous unforeseen events during, or as a result of, clinical trials that could delay or prevent our ability to receive marketing approval or commercialize our product candidates. Clinical trials may be delayed, suspended or prematurely terminated for a variety of reasons, such as:</w:t>
      </w:r>
    </w:p>
    <w:p>
      <w:pPr>
        <w:spacing w:after="0" w:line="67" w:lineRule="exact"/>
        <w:rPr>
          <w:sz w:val="20"/>
          <w:szCs w:val="20"/>
          <w:color w:val="auto"/>
        </w:rPr>
      </w:pPr>
    </w:p>
    <w:p>
      <w:pPr>
        <w:ind w:left="940" w:hanging="395"/>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 or failure in reaching agreement with the FDA or a comparable foreign regulatory authority on a trial design that we want to execute;</w:t>
      </w:r>
    </w:p>
    <w:p>
      <w:pPr>
        <w:spacing w:after="0" w:line="151" w:lineRule="exact"/>
        <w:rPr>
          <w:rFonts w:ascii="Arial" w:cs="Arial" w:eastAsia="Arial" w:hAnsi="Arial"/>
          <w:sz w:val="16"/>
          <w:szCs w:val="16"/>
          <w:color w:val="auto"/>
        </w:rPr>
      </w:pPr>
    </w:p>
    <w:p>
      <w:pPr>
        <w:ind w:left="940" w:right="60" w:hanging="395"/>
        <w:spacing w:after="0" w:line="279" w:lineRule="auto"/>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 or failure in obtaining authorization to commence a trial or inability to comply with conditions imposed by a regulatory authority regarding the scope or design of a clinical trial;</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completing formulation development and manufacturing as a prerequisite to commencing clinical work;</w:t>
      </w:r>
    </w:p>
    <w:p>
      <w:pPr>
        <w:spacing w:after="0" w:line="139" w:lineRule="exact"/>
        <w:rPr>
          <w:rFonts w:ascii="Arial" w:cs="Arial" w:eastAsia="Arial" w:hAnsi="Arial"/>
          <w:sz w:val="17"/>
          <w:szCs w:val="17"/>
          <w:color w:val="auto"/>
        </w:rPr>
      </w:pPr>
    </w:p>
    <w:p>
      <w:pPr>
        <w:ind w:left="940" w:right="260" w:hanging="395"/>
        <w:spacing w:after="0" w:line="279" w:lineRule="auto"/>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inability, delay, or failure in identifying and maintaining a sufficient number of trial sites, many of which may already be engaged in other clinical programs;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 or failure in recruiting and enrolling suitable subjects to participate in a trial;</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 or failure in having subjects complete a trial or return for post-treatment follow-up;</w:t>
      </w:r>
    </w:p>
    <w:p>
      <w:pPr>
        <w:spacing w:after="0" w:line="139" w:lineRule="exact"/>
        <w:rPr>
          <w:rFonts w:ascii="Arial" w:cs="Arial" w:eastAsia="Arial" w:hAnsi="Arial"/>
          <w:sz w:val="17"/>
          <w:szCs w:val="17"/>
          <w:color w:val="auto"/>
        </w:rPr>
      </w:pPr>
    </w:p>
    <w:p>
      <w:pPr>
        <w:ind w:left="940" w:right="180" w:hanging="395"/>
        <w:spacing w:after="0" w:line="279" w:lineRule="auto"/>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sites and investigators deviating from trial protocol, failing to conduct the trial in accordance with regulatory requirements, or dropping out of a trial;</w:t>
      </w:r>
    </w:p>
    <w:p>
      <w:pPr>
        <w:spacing w:after="0" w:line="61" w:lineRule="exact"/>
        <w:rPr>
          <w:rFonts w:ascii="Arial" w:cs="Arial" w:eastAsia="Arial" w:hAnsi="Arial"/>
          <w:sz w:val="17"/>
          <w:szCs w:val="17"/>
          <w:color w:val="auto"/>
        </w:rPr>
      </w:pPr>
    </w:p>
    <w:p>
      <w:pPr>
        <w:ind w:left="940" w:right="60" w:hanging="395"/>
        <w:spacing w:after="0" w:line="349" w:lineRule="auto"/>
        <w:tabs>
          <w:tab w:leader="none" w:pos="9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lack of adequate funding to continue the clinical trial, including the incurrence of unforeseen costs due to enrollment delays, requirements to conduct additional clinical trials and increased expenses associated with the services of our contract research organizations (“CROs”) and other third parties;</w:t>
      </w:r>
    </w:p>
    <w:p>
      <w:pPr>
        <w:spacing w:after="0" w:line="14" w:lineRule="exact"/>
        <w:rPr>
          <w:rFonts w:ascii="Arial" w:cs="Arial" w:eastAsia="Arial" w:hAnsi="Arial"/>
          <w:sz w:val="15"/>
          <w:szCs w:val="15"/>
          <w:color w:val="auto"/>
        </w:rPr>
      </w:pPr>
    </w:p>
    <w:p>
      <w:pPr>
        <w:ind w:left="940" w:right="220" w:hanging="395"/>
        <w:spacing w:after="0" w:line="279" w:lineRule="auto"/>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clinical trials or abandon product development programs;</w:t>
      </w:r>
    </w:p>
    <w:p>
      <w:pPr>
        <w:spacing w:after="0" w:line="61" w:lineRule="exact"/>
        <w:rPr>
          <w:rFonts w:ascii="Arial" w:cs="Arial" w:eastAsia="Arial" w:hAnsi="Arial"/>
          <w:sz w:val="17"/>
          <w:szCs w:val="17"/>
          <w:color w:val="auto"/>
        </w:rPr>
      </w:pPr>
    </w:p>
    <w:p>
      <w:pPr>
        <w:ind w:left="940" w:hanging="395"/>
        <w:spacing w:after="0" w:line="279" w:lineRule="auto"/>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experience delays or difficulties in the enrollment of patients that our product candidates are designed to target;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940" w:right="60" w:hanging="395"/>
        <w:spacing w:after="0" w:line="279"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have difficulty partnering with experienced CROs and study sites that can identify patients that our product candidates are designed to target and run our clinical trials effectively;</w:t>
      </w:r>
    </w:p>
    <w:p>
      <w:pPr>
        <w:spacing w:after="0" w:line="61" w:lineRule="exact"/>
        <w:rPr>
          <w:rFonts w:ascii="Arial" w:cs="Arial" w:eastAsia="Arial" w:hAnsi="Arial"/>
          <w:sz w:val="17"/>
          <w:szCs w:val="17"/>
          <w:color w:val="auto"/>
        </w:rPr>
      </w:pPr>
    </w:p>
    <w:p>
      <w:pPr>
        <w:ind w:left="940" w:right="80" w:hanging="395"/>
        <w:spacing w:after="0" w:line="279"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w:t>
      </w:r>
    </w:p>
    <w:p>
      <w:pPr>
        <w:spacing w:after="0" w:line="139" w:lineRule="exact"/>
        <w:rPr>
          <w:rFonts w:ascii="Arial" w:cs="Arial" w:eastAsia="Arial" w:hAnsi="Arial"/>
          <w:sz w:val="17"/>
          <w:szCs w:val="17"/>
          <w:color w:val="auto"/>
        </w:rPr>
      </w:pPr>
    </w:p>
    <w:p>
      <w:pPr>
        <w:ind w:left="940" w:right="80" w:hanging="395"/>
        <w:spacing w:after="0" w:line="279"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or</w:t>
      </w:r>
    </w:p>
    <w:p>
      <w:pPr>
        <w:spacing w:after="0" w:line="61" w:lineRule="exact"/>
        <w:rPr>
          <w:rFonts w:ascii="Arial" w:cs="Arial" w:eastAsia="Arial" w:hAnsi="Arial"/>
          <w:sz w:val="17"/>
          <w:szCs w:val="17"/>
          <w:color w:val="auto"/>
        </w:rPr>
      </w:pPr>
    </w:p>
    <w:p>
      <w:pPr>
        <w:ind w:left="940" w:hanging="395"/>
        <w:spacing w:after="0" w:line="262"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may be changes in governmental regulations or administrative actions. In addition, our development and commercialization activities could be harmed or delayed by a shutdown of the U.S. government, including the FDA. For example, a prolonged shutdown may significantly delay the FDA's ability to timely review and process any submissions we may file or cause other regulatory delays, which could materially and adversely affect our business.</w:t>
      </w:r>
    </w:p>
    <w:p>
      <w:pPr>
        <w:spacing w:after="0" w:line="178" w:lineRule="exact"/>
        <w:rPr>
          <w:sz w:val="20"/>
          <w:szCs w:val="20"/>
          <w:color w:val="auto"/>
        </w:rPr>
      </w:pPr>
    </w:p>
    <w:p>
      <w:pPr>
        <w:ind w:right="240" w:firstLine="546"/>
        <w:spacing w:after="0" w:line="266"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2" w:lineRule="exact"/>
        <w:rPr>
          <w:sz w:val="20"/>
          <w:szCs w:val="20"/>
          <w:color w:val="auto"/>
        </w:rPr>
      </w:pPr>
    </w:p>
    <w:p>
      <w:pPr>
        <w:ind w:left="940" w:hanging="39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39" w:lineRule="exact"/>
        <w:rPr>
          <w:rFonts w:ascii="Arial" w:cs="Arial" w:eastAsia="Arial" w:hAnsi="Arial"/>
          <w:sz w:val="17"/>
          <w:szCs w:val="17"/>
          <w:color w:val="auto"/>
        </w:rPr>
      </w:pPr>
    </w:p>
    <w:p>
      <w:pPr>
        <w:ind w:left="940" w:right="360" w:hanging="395"/>
        <w:spacing w:after="0" w:line="279" w:lineRule="auto"/>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 subject to additional post-marketing restrictions and/or testing requirements; or</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43" w:lineRule="exact"/>
        <w:rPr>
          <w:sz w:val="20"/>
          <w:szCs w:val="20"/>
          <w:color w:val="auto"/>
        </w:rPr>
      </w:pPr>
    </w:p>
    <w:p>
      <w:pPr>
        <w:ind w:right="60" w:firstLine="546"/>
        <w:spacing w:after="0" w:line="307" w:lineRule="auto"/>
        <w:rPr>
          <w:sz w:val="20"/>
          <w:szCs w:val="20"/>
          <w:color w:val="auto"/>
        </w:rPr>
      </w:pPr>
      <w:r>
        <w:rPr>
          <w:rFonts w:ascii="Arial" w:cs="Arial" w:eastAsia="Arial" w:hAnsi="Arial"/>
          <w:sz w:val="15"/>
          <w:szCs w:val="15"/>
          <w:color w:val="auto"/>
        </w:rPr>
        <w:t>Our product development costs will also increase if we experience delays in testing or marketing approvals. We do not know whether any of our nonclinical studies or clinical trials will need to be restructured or will be completed on schedule, or at all. Significant nonclinical or clinical trial delays also could shorten any periods during which we may have the exclusive right to commercialize our product candidates or may allow our competitors to bring products to market before we do and impair our ability to successfully commercialize our product candidates and may harm our business and results of operations.</w:t>
      </w:r>
    </w:p>
    <w:p>
      <w:pPr>
        <w:spacing w:after="0" w:line="252" w:lineRule="exact"/>
        <w:rPr>
          <w:sz w:val="20"/>
          <w:szCs w:val="20"/>
          <w:color w:val="auto"/>
        </w:rPr>
      </w:pPr>
    </w:p>
    <w:p>
      <w:pPr>
        <w:ind w:right="560" w:firstLine="546"/>
        <w:spacing w:after="0" w:line="279"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 and expenses for the development of our product candidates could increase.</w:t>
      </w:r>
    </w:p>
    <w:p>
      <w:pPr>
        <w:spacing w:after="0" w:line="61" w:lineRule="exact"/>
        <w:rPr>
          <w:sz w:val="20"/>
          <w:szCs w:val="20"/>
          <w:color w:val="auto"/>
        </w:rPr>
      </w:pPr>
    </w:p>
    <w:p>
      <w:pPr>
        <w:ind w:right="140" w:firstLine="546"/>
        <w:spacing w:after="0" w:line="258"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to demonstrate safety and efficacy. We do not know whether the ongoing or planned clinical trials will enroll subjects in a timely fashion, require redesign of essential trial elements or be completed on its projected schedule. In addition, competitors may have ongoing clinical trials for product candidates that treat related or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Patient enrollment is affected by other factors including:</w:t>
      </w:r>
    </w:p>
    <w:p>
      <w:pPr>
        <w:spacing w:after="0" w:line="114" w:lineRule="exact"/>
        <w:rPr>
          <w:sz w:val="20"/>
          <w:szCs w:val="20"/>
          <w:color w:val="auto"/>
        </w:rPr>
      </w:pPr>
    </w:p>
    <w:p>
      <w:pPr>
        <w:ind w:left="940" w:hanging="39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eligibility criteria for the study in question;</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39" w:lineRule="exact"/>
        <w:rPr>
          <w:rFonts w:ascii="Arial" w:cs="Arial" w:eastAsia="Arial" w:hAnsi="Arial"/>
          <w:sz w:val="17"/>
          <w:szCs w:val="17"/>
          <w:color w:val="auto"/>
        </w:rPr>
      </w:pPr>
    </w:p>
    <w:p>
      <w:pPr>
        <w:ind w:left="940" w:right="560" w:hanging="395"/>
        <w:spacing w:after="0" w:line="279" w:lineRule="auto"/>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to identify and maintain a sufficient number of trial sites, many of which may already be engaged in other clinical trial programs, including some that may be for the same disease indication;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left="940" w:hanging="395"/>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ambiguous or negative interim results of our clinical trials, or results that are inconsistent with earlier results;</w:t>
      </w:r>
    </w:p>
    <w:p>
      <w:pPr>
        <w:spacing w:after="0" w:line="139" w:lineRule="exact"/>
        <w:rPr>
          <w:rFonts w:ascii="Arial" w:cs="Arial" w:eastAsia="Arial" w:hAnsi="Arial"/>
          <w:sz w:val="17"/>
          <w:szCs w:val="17"/>
          <w:color w:val="auto"/>
        </w:rPr>
      </w:pPr>
    </w:p>
    <w:p>
      <w:pPr>
        <w:ind w:left="940" w:right="540" w:hanging="395"/>
        <w:spacing w:after="0" w:line="279"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feedback from regulatory authorities, IRBs, ethics committees (“ECs”), or data safety monitoring boards, or results from earlier stage or concurrent nonclinical and clinical trials, that might require modifications to the protocol;</w:t>
      </w:r>
    </w:p>
    <w:p>
      <w:pPr>
        <w:spacing w:after="0" w:line="61" w:lineRule="exact"/>
        <w:rPr>
          <w:rFonts w:ascii="Arial" w:cs="Arial" w:eastAsia="Arial" w:hAnsi="Arial"/>
          <w:sz w:val="17"/>
          <w:szCs w:val="17"/>
          <w:color w:val="auto"/>
        </w:rPr>
      </w:pPr>
    </w:p>
    <w:p>
      <w:pPr>
        <w:ind w:left="940" w:right="440" w:hanging="395"/>
        <w:spacing w:after="0" w:line="279"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decisions by regulatory authorities, IRBs, ECs, or the Company, or recommendations by data safety monitoring boards, to suspend or terminate clinical trials at any time for safety issues or for any other reason; and</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unacceptable risk-benefit profile or unforeseen safety issues or adverse effects.</w:t>
      </w:r>
    </w:p>
    <w:p>
      <w:pPr>
        <w:spacing w:after="0" w:line="243"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which would cause the value of the Company to decline and limit our ability to obtain additional financing.</w:t>
      </w:r>
    </w:p>
    <w:p>
      <w:pPr>
        <w:spacing w:after="0" w:line="267"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1" w:lineRule="exact"/>
        <w:rPr>
          <w:sz w:val="20"/>
          <w:szCs w:val="20"/>
          <w:color w:val="auto"/>
        </w:rPr>
      </w:pPr>
    </w:p>
    <w:p>
      <w:pPr>
        <w:ind w:right="60" w:firstLine="546"/>
        <w:spacing w:after="0" w:line="262" w:lineRule="auto"/>
        <w:rPr>
          <w:sz w:val="20"/>
          <w:szCs w:val="20"/>
          <w:color w:val="auto"/>
        </w:rPr>
      </w:pPr>
      <w:r>
        <w:rPr>
          <w:rFonts w:ascii="Arial" w:cs="Arial" w:eastAsia="Arial" w:hAnsi="Arial"/>
          <w:sz w:val="17"/>
          <w:szCs w:val="17"/>
          <w:color w:val="auto"/>
        </w:rPr>
        <w:t>If our product candidates are associated with undesirable effects in nonclinical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 Any occurrences of clinically significant adverse events with our product candidates may harm our business, financial condition and prospects significantly.</w:t>
      </w:r>
    </w:p>
    <w:p>
      <w:pPr>
        <w:spacing w:after="0" w:line="178" w:lineRule="exact"/>
        <w:rPr>
          <w:sz w:val="20"/>
          <w:szCs w:val="20"/>
          <w:color w:val="auto"/>
        </w:rPr>
      </w:pPr>
    </w:p>
    <w:p>
      <w:pPr>
        <w:ind w:right="220" w:firstLine="546"/>
        <w:spacing w:after="0" w:line="210" w:lineRule="exact"/>
        <w:rPr>
          <w:sz w:val="20"/>
          <w:szCs w:val="20"/>
          <w:color w:val="auto"/>
        </w:rPr>
      </w:pPr>
      <w:r>
        <w:rPr>
          <w:rFonts w:ascii="Arial" w:cs="Arial" w:eastAsia="Arial" w:hAnsi="Arial"/>
          <w:sz w:val="17"/>
          <w:szCs w:val="17"/>
          <w:color w:val="auto"/>
        </w:rPr>
        <w:t>AT-1501 is an early</w:t>
      </w:r>
      <w:r>
        <w:rPr>
          <w:rFonts w:ascii="MS PGothic" w:cs="MS PGothic" w:eastAsia="MS PGothic" w:hAnsi="MS PGothic"/>
          <w:sz w:val="17"/>
          <w:szCs w:val="17"/>
          <w:color w:val="auto"/>
        </w:rPr>
        <w:t>‑</w:t>
      </w:r>
      <w:r>
        <w:rPr>
          <w:rFonts w:ascii="Arial" w:cs="Arial" w:eastAsia="Arial" w:hAnsi="Arial"/>
          <w:sz w:val="17"/>
          <w:szCs w:val="17"/>
          <w:color w:val="auto"/>
        </w:rPr>
        <w:t>product candidate, and the side effect profile in humans has not been fully established. Currently unknown, drug-related side effects may be identified through ongoing and future clinical trials and, as such, these possible drug-related side effects could affect patient recruitment, the ability of enrolled subjects to complete the trial, or result in potential product liability claims.</w:t>
      </w:r>
    </w:p>
    <w:p>
      <w:pPr>
        <w:spacing w:after="0" w:line="300" w:lineRule="exact"/>
        <w:rPr>
          <w:sz w:val="20"/>
          <w:szCs w:val="20"/>
          <w:color w:val="auto"/>
        </w:rPr>
      </w:pPr>
    </w:p>
    <w:p>
      <w:pPr>
        <w:ind w:right="220" w:firstLine="546"/>
        <w:spacing w:after="0" w:line="266" w:lineRule="auto"/>
        <w:rPr>
          <w:sz w:val="20"/>
          <w:szCs w:val="20"/>
          <w:color w:val="auto"/>
        </w:rPr>
      </w:pPr>
      <w:r>
        <w:rPr>
          <w:rFonts w:ascii="Arial" w:cs="Arial" w:eastAsia="Arial" w:hAnsi="Arial"/>
          <w:sz w:val="17"/>
          <w:szCs w:val="17"/>
          <w:b w:val="1"/>
          <w:bCs w:val="1"/>
          <w:i w:val="1"/>
          <w:iCs w:val="1"/>
          <w:color w:val="auto"/>
        </w:rPr>
        <w:t>Although we have raised significant capital, we will require additional funding to be able to complete the development of our lead drug candidate. If we are unable to raise capital when needed, we may be forced to significantly alter our business strategy, substantially curtail our current operations, or liquidate and cease operations altogether.</w:t>
      </w:r>
    </w:p>
    <w:p>
      <w:pPr>
        <w:spacing w:after="0" w:line="72" w:lineRule="exact"/>
        <w:rPr>
          <w:sz w:val="20"/>
          <w:szCs w:val="20"/>
          <w:color w:val="auto"/>
        </w:rPr>
      </w:pPr>
    </w:p>
    <w:p>
      <w:pPr>
        <w:ind w:right="120" w:firstLine="546"/>
        <w:spacing w:after="0" w:line="307" w:lineRule="auto"/>
        <w:rPr>
          <w:sz w:val="20"/>
          <w:szCs w:val="20"/>
          <w:color w:val="auto"/>
        </w:rPr>
      </w:pPr>
      <w:r>
        <w:rPr>
          <w:rFonts w:ascii="Arial" w:cs="Arial" w:eastAsia="Arial" w:hAnsi="Arial"/>
          <w:sz w:val="15"/>
          <w:szCs w:val="15"/>
          <w:color w:val="auto"/>
        </w:rPr>
        <w:t>We expect our expenses to increase in parallel with our ongoing activities, particularly as we incur expenses relating to the exploration of strategic options intended to maximize shareholder value, seek to identify new clinical candidates and potentially seek to partner, out-license or otherwise monetize our drug candidates. If we are unable to raise capital when needed or on attractive terms, we may be forced to significantly alter our business strategy, substantially curtail our current operations, or liquidate and cease operations altogether. Our funding needs may fluctuate significantly based on a number of factors, such as:</w:t>
      </w:r>
    </w:p>
    <w:p>
      <w:pPr>
        <w:spacing w:after="0" w:line="46" w:lineRule="exact"/>
        <w:rPr>
          <w:sz w:val="20"/>
          <w:szCs w:val="20"/>
          <w:color w:val="auto"/>
        </w:rPr>
      </w:pPr>
    </w:p>
    <w:p>
      <w:pPr>
        <w:ind w:left="940" w:hanging="395"/>
        <w:spacing w:after="0" w:line="279"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scope, progress, results and costs of formulation development and manufacture of drug product to support nonclinical and clinical development of our product candidates;</w:t>
      </w:r>
    </w:p>
    <w:p>
      <w:pPr>
        <w:spacing w:after="0" w:line="61" w:lineRule="exact"/>
        <w:rPr>
          <w:rFonts w:ascii="Arial" w:cs="Arial" w:eastAsia="Arial" w:hAnsi="Arial"/>
          <w:sz w:val="17"/>
          <w:szCs w:val="17"/>
          <w:color w:val="auto"/>
        </w:rPr>
      </w:pPr>
    </w:p>
    <w:p>
      <w:pPr>
        <w:ind w:left="940" w:right="620" w:hanging="395"/>
        <w:spacing w:after="0" w:line="279"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extent to which we enter into additional collaboration arrangements regarding product discovery or development, or acquire or in-license products or technologies;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establish additional collaborations with favorable terms, if at all;</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39" w:lineRule="exact"/>
        <w:rPr>
          <w:rFonts w:ascii="Arial" w:cs="Arial" w:eastAsia="Arial" w:hAnsi="Arial"/>
          <w:sz w:val="17"/>
          <w:szCs w:val="17"/>
          <w:color w:val="auto"/>
        </w:rPr>
      </w:pPr>
    </w:p>
    <w:p>
      <w:pPr>
        <w:ind w:left="940" w:right="20" w:hanging="395"/>
        <w:spacing w:after="0" w:line="279"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future commercialization activities, including product sales, marketing, manufacturing and distribution, for any of our product candidates for which we receive marketing approval;</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 and</w:t>
      </w:r>
    </w:p>
    <w:p>
      <w:pPr>
        <w:spacing w:after="0" w:line="151" w:lineRule="exact"/>
        <w:rPr>
          <w:rFonts w:ascii="Arial" w:cs="Arial" w:eastAsia="Arial" w:hAnsi="Arial"/>
          <w:sz w:val="16"/>
          <w:szCs w:val="16"/>
          <w:color w:val="auto"/>
        </w:rPr>
      </w:pPr>
    </w:p>
    <w:p>
      <w:pPr>
        <w:ind w:left="940" w:right="20" w:hanging="395"/>
        <w:spacing w:after="0" w:line="279"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64"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Identifying potential product candidates and conducting formulation development, nonclinical testing and clinical trials is a time-consuming, expensive and uncertain process that takes years to complete, and we may never generate the necessary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ind w:right="160"/>
        <w:spacing w:after="0" w:line="279" w:lineRule="auto"/>
        <w:rPr>
          <w:sz w:val="20"/>
          <w:szCs w:val="20"/>
          <w:color w:val="auto"/>
        </w:rPr>
      </w:pPr>
      <w:r>
        <w:rPr>
          <w:rFonts w:ascii="Arial" w:cs="Arial" w:eastAsia="Arial" w:hAnsi="Arial"/>
          <w:sz w:val="16"/>
          <w:szCs w:val="16"/>
          <w:color w:val="auto"/>
        </w:rPr>
        <w:t>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Even if we generate positive clinical data, additional financing may not be available to us on acceptable terms, or at all. If we are unable to raise sufficient capital to fund our planned operations, we may be forced to significantly alter our business strategy, substantially curtail our current operations, or liquidate and cease operations altogether.</w:t>
      </w:r>
    </w:p>
    <w:p>
      <w:pPr>
        <w:spacing w:after="0" w:line="27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future success depends on our ability to retain executives and key employees and to attract, retain and motivate qualified personnel in the future.</w:t>
      </w:r>
    </w:p>
    <w:p>
      <w:pPr>
        <w:spacing w:after="0" w:line="240" w:lineRule="exact"/>
        <w:rPr>
          <w:sz w:val="20"/>
          <w:szCs w:val="20"/>
          <w:color w:val="auto"/>
        </w:rPr>
      </w:pPr>
    </w:p>
    <w:p>
      <w:pPr>
        <w:ind w:firstLine="602"/>
        <w:spacing w:after="0" w:line="283" w:lineRule="auto"/>
        <w:rPr>
          <w:sz w:val="20"/>
          <w:szCs w:val="20"/>
          <w:color w:val="auto"/>
        </w:rPr>
      </w:pPr>
      <w:r>
        <w:rPr>
          <w:rFonts w:ascii="Arial" w:cs="Arial" w:eastAsia="Arial" w:hAnsi="Arial"/>
          <w:sz w:val="16"/>
          <w:szCs w:val="16"/>
          <w:color w:val="auto"/>
        </w:rPr>
        <w:t>We are highly dependent on the product development, clinical and business development expertise of the principal members of our management, scientific and clinical team. Although we have entered into employment agreements with our executives and key employees, each of them may terminate their employment with us at any time. We do not maintain “key person” insurance for any of our executives or other employees. Our recent acquisition of Anelixis and the resulting integration of the company may increase the likelihood that employees depart in the foreseeable future.</w:t>
      </w:r>
    </w:p>
    <w:p>
      <w:pPr>
        <w:spacing w:after="0" w:line="164" w:lineRule="exact"/>
        <w:rPr>
          <w:sz w:val="20"/>
          <w:szCs w:val="20"/>
          <w:color w:val="auto"/>
        </w:rPr>
      </w:pPr>
    </w:p>
    <w:p>
      <w:pPr>
        <w:ind w:right="20" w:firstLine="602"/>
        <w:spacing w:after="0" w:line="272" w:lineRule="auto"/>
        <w:rPr>
          <w:sz w:val="20"/>
          <w:szCs w:val="20"/>
          <w:color w:val="auto"/>
        </w:rPr>
      </w:pPr>
      <w:r>
        <w:rPr>
          <w:rFonts w:ascii="Arial" w:cs="Arial" w:eastAsia="Arial" w:hAnsi="Arial"/>
          <w:sz w:val="16"/>
          <w:szCs w:val="16"/>
          <w:color w:val="auto"/>
        </w:rPr>
        <w:t>Recruiting and retaining qualified scientific, clinical, manufacturing, sales and marketing personnel is critical to our success. Due to the small size of the Company and the limited number of employees, each of our executives and key employees serves in a critical role.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drug product, nonclinical development, clinical development, regulatory strategy, and commercial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Regulatory Approval of Our Product Candidates and Other Legal Compliance Matters</w:t>
      </w:r>
    </w:p>
    <w:p>
      <w:pPr>
        <w:spacing w:after="0" w:line="120"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61" w:lineRule="exact"/>
        <w:rPr>
          <w:sz w:val="20"/>
          <w:szCs w:val="20"/>
          <w:color w:val="auto"/>
        </w:rPr>
      </w:pPr>
    </w:p>
    <w:p>
      <w:pPr>
        <w:ind w:right="60" w:firstLine="546"/>
        <w:spacing w:after="0" w:line="272" w:lineRule="auto"/>
        <w:rPr>
          <w:sz w:val="20"/>
          <w:szCs w:val="20"/>
          <w:color w:val="auto"/>
        </w:rPr>
      </w:pPr>
      <w:r>
        <w:rPr>
          <w:rFonts w:ascii="Arial" w:cs="Arial" w:eastAsia="Arial" w:hAnsi="Arial"/>
          <w:sz w:val="16"/>
          <w:szCs w:val="16"/>
          <w:color w:val="auto"/>
        </w:rPr>
        <w:t>Our product candidates must be approved by the FDA pursuant to a new drug application in the United States and by other regulatory authorities outside the United States prior to commercialization in the respective regions. The process of obtaining marketing approvals, both in the United States and outside the United States,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country. We have no experience in filing and supporting the applications necessary to gain marketing approvals for our products and may engage third-party consultants to assist in this process. Securing marketing approval requires the submission of extensive nonclinical and clinical data, and other supporting information to regulatory authorities for each therapeutic indication to establish the product candidate’s safety and efficacy. Securing marketing approval also requires the submission of information about the product formulation and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nonclinical, clinical or other data. In addition, varying interpretations of the data obtained from nonclinical and clinical trials could delay, limit or prevent marketing approval of a product candidate. Changes in marketing approval policies during the development period, changes in or the enactment of additional statutes or regulations,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or changes in regulatory review for each submitted product application, may also cause delays in or prevent the approval of an application.</w:t>
      </w:r>
    </w:p>
    <w:p>
      <w:pPr>
        <w:spacing w:after="0" w:line="217" w:lineRule="exact"/>
        <w:rPr>
          <w:sz w:val="20"/>
          <w:szCs w:val="20"/>
          <w:color w:val="auto"/>
        </w:rPr>
      </w:pPr>
    </w:p>
    <w:p>
      <w:pPr>
        <w:ind w:right="320" w:firstLine="546"/>
        <w:spacing w:after="0" w:line="290" w:lineRule="auto"/>
        <w:rPr>
          <w:sz w:val="20"/>
          <w:szCs w:val="20"/>
          <w:color w:val="auto"/>
        </w:rPr>
      </w:pPr>
      <w:r>
        <w:rPr>
          <w:rFonts w:ascii="Arial" w:cs="Arial" w:eastAsia="Arial" w:hAnsi="Arial"/>
          <w:sz w:val="16"/>
          <w:szCs w:val="16"/>
          <w:color w:val="auto"/>
        </w:rPr>
        <w:t>Any marketing approval we ultimately obtain may be for fewer or more limited indications than requested or subject to restrictions or post-approval commitments that render the approved product not commercially viable or its market potential significantly impaired. In addition, regulatory agencies may not approve the labeling claims that are necessary or desirable for the successful commercialization of our product candidates.</w:t>
      </w:r>
    </w:p>
    <w:p>
      <w:pPr>
        <w:spacing w:after="0" w:line="158" w:lineRule="exact"/>
        <w:rPr>
          <w:sz w:val="20"/>
          <w:szCs w:val="20"/>
          <w:color w:val="auto"/>
        </w:rPr>
      </w:pPr>
    </w:p>
    <w:p>
      <w:pPr>
        <w:ind w:right="60" w:firstLine="546"/>
        <w:spacing w:after="0" w:line="258" w:lineRule="auto"/>
        <w:rPr>
          <w:sz w:val="20"/>
          <w:szCs w:val="20"/>
          <w:color w:val="auto"/>
        </w:rPr>
      </w:pPr>
      <w:r>
        <w:rPr>
          <w:rFonts w:ascii="Arial" w:cs="Arial" w:eastAsia="Arial" w:hAnsi="Arial"/>
          <w:sz w:val="17"/>
          <w:szCs w:val="17"/>
          <w:color w:val="auto"/>
        </w:rPr>
        <w:t>In order to market and sell our products in the EU and other international jurisdictions outside of the United States, we or our third-party collaborators must obtain separate marketing approvals and comply with numerous and varying regulatory requirements. The approval procedure varies among countries and may require additional nonclinical, clinical or health outcome data. In addition, the time required to obtain approval may differ substantially amongst international jurisdictions. The regulatory approval process outside the United States generally includes all the risks associated with obtaining FDA approval. In addition to regulatory approval, in many countries outside the United States, it is required that the product be approved for reimbursement before the product can be approved for sale in that country.</w:t>
      </w:r>
    </w:p>
    <w:p>
      <w:pPr>
        <w:spacing w:after="0" w:line="183" w:lineRule="exact"/>
        <w:rPr>
          <w:sz w:val="20"/>
          <w:szCs w:val="20"/>
          <w:color w:val="auto"/>
        </w:rPr>
      </w:pPr>
    </w:p>
    <w:p>
      <w:pPr>
        <w:ind w:right="680" w:firstLine="546"/>
        <w:spacing w:after="0" w:line="279" w:lineRule="auto"/>
        <w:rPr>
          <w:sz w:val="20"/>
          <w:szCs w:val="20"/>
          <w:color w:val="auto"/>
        </w:rPr>
      </w:pPr>
      <w:r>
        <w:rPr>
          <w:rFonts w:ascii="Arial" w:cs="Arial" w:eastAsia="Arial" w:hAnsi="Arial"/>
          <w:sz w:val="17"/>
          <w:szCs w:val="17"/>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7" w:lineRule="exact"/>
        <w:rPr>
          <w:sz w:val="20"/>
          <w:szCs w:val="20"/>
          <w:color w:val="auto"/>
        </w:rPr>
      </w:pPr>
    </w:p>
    <w:p>
      <w:pPr>
        <w:ind w:right="40" w:firstLine="546"/>
        <w:spacing w:after="0" w:line="266"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72" w:lineRule="exact"/>
        <w:rPr>
          <w:sz w:val="20"/>
          <w:szCs w:val="20"/>
          <w:color w:val="auto"/>
        </w:rPr>
      </w:pPr>
    </w:p>
    <w:p>
      <w:pPr>
        <w:ind w:right="80" w:firstLine="546"/>
        <w:spacing w:after="0" w:line="299"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 that are specific to those defined by regulatory authorities in the countries where the product is approved. In the United States and other countries that follow the International Conference on Harmonization, these requirements include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w:t>
      </w:r>
    </w:p>
    <w:p>
      <w:pPr>
        <w:spacing w:after="0" w:line="155"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83" w:lineRule="exact"/>
        <w:rPr>
          <w:sz w:val="20"/>
          <w:szCs w:val="20"/>
          <w:color w:val="auto"/>
        </w:rPr>
      </w:pPr>
    </w:p>
    <w:p>
      <w:pPr>
        <w:ind w:right="400" w:firstLine="546"/>
        <w:spacing w:after="0" w:line="279" w:lineRule="auto"/>
        <w:rPr>
          <w:sz w:val="20"/>
          <w:szCs w:val="20"/>
          <w:color w:val="auto"/>
        </w:rPr>
      </w:pPr>
      <w:r>
        <w:rPr>
          <w:rFonts w:ascii="Arial" w:cs="Arial" w:eastAsia="Arial" w:hAnsi="Arial"/>
          <w:sz w:val="17"/>
          <w:szCs w:val="17"/>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1" w:lineRule="exact"/>
        <w:rPr>
          <w:sz w:val="20"/>
          <w:szCs w:val="20"/>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such products, manufacturers, or manufacturing processes;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the labeling or marketing of a product;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ind w:left="940" w:hanging="39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seizure; or</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43" w:lineRule="exact"/>
        <w:rPr>
          <w:sz w:val="20"/>
          <w:szCs w:val="20"/>
          <w:color w:val="auto"/>
        </w:rPr>
      </w:pPr>
    </w:p>
    <w:p>
      <w:pPr>
        <w:jc w:val="both"/>
        <w:ind w:right="180" w:firstLine="546"/>
        <w:spacing w:after="0" w:line="266" w:lineRule="auto"/>
        <w:rPr>
          <w:sz w:val="20"/>
          <w:szCs w:val="20"/>
          <w:color w:val="auto"/>
        </w:rPr>
      </w:pPr>
      <w:r>
        <w:rPr>
          <w:rFonts w:ascii="Arial" w:cs="Arial" w:eastAsia="Arial" w:hAnsi="Arial"/>
          <w:sz w:val="17"/>
          <w:szCs w:val="17"/>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spacing w:after="0" w:line="278" w:lineRule="exact"/>
        <w:rPr>
          <w:sz w:val="20"/>
          <w:szCs w:val="20"/>
          <w:color w:val="auto"/>
        </w:rPr>
      </w:pPr>
    </w:p>
    <w:p>
      <w:pPr>
        <w:ind w:right="260" w:firstLine="546"/>
        <w:spacing w:after="0" w:line="279" w:lineRule="auto"/>
        <w:rPr>
          <w:sz w:val="20"/>
          <w:szCs w:val="20"/>
          <w:color w:val="auto"/>
        </w:rPr>
      </w:pPr>
      <w:r>
        <w:rPr>
          <w:rFonts w:ascii="Arial" w:cs="Arial" w:eastAsia="Arial" w:hAnsi="Arial"/>
          <w:sz w:val="17"/>
          <w:szCs w:val="17"/>
          <w:b w:val="1"/>
          <w:bCs w:val="1"/>
          <w:i w:val="1"/>
          <w:iCs w:val="1"/>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61" w:lineRule="exact"/>
        <w:rPr>
          <w:sz w:val="20"/>
          <w:szCs w:val="20"/>
          <w:color w:val="auto"/>
        </w:rPr>
      </w:pPr>
    </w:p>
    <w:p>
      <w:pPr>
        <w:ind w:right="40" w:firstLine="546"/>
        <w:spacing w:after="0" w:line="26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intended to contain healthcare costs and modify the regulation of drug and biologic products. These and other regulatory changes could prevent or delay marketing approval of our product candidates, restrict or regulate post-approval activities and affect our ability to profitably sell any product candidates for which we obtain marketing approval.</w:t>
      </w:r>
    </w:p>
    <w:p>
      <w:pPr>
        <w:spacing w:after="0" w:line="178"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expect that additional state and federal healthcare reform measures and regulations will be adopted in the future.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158" w:lineRule="exact"/>
        <w:rPr>
          <w:sz w:val="20"/>
          <w:szCs w:val="20"/>
          <w:color w:val="auto"/>
        </w:rPr>
      </w:pPr>
    </w:p>
    <w:p>
      <w:pPr>
        <w:ind w:right="40" w:firstLine="546"/>
        <w:spacing w:after="0" w:line="266" w:lineRule="auto"/>
        <w:rPr>
          <w:sz w:val="20"/>
          <w:szCs w:val="20"/>
          <w:color w:val="auto"/>
        </w:rPr>
      </w:pPr>
      <w:r>
        <w:rPr>
          <w:rFonts w:ascii="Arial" w:cs="Arial" w:eastAsia="Arial" w:hAnsi="Arial"/>
          <w:sz w:val="17"/>
          <w:szCs w:val="17"/>
          <w:color w:val="auto"/>
        </w:rPr>
        <w:t>Laws, restrictions, and other regulatory measures are also imposed by healthcare laws and regulations in international jurisdictions and in those jurisdictions we face the same issues as in the United States regarding difficulty and cost for us to obtain marketing approval and commercialization of our product candidates and which may affect the prices we may obtain.</w:t>
      </w:r>
    </w:p>
    <w:p>
      <w:pPr>
        <w:spacing w:after="0" w:line="72" w:lineRule="exact"/>
        <w:rPr>
          <w:sz w:val="20"/>
          <w:szCs w:val="20"/>
          <w:color w:val="auto"/>
        </w:rPr>
      </w:pPr>
    </w:p>
    <w:p>
      <w:pPr>
        <w:ind w:right="100" w:firstLine="546"/>
        <w:spacing w:after="0" w:line="259" w:lineRule="auto"/>
        <w:rPr>
          <w:sz w:val="20"/>
          <w:szCs w:val="20"/>
          <w:color w:val="auto"/>
        </w:rPr>
      </w:pPr>
      <w:r>
        <w:rPr>
          <w:rFonts w:ascii="Arial" w:cs="Arial" w:eastAsia="Arial" w:hAnsi="Arial"/>
          <w:sz w:val="17"/>
          <w:szCs w:val="17"/>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6" w:lineRule="exact"/>
        <w:rPr>
          <w:sz w:val="20"/>
          <w:szCs w:val="20"/>
          <w:color w:val="auto"/>
        </w:rPr>
      </w:pPr>
    </w:p>
    <w:p>
      <w:pPr>
        <w:ind w:right="200" w:firstLine="546"/>
        <w:spacing w:after="0" w:line="266" w:lineRule="auto"/>
        <w:rPr>
          <w:sz w:val="20"/>
          <w:szCs w:val="20"/>
          <w:color w:val="auto"/>
        </w:rPr>
      </w:pPr>
      <w:r>
        <w:rPr>
          <w:rFonts w:ascii="Arial" w:cs="Arial" w:eastAsia="Arial" w:hAnsi="Arial"/>
          <w:sz w:val="17"/>
          <w:szCs w:val="17"/>
          <w:b w:val="1"/>
          <w:bCs w:val="1"/>
          <w:i w:val="1"/>
          <w:iCs w:val="1"/>
          <w:color w:val="auto"/>
        </w:rPr>
        <w:t>Our business operations and relationships with healthcare providers, physicians, third-party payers, and customers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spacing w:after="0" w:line="72" w:lineRule="exact"/>
        <w:rPr>
          <w:sz w:val="20"/>
          <w:szCs w:val="20"/>
          <w:color w:val="auto"/>
        </w:rPr>
      </w:pPr>
    </w:p>
    <w:p>
      <w:pPr>
        <w:ind w:right="20" w:firstLine="602"/>
        <w:spacing w:after="0" w:line="295" w:lineRule="auto"/>
        <w:rPr>
          <w:sz w:val="20"/>
          <w:szCs w:val="20"/>
          <w:color w:val="auto"/>
        </w:rPr>
      </w:pPr>
      <w:r>
        <w:rPr>
          <w:rFonts w:ascii="Arial" w:cs="Arial" w:eastAsia="Arial" w:hAnsi="Arial"/>
          <w:sz w:val="15"/>
          <w:szCs w:val="15"/>
          <w:color w:val="auto"/>
        </w:rPr>
        <w:t>Healthcare providers, physicians and third-party payers will play a primary role in the recommendation and prescription of any product candidates for which we receive marketing approval. Our current and future arrangements may expose us to broadly applicable fraud and abuse and other healthcare laws that may constrain the business or financial arrangements and relationships through which we would market, sell and distribute the products for which we receive marketing approval. Even though we will not control referrals of healthcare services or bill directly to Medicare, Medicaid or other third-party payers, federal and state healthcare laws are and will be applicable to our business. Such laws include, but are not limited to federal false claims, false statements and civil monetary penalties laws, including the federal civil False Claims Act (“FCA”), the federal Anti-Kickback Statute, the federal Health Insurance Portability and Accountability Act of 1996 (“HIPAA”), patient data privacy and security regulation, including, in the United States, HIPAA, as amended by the Health Information Technology for Clinical Health Act of 2009 (“HITECH”), the federal transparency requirements under the Physician Payments Sunshine Act, and analogous state, local or foreign law.</w:t>
      </w:r>
    </w:p>
    <w:p>
      <w:pPr>
        <w:spacing w:after="0" w:line="160" w:lineRule="exact"/>
        <w:rPr>
          <w:sz w:val="20"/>
          <w:szCs w:val="20"/>
          <w:color w:val="auto"/>
        </w:rPr>
      </w:pPr>
    </w:p>
    <w:p>
      <w:pPr>
        <w:ind w:right="420" w:firstLine="546"/>
        <w:spacing w:after="0" w:line="279" w:lineRule="auto"/>
        <w:rPr>
          <w:sz w:val="20"/>
          <w:szCs w:val="20"/>
          <w:color w:val="auto"/>
        </w:rPr>
      </w:pPr>
      <w:r>
        <w:rPr>
          <w:rFonts w:ascii="Arial" w:cs="Arial" w:eastAsia="Arial" w:hAnsi="Arial"/>
          <w:sz w:val="16"/>
          <w:szCs w:val="16"/>
          <w:color w:val="auto"/>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Efforts to ensure that our business arrangements with third parties will comply with applicable healthcare laws and regulations will involve substantial costs. It is possible that governmental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32" w:name="page33"/>
    <w:bookmarkEnd w:id="32"/>
    <w:p>
      <w:pPr>
        <w:spacing w:after="0" w:line="279" w:lineRule="auto"/>
        <w:rPr>
          <w:sz w:val="20"/>
          <w:szCs w:val="20"/>
          <w:color w:val="auto"/>
        </w:rPr>
      </w:pPr>
      <w:r>
        <w:rPr>
          <w:rFonts w:ascii="Arial" w:cs="Arial" w:eastAsia="Arial" w:hAnsi="Arial"/>
          <w:sz w:val="17"/>
          <w:szCs w:val="17"/>
          <w:color w:val="auto"/>
        </w:rPr>
        <w:t>authorities will conclude that our business practices may not comply with current or future statutes, regulations or case law involving applicable fraud and abuse or other healthcare laws and regulations.</w:t>
      </w:r>
    </w:p>
    <w:p>
      <w:pPr>
        <w:spacing w:after="0" w:line="164"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are found to be not in compliance with applicable laws, that person or entity may be subject to criminal, civil or administrative sanctions, including exclusions from government funded healthcare programs.</w:t>
      </w:r>
    </w:p>
    <w:p>
      <w:pPr>
        <w:spacing w:after="0" w:line="183" w:lineRule="exact"/>
        <w:rPr>
          <w:sz w:val="20"/>
          <w:szCs w:val="20"/>
          <w:color w:val="auto"/>
        </w:rPr>
      </w:pPr>
    </w:p>
    <w:p>
      <w:pPr>
        <w:jc w:val="both"/>
        <w:ind w:right="540" w:firstLine="546"/>
        <w:spacing w:after="0" w:line="266" w:lineRule="auto"/>
        <w:rPr>
          <w:sz w:val="20"/>
          <w:szCs w:val="20"/>
          <w:color w:val="auto"/>
        </w:rPr>
      </w:pPr>
      <w:r>
        <w:rPr>
          <w:rFonts w:ascii="Arial" w:cs="Arial" w:eastAsia="Arial" w:hAnsi="Arial"/>
          <w:sz w:val="17"/>
          <w:szCs w:val="17"/>
          <w:color w:val="auto"/>
        </w:rPr>
        <w:t>Laws, restrictions, and other regulatory measures are also imposed by anti-kickback, fraud and abuse, and other healthcare laws and regulations in international jurisdictions, and in those jurisdictions we face the same issues as in the United State regarding exposure to criminal sanctions, civil penalties, program exclusion, contractual damages, reputational harm, and diminished profits and future earnings.</w:t>
      </w:r>
    </w:p>
    <w:p>
      <w:pPr>
        <w:spacing w:after="0" w:line="278" w:lineRule="exact"/>
        <w:rPr>
          <w:sz w:val="20"/>
          <w:szCs w:val="20"/>
          <w:color w:val="auto"/>
        </w:rPr>
      </w:pPr>
    </w:p>
    <w:p>
      <w:pPr>
        <w:ind w:firstLine="546"/>
        <w:spacing w:after="0" w:line="259" w:lineRule="auto"/>
        <w:rPr>
          <w:sz w:val="20"/>
          <w:szCs w:val="20"/>
          <w:color w:val="auto"/>
        </w:rPr>
      </w:pPr>
      <w:r>
        <w:rPr>
          <w:rFonts w:ascii="Arial" w:cs="Arial" w:eastAsia="Arial" w:hAnsi="Arial"/>
          <w:sz w:val="17"/>
          <w:szCs w:val="17"/>
          <w:b w:val="1"/>
          <w:bCs w:val="1"/>
          <w:i w:val="1"/>
          <w:iCs w:val="1"/>
          <w:color w:val="auto"/>
        </w:rPr>
        <w:t>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have a material adverse effect on our reputation, business, financial condition or results of operations.</w:t>
      </w:r>
    </w:p>
    <w:p>
      <w:pPr>
        <w:spacing w:after="0" w:line="80" w:lineRule="exact"/>
        <w:rPr>
          <w:sz w:val="20"/>
          <w:szCs w:val="20"/>
          <w:color w:val="auto"/>
        </w:rPr>
      </w:pPr>
    </w:p>
    <w:p>
      <w:pPr>
        <w:ind w:firstLine="546"/>
        <w:spacing w:after="0" w:line="271" w:lineRule="auto"/>
        <w:rPr>
          <w:sz w:val="20"/>
          <w:szCs w:val="20"/>
          <w:color w:val="auto"/>
        </w:rPr>
      </w:pPr>
      <w:r>
        <w:rPr>
          <w:rFonts w:ascii="Arial" w:cs="Arial" w:eastAsia="Arial" w:hAnsi="Arial"/>
          <w:sz w:val="16"/>
          <w:szCs w:val="16"/>
          <w:color w:val="auto"/>
        </w:rPr>
        <w:t>In the ordinary course of our business, we collect, store and transmit large amounts of confidential information, including intellectual property, proprietary business information and personal information. Our internal technology systems and infrastructure, and those of our current or future third-party collaborators, service providers, contractors and consultants are vulnerable to damage from computer viruses, unauthorized access or use resulting from malware, natural disasters, terrorism, war and telecommunication and electrical failures, denial-of-service attacks, cyber-attacks or cyber-intrusions over the Internet, hacking, phishing and other social engineering attacks, persons inside our organizations (including employees or contractors), loss or theft, or persons with access to systems inside our organization. Attacks on information technology systems are increasing in their frequency, levels of persistence, sophistication and intensity, and they are being conducted by increasingly sophisticated and organized foreign governments, groups and individuals with a wide range of motives and expertise.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the loss of confidential information or other intellectual property. While to our knowledge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181" w:lineRule="exact"/>
        <w:rPr>
          <w:sz w:val="20"/>
          <w:szCs w:val="20"/>
          <w:color w:val="auto"/>
        </w:rPr>
      </w:pPr>
    </w:p>
    <w:p>
      <w:pPr>
        <w:ind w:firstLine="546"/>
        <w:spacing w:after="0" w:line="274" w:lineRule="auto"/>
        <w:rPr>
          <w:sz w:val="20"/>
          <w:szCs w:val="20"/>
          <w:color w:val="auto"/>
        </w:rPr>
      </w:pPr>
      <w:r>
        <w:rPr>
          <w:rFonts w:ascii="Arial" w:cs="Arial" w:eastAsia="Arial" w:hAnsi="Arial"/>
          <w:sz w:val="16"/>
          <w:szCs w:val="16"/>
          <w:color w:val="auto"/>
        </w:rPr>
        <w:t>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Such a breach may require notification to governmental agencies, the media or individuals pursuant to various foreign,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claims related to security breaches, cyberattacks and other related incidents.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3" w:name="page34"/>
    <w:bookmarkEnd w:id="33"/>
    <w:p>
      <w:pPr>
        <w:ind w:right="20" w:firstLine="546"/>
        <w:spacing w:after="0" w:line="255" w:lineRule="auto"/>
        <w:rPr>
          <w:sz w:val="20"/>
          <w:szCs w:val="20"/>
          <w:color w:val="auto"/>
        </w:rPr>
      </w:pPr>
      <w:r>
        <w:rPr>
          <w:rFonts w:ascii="Arial" w:cs="Arial" w:eastAsia="Arial" w:hAnsi="Arial"/>
          <w:sz w:val="17"/>
          <w:szCs w:val="17"/>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have a material adverse effect on our reputation, business, financial condition or results of operations. To the extent we maintain individually identifiable health information, we could be subject to fines and penalties (including civil and criminal) under HIPAA for any failure by us or our business associates to comply with HIPAA’s requirements. Moreover, data security incidents and other security breaches can be difficult to detect, and any delay in identifying them may lead to increased harm. While we have implemented data security measures intended to protect our information, data, information technology systems, applications and infrastructure, there can be no assurance that such measures will successfully prevent service interruptions or data security incidents.</w:t>
      </w:r>
    </w:p>
    <w:p>
      <w:pPr>
        <w:spacing w:after="0" w:line="294" w:lineRule="exact"/>
        <w:rPr>
          <w:sz w:val="20"/>
          <w:szCs w:val="20"/>
          <w:color w:val="auto"/>
        </w:rPr>
      </w:pPr>
    </w:p>
    <w:p>
      <w:pPr>
        <w:ind w:right="660" w:firstLine="546"/>
        <w:spacing w:after="0" w:line="279" w:lineRule="auto"/>
        <w:rPr>
          <w:sz w:val="20"/>
          <w:szCs w:val="20"/>
          <w:color w:val="auto"/>
        </w:rPr>
      </w:pPr>
      <w:r>
        <w:rPr>
          <w:rFonts w:ascii="Arial" w:cs="Arial" w:eastAsia="Arial" w:hAnsi="Arial"/>
          <w:sz w:val="17"/>
          <w:szCs w:val="17"/>
          <w:b w:val="1"/>
          <w:bCs w:val="1"/>
          <w:i w:val="1"/>
          <w:iCs w:val="1"/>
          <w:color w:val="auto"/>
        </w:rPr>
        <w:t>European data collection is governed by restrictive regulations governing the collection, use, processing and cross-border transfer of personal information.</w:t>
      </w:r>
    </w:p>
    <w:p>
      <w:pPr>
        <w:spacing w:after="0" w:line="61" w:lineRule="exact"/>
        <w:rPr>
          <w:sz w:val="20"/>
          <w:szCs w:val="20"/>
          <w:color w:val="auto"/>
        </w:rPr>
      </w:pPr>
    </w:p>
    <w:p>
      <w:pPr>
        <w:ind w:firstLine="546"/>
        <w:spacing w:after="0" w:line="291" w:lineRule="auto"/>
        <w:rPr>
          <w:sz w:val="20"/>
          <w:szCs w:val="20"/>
          <w:color w:val="auto"/>
        </w:rPr>
      </w:pPr>
      <w:r>
        <w:rPr>
          <w:rFonts w:ascii="Arial" w:cs="Arial" w:eastAsia="Arial" w:hAnsi="Arial"/>
          <w:sz w:val="15"/>
          <w:szCs w:val="15"/>
          <w:color w:val="auto"/>
        </w:rPr>
        <w:t>We may collect, process, use or transfer personal information from individuals located in the European Economic Area in connection with our business, including in connection with conducting clinical trials in the EEA. Additionally, if any of our product candidates are approved, we may seek to commercialize those products in the European Economic Area. The collection and use of personal health data in the European Economic Area is governed by the provisions of the General Data Protection Regulation ((EU) 2016/679)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European Economic Area,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Economic Area and other states in the European Economic Area may result in substantial fines, other administrative penalties and civil claims being brought against us, which could have a material adverse effect on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spacing w:after="0" w:line="264"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61" w:lineRule="exact"/>
        <w:rPr>
          <w:sz w:val="20"/>
          <w:szCs w:val="20"/>
          <w:color w:val="auto"/>
        </w:rPr>
      </w:pPr>
    </w:p>
    <w:p>
      <w:pPr>
        <w:jc w:val="both"/>
        <w:ind w:right="320" w:firstLine="546"/>
        <w:spacing w:after="0" w:line="266" w:lineRule="auto"/>
        <w:rPr>
          <w:sz w:val="20"/>
          <w:szCs w:val="20"/>
          <w:color w:val="auto"/>
        </w:rPr>
      </w:pPr>
      <w:r>
        <w:rPr>
          <w:rFonts w:ascii="Arial" w:cs="Arial" w:eastAsia="Arial" w:hAnsi="Arial"/>
          <w:sz w:val="17"/>
          <w:szCs w:val="17"/>
          <w:color w:val="auto"/>
        </w:rPr>
        <w:t>We may incur substantial costs in order to comply with current or future environmental, health and safety laws and regulations. These current or future laws and regulations may impair our nonclinical or clinical development or production efforts. Our failure to comply with these laws and regulations also may result in substantial fines, penalties or other sanctions.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Commercialization of Our Product Candidates</w:t>
      </w:r>
    </w:p>
    <w:p>
      <w:pPr>
        <w:spacing w:after="0" w:line="120"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61" w:lineRule="exact"/>
        <w:rPr>
          <w:sz w:val="20"/>
          <w:szCs w:val="20"/>
          <w:color w:val="auto"/>
        </w:rPr>
      </w:pPr>
    </w:p>
    <w:p>
      <w:pPr>
        <w:ind w:right="160" w:firstLine="546"/>
        <w:spacing w:after="0" w:line="283" w:lineRule="auto"/>
        <w:rPr>
          <w:sz w:val="20"/>
          <w:szCs w:val="20"/>
          <w:color w:val="auto"/>
        </w:rPr>
      </w:pPr>
      <w:r>
        <w:rPr>
          <w:rFonts w:ascii="Arial" w:cs="Arial" w:eastAsia="Arial" w:hAnsi="Arial"/>
          <w:sz w:val="16"/>
          <w:szCs w:val="16"/>
          <w:color w:val="auto"/>
        </w:rPr>
        <w:t>If any of our product candidates receives marketing approval, we may nonetheless fail to gain sufficient market acceptance by physicians, patients, third-party payers and others in the medical community. In addition, physicians, patients and third-party payers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0" w:lineRule="exact"/>
        <w:rPr>
          <w:sz w:val="20"/>
          <w:szCs w:val="20"/>
          <w:color w:val="auto"/>
        </w:rPr>
      </w:pPr>
    </w:p>
    <w:p>
      <w:pPr>
        <w:ind w:left="940" w:hanging="395"/>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efficacy and safety and potential advantages and disadvantages compared to alternative treatments;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to offer our products for sale at competitive prices;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left="940" w:hanging="39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strength of our marketing and distribution support;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third-party coverage and adequate reimbursement, including patient cost-sharing programs such as copays and deductibles;</w:t>
      </w:r>
    </w:p>
    <w:p>
      <w:pPr>
        <w:spacing w:after="0" w:line="151" w:lineRule="exact"/>
        <w:rPr>
          <w:rFonts w:ascii="Arial" w:cs="Arial" w:eastAsia="Arial" w:hAnsi="Arial"/>
          <w:sz w:val="16"/>
          <w:szCs w:val="16"/>
          <w:color w:val="auto"/>
        </w:rPr>
      </w:pPr>
    </w:p>
    <w:p>
      <w:pPr>
        <w:ind w:left="940" w:hanging="39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to develop or partner with third-party collaborators to develop companion diagnostics;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restrictions on the use of our products together with other medications.</w:t>
      </w:r>
    </w:p>
    <w:p>
      <w:pPr>
        <w:spacing w:after="0" w:line="346" w:lineRule="exact"/>
        <w:rPr>
          <w:sz w:val="20"/>
          <w:szCs w:val="20"/>
          <w:color w:val="auto"/>
        </w:rPr>
      </w:pPr>
    </w:p>
    <w:p>
      <w:pPr>
        <w:ind w:firstLine="546"/>
        <w:spacing w:after="0" w:line="384" w:lineRule="auto"/>
        <w:rPr>
          <w:sz w:val="20"/>
          <w:szCs w:val="20"/>
          <w:color w:val="auto"/>
        </w:rPr>
      </w:pPr>
      <w:r>
        <w:rPr>
          <w:rFonts w:ascii="Arial" w:cs="Arial" w:eastAsia="Arial" w:hAnsi="Arial"/>
          <w:sz w:val="14"/>
          <w:szCs w:val="14"/>
          <w:b w:val="1"/>
          <w:bCs w:val="1"/>
          <w:i w:val="1"/>
          <w:iCs w:val="1"/>
          <w:color w:val="auto"/>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ind w:right="300" w:firstLine="546"/>
        <w:spacing w:after="0" w:line="283" w:lineRule="auto"/>
        <w:rPr>
          <w:sz w:val="20"/>
          <w:szCs w:val="20"/>
          <w:color w:val="auto"/>
        </w:rPr>
      </w:pPr>
      <w:r>
        <w:rPr>
          <w:rFonts w:ascii="Arial" w:cs="Arial" w:eastAsia="Arial" w:hAnsi="Arial"/>
          <w:sz w:val="16"/>
          <w:szCs w:val="16"/>
          <w:color w:val="auto"/>
        </w:rPr>
        <w:t>Clinical trials are conducted in carefully defined subsets of patients who have agreed to enter into clinical trials. Consequently, it is possible that our clinical trials may indicate an apparent beneficial effect of a product candidate that is greater than the actual positive effect in a broader patient population or alternatively fail to identify undesirable side effects. If, following approval of a product candidate, we, or others, discover that the product is less effective than previously believed or causes undesirable side effects that were not previously identified, any of the following events could occur:</w:t>
      </w:r>
    </w:p>
    <w:p>
      <w:pPr>
        <w:spacing w:after="0" w:line="60" w:lineRule="exact"/>
        <w:rPr>
          <w:sz w:val="20"/>
          <w:szCs w:val="20"/>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product or seize the product;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product may be required to be recalled or changes may be required to the way the product is administered;</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or the manufacturing processes for, the product;</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creation of a Medication Guide outlining the risks of the previously unidentified side effects for distribution to patients;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restrictions may be imposed on the distribution or use of the product via a Risk Evaluation and Mitigation Strategy;</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product may become less competitive; and</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43"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Any of these events could have a material and adverse effect on our operations and business. The commercial prospects for our product candidates may be harmed and our ability to generate revenues will be materially impaired.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462" w:right="359" w:bottom="1440" w:gutter="0" w:footer="0" w:header="0"/>
        </w:sectPr>
      </w:pPr>
    </w:p>
    <w:bookmarkStart w:id="35" w:name="page36"/>
    <w:bookmarkEnd w:id="35"/>
    <w:p>
      <w:pPr>
        <w:ind w:right="160" w:firstLine="546"/>
        <w:spacing w:after="0" w:line="266" w:lineRule="auto"/>
        <w:rPr>
          <w:sz w:val="20"/>
          <w:szCs w:val="20"/>
          <w:color w:val="auto"/>
        </w:rPr>
      </w:pPr>
      <w:r>
        <w:rPr>
          <w:rFonts w:ascii="Arial" w:cs="Arial" w:eastAsia="Arial" w:hAnsi="Arial"/>
          <w:sz w:val="17"/>
          <w:szCs w:val="17"/>
          <w:b w:val="1"/>
          <w:bCs w:val="1"/>
          <w:i w:val="1"/>
          <w:iCs w:val="1"/>
          <w:color w:val="auto"/>
        </w:rPr>
        <w:t>We currently have no marketing and sales force. 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spacing w:after="0" w:line="72" w:lineRule="exact"/>
        <w:rPr>
          <w:sz w:val="20"/>
          <w:szCs w:val="20"/>
          <w:color w:val="auto"/>
        </w:rPr>
      </w:pPr>
    </w:p>
    <w:p>
      <w:pPr>
        <w:ind w:right="20" w:firstLine="546"/>
        <w:spacing w:after="0" w:line="272" w:lineRule="auto"/>
        <w:rPr>
          <w:sz w:val="20"/>
          <w:szCs w:val="20"/>
          <w:color w:val="auto"/>
        </w:rPr>
      </w:pPr>
      <w:r>
        <w:rPr>
          <w:rFonts w:ascii="Arial" w:cs="Arial" w:eastAsia="Arial" w:hAnsi="Arial"/>
          <w:sz w:val="16"/>
          <w:szCs w:val="16"/>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and marketing team with technical expertise and supporting distribution capabilities to commercialize our product candidates, which will be expensive and time-consuming, will require significant attention of our executive officers to manage and may nonetheless fail to effectively market and sell our product candidates.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80" w:lineRule="exact"/>
        <w:rPr>
          <w:sz w:val="20"/>
          <w:szCs w:val="20"/>
          <w:color w:val="auto"/>
        </w:rPr>
      </w:pPr>
    </w:p>
    <w:p>
      <w:pPr>
        <w:ind w:right="840" w:firstLine="546"/>
        <w:spacing w:after="0" w:line="279"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competing products before or more successfully than we do.</w:t>
      </w:r>
    </w:p>
    <w:p>
      <w:pPr>
        <w:spacing w:after="0" w:line="61" w:lineRule="exact"/>
        <w:rPr>
          <w:sz w:val="20"/>
          <w:szCs w:val="20"/>
          <w:color w:val="auto"/>
        </w:rPr>
      </w:pPr>
    </w:p>
    <w:p>
      <w:pPr>
        <w:ind w:right="40" w:firstLine="546"/>
        <w:spacing w:after="0" w:line="257"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right="100" w:firstLine="602"/>
        <w:spacing w:after="0" w:line="266" w:lineRule="auto"/>
        <w:rPr>
          <w:sz w:val="20"/>
          <w:szCs w:val="20"/>
          <w:color w:val="auto"/>
        </w:rPr>
      </w:pPr>
      <w:r>
        <w:rPr>
          <w:rFonts w:ascii="Arial" w:cs="Arial" w:eastAsia="Arial" w:hAnsi="Arial"/>
          <w:sz w:val="17"/>
          <w:szCs w:val="17"/>
          <w:color w:val="auto"/>
        </w:rPr>
        <w:t>Specifically, there are a number of companies developing competing anti-CD40 and anti-CD40L therapeutics, including Novartis, Boehringer Ingelheim, Astellas, Abbvie, Sanofi, UCB, Horizon Therapeutics (post acquisition of Viela Bio), Bristol Myers Squibb and Kiniksa. All of these companies are larger than Eledon and have significantly greater resources to develop their drug candidates.</w:t>
      </w:r>
    </w:p>
    <w:p>
      <w:pPr>
        <w:spacing w:after="0" w:line="175" w:lineRule="exact"/>
        <w:rPr>
          <w:sz w:val="20"/>
          <w:szCs w:val="20"/>
          <w:color w:val="auto"/>
        </w:rPr>
      </w:pPr>
    </w:p>
    <w:p>
      <w:pPr>
        <w:ind w:right="20" w:firstLine="602"/>
        <w:spacing w:after="0" w:line="232" w:lineRule="auto"/>
        <w:rPr>
          <w:sz w:val="20"/>
          <w:szCs w:val="20"/>
          <w:color w:val="auto"/>
        </w:rPr>
      </w:pPr>
      <w:r>
        <w:rPr>
          <w:rFonts w:ascii="Arial" w:cs="Arial" w:eastAsia="Arial" w:hAnsi="Arial"/>
          <w:sz w:val="17"/>
          <w:szCs w:val="17"/>
          <w:color w:val="auto"/>
        </w:rPr>
        <w:t>If approved, we expect that AT-1501 will face competition from numerous FDA-approved therapeutics for the prevention of transplant rejection, including PROGRAF</w:t>
      </w:r>
      <w:r>
        <w:rPr>
          <w:rFonts w:ascii="Arial" w:cs="Arial" w:eastAsia="Arial" w:hAnsi="Arial"/>
          <w:sz w:val="24"/>
          <w:szCs w:val="24"/>
          <w:color w:val="auto"/>
          <w:vertAlign w:val="superscript"/>
        </w:rPr>
        <w:t>®</w:t>
      </w:r>
      <w:r>
        <w:rPr>
          <w:rFonts w:ascii="Arial" w:cs="Arial" w:eastAsia="Arial" w:hAnsi="Arial"/>
          <w:sz w:val="17"/>
          <w:szCs w:val="17"/>
          <w:color w:val="auto"/>
        </w:rPr>
        <w:t>, ASTAGRAF XL</w:t>
      </w:r>
      <w:r>
        <w:rPr>
          <w:rFonts w:ascii="Arial" w:cs="Arial" w:eastAsia="Arial" w:hAnsi="Arial"/>
          <w:sz w:val="24"/>
          <w:szCs w:val="24"/>
          <w:color w:val="auto"/>
          <w:vertAlign w:val="superscript"/>
        </w:rPr>
        <w:t>®</w:t>
      </w:r>
      <w:r>
        <w:rPr>
          <w:rFonts w:ascii="Arial" w:cs="Arial" w:eastAsia="Arial" w:hAnsi="Arial"/>
          <w:sz w:val="17"/>
          <w:szCs w:val="17"/>
          <w:color w:val="auto"/>
        </w:rPr>
        <w:t>, ENVARSUS XR</w:t>
      </w:r>
      <w:r>
        <w:rPr>
          <w:rFonts w:ascii="Arial" w:cs="Arial" w:eastAsia="Arial" w:hAnsi="Arial"/>
          <w:sz w:val="24"/>
          <w:szCs w:val="24"/>
          <w:color w:val="auto"/>
          <w:vertAlign w:val="superscript"/>
        </w:rPr>
        <w:t>®</w:t>
      </w:r>
      <w:r>
        <w:rPr>
          <w:rFonts w:ascii="Arial" w:cs="Arial" w:eastAsia="Arial" w:hAnsi="Arial"/>
          <w:sz w:val="17"/>
          <w:szCs w:val="17"/>
          <w:color w:val="auto"/>
        </w:rPr>
        <w:t>, NULOJIX</w:t>
      </w:r>
      <w:r>
        <w:rPr>
          <w:rFonts w:ascii="Arial" w:cs="Arial" w:eastAsia="Arial" w:hAnsi="Arial"/>
          <w:sz w:val="24"/>
          <w:szCs w:val="24"/>
          <w:color w:val="auto"/>
          <w:vertAlign w:val="superscript"/>
        </w:rPr>
        <w:t>®</w:t>
      </w:r>
      <w:r>
        <w:rPr>
          <w:rFonts w:ascii="Arial" w:cs="Arial" w:eastAsia="Arial" w:hAnsi="Arial"/>
          <w:sz w:val="17"/>
          <w:szCs w:val="17"/>
          <w:color w:val="auto"/>
        </w:rPr>
        <w:t>, CELLCEPT</w:t>
      </w:r>
      <w:r>
        <w:rPr>
          <w:rFonts w:ascii="Arial" w:cs="Arial" w:eastAsia="Arial" w:hAnsi="Arial"/>
          <w:sz w:val="24"/>
          <w:szCs w:val="24"/>
          <w:color w:val="auto"/>
          <w:vertAlign w:val="superscript"/>
        </w:rPr>
        <w:t>®</w:t>
      </w:r>
      <w:r>
        <w:rPr>
          <w:rFonts w:ascii="Arial" w:cs="Arial" w:eastAsia="Arial" w:hAnsi="Arial"/>
          <w:sz w:val="17"/>
          <w:szCs w:val="17"/>
          <w:color w:val="auto"/>
        </w:rPr>
        <w:t>, MYFORTIC</w:t>
      </w:r>
      <w:r>
        <w:rPr>
          <w:rFonts w:ascii="Arial" w:cs="Arial" w:eastAsia="Arial" w:hAnsi="Arial"/>
          <w:sz w:val="24"/>
          <w:szCs w:val="24"/>
          <w:color w:val="auto"/>
          <w:vertAlign w:val="superscript"/>
        </w:rPr>
        <w:t>®</w:t>
      </w:r>
      <w:r>
        <w:rPr>
          <w:rFonts w:ascii="Arial" w:cs="Arial" w:eastAsia="Arial" w:hAnsi="Arial"/>
          <w:sz w:val="17"/>
          <w:szCs w:val="17"/>
          <w:color w:val="auto"/>
        </w:rPr>
        <w:t>, and numerous other branded and generic immunosuppressive agents. Multiple companies are working on islet cell and kidney transplant solutions that may ultimately potentially negate the need for immunosuppressive agents in these indications altogether.</w:t>
      </w:r>
    </w:p>
    <w:p>
      <w:pPr>
        <w:spacing w:after="0" w:line="198" w:lineRule="exact"/>
        <w:rPr>
          <w:sz w:val="20"/>
          <w:szCs w:val="20"/>
          <w:color w:val="auto"/>
        </w:rPr>
      </w:pPr>
    </w:p>
    <w:p>
      <w:pPr>
        <w:ind w:right="700" w:firstLine="602"/>
        <w:spacing w:after="0" w:line="312" w:lineRule="auto"/>
        <w:rPr>
          <w:sz w:val="20"/>
          <w:szCs w:val="20"/>
          <w:color w:val="auto"/>
        </w:rPr>
      </w:pPr>
      <w:r>
        <w:rPr>
          <w:rFonts w:ascii="Arial" w:cs="Arial" w:eastAsia="Arial" w:hAnsi="Arial"/>
          <w:sz w:val="16"/>
          <w:szCs w:val="16"/>
          <w:color w:val="auto"/>
        </w:rPr>
        <w:t>If approved, we expect AT-1501 will face competition from other FDA-approved therapeutics for the treatment of LN, FSGS or IgAN, including LUPKYNIS™ and BENLYSTA®, and numerous other branded and generic medicines are already being used “off-label” to treat them.</w:t>
      </w:r>
    </w:p>
    <w:p>
      <w:pPr>
        <w:spacing w:after="0" w:line="140" w:lineRule="exact"/>
        <w:rPr>
          <w:sz w:val="20"/>
          <w:szCs w:val="20"/>
          <w:color w:val="auto"/>
        </w:rPr>
      </w:pPr>
    </w:p>
    <w:p>
      <w:pPr>
        <w:ind w:firstLine="602"/>
        <w:spacing w:after="0" w:line="251" w:lineRule="auto"/>
        <w:rPr>
          <w:sz w:val="20"/>
          <w:szCs w:val="20"/>
          <w:color w:val="auto"/>
        </w:rPr>
      </w:pPr>
      <w:r>
        <w:rPr>
          <w:rFonts w:ascii="Arial" w:cs="Arial" w:eastAsia="Arial" w:hAnsi="Arial"/>
          <w:sz w:val="16"/>
          <w:szCs w:val="16"/>
          <w:color w:val="auto"/>
        </w:rPr>
        <w:t>We expect that AT-1501 will face competition from FDA-approved therapeutics for the treatment of ALS including RADICAVA</w:t>
      </w:r>
      <w:r>
        <w:rPr>
          <w:rFonts w:ascii="Arial" w:cs="Arial" w:eastAsia="Arial" w:hAnsi="Arial"/>
          <w:sz w:val="22"/>
          <w:szCs w:val="22"/>
          <w:color w:val="auto"/>
          <w:vertAlign w:val="superscript"/>
        </w:rPr>
        <w:t>®</w:t>
      </w:r>
      <w:r>
        <w:rPr>
          <w:rFonts w:ascii="Arial" w:cs="Arial" w:eastAsia="Arial" w:hAnsi="Arial"/>
          <w:sz w:val="16"/>
          <w:szCs w:val="16"/>
          <w:color w:val="auto"/>
        </w:rPr>
        <w:t>, riluzole, and numerous other branded and generic immunosuppressive agents. Multiple pharmaceutical and biotechnology companies, including but not limited to Biogen, Ionis Pharmaceuticals, Alexion Pharmaceuticals, Orion Pharma, Orphazyme, AZTherapies, Voyager Therapeutics, Apic Bio, Brainstorm Cell Therapeutics, Cytokinetics and Amylyx Pharmaceuticals are also working on competing ALS pharmaceutical, gene therapy and cell therapy approaches.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260" w:firstLine="546"/>
        <w:spacing w:after="0" w:line="266"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payers seeking to encourage the use of generic products.</w:t>
      </w:r>
    </w:p>
    <w:p>
      <w:pPr>
        <w:spacing w:after="0" w:line="175" w:lineRule="exact"/>
        <w:rPr>
          <w:sz w:val="20"/>
          <w:szCs w:val="20"/>
          <w:color w:val="auto"/>
        </w:rPr>
      </w:pPr>
    </w:p>
    <w:p>
      <w:pPr>
        <w:ind w:firstLine="546"/>
        <w:spacing w:after="0" w:line="349" w:lineRule="auto"/>
        <w:rPr>
          <w:sz w:val="20"/>
          <w:szCs w:val="20"/>
          <w:color w:val="auto"/>
        </w:rPr>
      </w:pPr>
      <w:r>
        <w:rPr>
          <w:rFonts w:ascii="Arial" w:cs="Arial" w:eastAsia="Arial" w:hAnsi="Arial"/>
          <w:sz w:val="15"/>
          <w:szCs w:val="15"/>
          <w:color w:val="auto"/>
        </w:rPr>
        <w:t>Generic products are currently available, with additional generic products expected to become available over the coming years, potentially creating pricing pressure. If our product candidates achieve marketing approval, we expect that they will be priced at a significant premium over competitive generic products.</w:t>
      </w:r>
    </w:p>
    <w:p>
      <w:pPr>
        <w:spacing w:after="0" w:line="117" w:lineRule="exact"/>
        <w:rPr>
          <w:sz w:val="20"/>
          <w:szCs w:val="20"/>
          <w:color w:val="auto"/>
        </w:rPr>
      </w:pPr>
    </w:p>
    <w:p>
      <w:pPr>
        <w:ind w:right="20" w:firstLine="546"/>
        <w:spacing w:after="0" w:line="257"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conducting nonclinical studies,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8" w:lineRule="exact"/>
        <w:rPr>
          <w:sz w:val="20"/>
          <w:szCs w:val="20"/>
          <w:color w:val="auto"/>
        </w:rPr>
      </w:pPr>
    </w:p>
    <w:p>
      <w:pPr>
        <w:ind w:right="360" w:firstLine="546"/>
        <w:spacing w:after="0" w:line="349" w:lineRule="auto"/>
        <w:rPr>
          <w:sz w:val="20"/>
          <w:szCs w:val="20"/>
          <w:color w:val="auto"/>
        </w:rPr>
      </w:pPr>
      <w:r>
        <w:rPr>
          <w:rFonts w:ascii="Arial" w:cs="Arial" w:eastAsia="Arial" w:hAnsi="Arial"/>
          <w:sz w:val="15"/>
          <w:szCs w:val="15"/>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4" w:lineRule="exact"/>
        <w:rPr>
          <w:sz w:val="20"/>
          <w:szCs w:val="20"/>
          <w:color w:val="auto"/>
        </w:rPr>
      </w:pPr>
    </w:p>
    <w:p>
      <w:pPr>
        <w:ind w:firstLine="546"/>
        <w:spacing w:after="0" w:line="277" w:lineRule="auto"/>
        <w:rPr>
          <w:sz w:val="20"/>
          <w:szCs w:val="20"/>
          <w:color w:val="auto"/>
        </w:rPr>
      </w:pPr>
      <w:r>
        <w:rPr>
          <w:rFonts w:ascii="Arial" w:cs="Arial" w:eastAsia="Arial" w:hAnsi="Arial"/>
          <w:sz w:val="16"/>
          <w:szCs w:val="16"/>
          <w:color w:val="auto"/>
        </w:rPr>
        <w:t>The availability and extent of reimbursement by governmental and private payers is essential for most patients to be able to afford expensive treatments. Sales of our product candidates will depend substantially, both domestically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70" w:lineRule="exact"/>
        <w:rPr>
          <w:sz w:val="20"/>
          <w:szCs w:val="20"/>
          <w:color w:val="auto"/>
        </w:rPr>
      </w:pPr>
    </w:p>
    <w:p>
      <w:pPr>
        <w:ind w:right="40" w:firstLine="546"/>
        <w:spacing w:after="0" w:line="272"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CMS, as CMS decides whether and to what extent a new medicine will be covered and reimbursed under Medicare. Private payers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7" w:name="page38"/>
    <w:bookmarkEnd w:id="37"/>
    <w:p>
      <w:pPr>
        <w:ind w:right="60" w:firstLine="546"/>
        <w:spacing w:after="0" w:line="276" w:lineRule="auto"/>
        <w:rPr>
          <w:sz w:val="20"/>
          <w:szCs w:val="20"/>
          <w:color w:val="auto"/>
        </w:rPr>
      </w:pPr>
      <w:r>
        <w:rPr>
          <w:rFonts w:ascii="Arial" w:cs="Arial" w:eastAsia="Arial" w:hAnsi="Arial"/>
          <w:sz w:val="16"/>
          <w:szCs w:val="16"/>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our product candidates. Increased expense is incurred to cover costs of health outcome focused research used to generate data necessary to justify the value of our products in order to secure reimbursement.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9" w:lineRule="exact"/>
        <w:rPr>
          <w:sz w:val="20"/>
          <w:szCs w:val="20"/>
          <w:color w:val="auto"/>
        </w:rPr>
      </w:pPr>
    </w:p>
    <w:p>
      <w:pPr>
        <w:ind w:right="520" w:firstLine="546"/>
        <w:spacing w:after="0" w:line="266" w:lineRule="auto"/>
        <w:rPr>
          <w:sz w:val="20"/>
          <w:szCs w:val="20"/>
          <w:color w:val="auto"/>
        </w:rPr>
      </w:pPr>
      <w:r>
        <w:rPr>
          <w:rFonts w:ascii="Arial" w:cs="Arial" w:eastAsia="Arial" w:hAnsi="Arial"/>
          <w:sz w:val="17"/>
          <w:szCs w:val="17"/>
          <w:color w:val="auto"/>
        </w:rPr>
        <w:t>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78" w:lineRule="exact"/>
        <w:rPr>
          <w:sz w:val="20"/>
          <w:szCs w:val="20"/>
          <w:color w:val="auto"/>
        </w:rPr>
      </w:pPr>
    </w:p>
    <w:p>
      <w:pPr>
        <w:ind w:left="540"/>
        <w:spacing w:after="0"/>
        <w:rPr>
          <w:sz w:val="20"/>
          <w:szCs w:val="20"/>
          <w:color w:val="auto"/>
        </w:rPr>
      </w:pPr>
      <w:r>
        <w:rPr>
          <w:rFonts w:ascii="Arial" w:cs="Arial" w:eastAsia="Arial" w:hAnsi="Arial"/>
          <w:sz w:val="14"/>
          <w:szCs w:val="14"/>
          <w:b w:val="1"/>
          <w:bCs w:val="1"/>
          <w:i w:val="1"/>
          <w:iCs w:val="1"/>
          <w:color w:val="auto"/>
        </w:rPr>
        <w:t>Product liability lawsuits against us could cause us to incur substantial liabilities and to limit commercialization of any products that we may develop.</w:t>
      </w:r>
    </w:p>
    <w:p>
      <w:pPr>
        <w:spacing w:after="0" w:line="148" w:lineRule="exact"/>
        <w:rPr>
          <w:sz w:val="20"/>
          <w:szCs w:val="20"/>
          <w:color w:val="auto"/>
        </w:rPr>
      </w:pPr>
    </w:p>
    <w:p>
      <w:pPr>
        <w:ind w:right="80" w:firstLine="602"/>
        <w:spacing w:after="0" w:line="277"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 decreased demand for any product candidates or products that we may develop; injury to our reputation and significant negative media attention; withdrawal of clinical trial participants; significant costs to defend the related litigation; substantial monetary awards to trial participants or patients; loss of revenue; reduced resources of our management to pursue our business strategy; and the inability to commercialize any products that we may develop.</w:t>
      </w:r>
    </w:p>
    <w:p>
      <w:pPr>
        <w:spacing w:after="0" w:line="170" w:lineRule="exact"/>
        <w:rPr>
          <w:sz w:val="20"/>
          <w:szCs w:val="20"/>
          <w:color w:val="auto"/>
        </w:rPr>
      </w:pPr>
    </w:p>
    <w:p>
      <w:pPr>
        <w:ind w:right="260" w:firstLine="546"/>
        <w:spacing w:after="0" w:line="262" w:lineRule="auto"/>
        <w:rPr>
          <w:sz w:val="20"/>
          <w:szCs w:val="20"/>
          <w:color w:val="auto"/>
        </w:rPr>
      </w:pPr>
      <w:r>
        <w:rPr>
          <w:rFonts w:ascii="Arial" w:cs="Arial" w:eastAsia="Arial" w:hAnsi="Arial"/>
          <w:sz w:val="17"/>
          <w:szCs w:val="17"/>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Dependence on Third Parties</w:t>
      </w:r>
    </w:p>
    <w:p>
      <w:pPr>
        <w:spacing w:after="0" w:line="120" w:lineRule="exact"/>
        <w:rPr>
          <w:sz w:val="20"/>
          <w:szCs w:val="20"/>
          <w:color w:val="auto"/>
        </w:rPr>
      </w:pPr>
    </w:p>
    <w:p>
      <w:pPr>
        <w:jc w:val="both"/>
        <w:ind w:right="380" w:firstLine="546"/>
        <w:spacing w:after="0" w:line="290"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nonclinical and clinical trials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55" w:lineRule="exact"/>
        <w:rPr>
          <w:sz w:val="20"/>
          <w:szCs w:val="20"/>
          <w:color w:val="auto"/>
        </w:rPr>
      </w:pPr>
    </w:p>
    <w:p>
      <w:pPr>
        <w:ind w:firstLine="546"/>
        <w:spacing w:after="0" w:line="273" w:lineRule="auto"/>
        <w:rPr>
          <w:sz w:val="20"/>
          <w:szCs w:val="20"/>
          <w:color w:val="auto"/>
        </w:rPr>
      </w:pPr>
      <w:r>
        <w:rPr>
          <w:rFonts w:ascii="Arial" w:cs="Arial" w:eastAsia="Arial" w:hAnsi="Arial"/>
          <w:sz w:val="16"/>
          <w:szCs w:val="16"/>
          <w:color w:val="auto"/>
        </w:rPr>
        <w:t>We have utilized, and intend to continue utilizing, third parties to formulate, manufacture, package, and distribute clinical supplies of our drug candidates. We have no experience in manufacturing and do not have any manufacturing facilities. Currently, we rely on third parties for the manufacturing of drug substance and drug product for nonclinical and clinical activities. Our manufacturing vendors utilize proprietary cell culture media, cell lines, buffers, manufacturing equipment, manufacturing supplies, and storage buffers for the manufacturing of AT-1501 and other product candidates. These materials are custom-made and available from only a limited number of sources. Although we believe that our third-party suppliers maintain a significant supply of these materials and equipment on hand, any sustained disruption in this supply, including as a result of operational disruptions related to the ongoing COVID-19 pandemic, could adversely affect our operations. We do not have any long-term agreements in place with our current suppliers. If we are required to change manufacturers, we may experience delays associated with finding an alternate manufacturer that is properly qualified to produce supplies of our products and product candidates in accordance with regulatory requirements and our specifications. Any delays or difficulties in obtaining or in manufacturing, packaging or distributing approved product candidates could negatively impact our clinical trials.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ind w:firstLine="546"/>
        <w:spacing w:after="0" w:line="257" w:lineRule="auto"/>
        <w:rPr>
          <w:sz w:val="20"/>
          <w:szCs w:val="20"/>
          <w:color w:val="auto"/>
        </w:rPr>
      </w:pPr>
      <w:r>
        <w:rPr>
          <w:rFonts w:ascii="Arial" w:cs="Arial" w:eastAsia="Arial" w:hAnsi="Arial"/>
          <w:sz w:val="17"/>
          <w:szCs w:val="17"/>
          <w:color w:val="auto"/>
        </w:rPr>
        <w:t>We expect to rely on third-party manufacturers or third-party collaborators for the manufacture of commercial supply of any other product candidates for which our collaborators or we obtain marketing approval. Despite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In addition, the operations of these third parties have been and may continue to be significantly disrupted by the ongoing COVID-19 pandemic. Any delay or performance failure on the part of our existing or future manufacturers of drug substance or drug products could delay clinical development or marketing approval. We do not currently have arrangements in place for redundant supply. If suppliers cannot supply us with our requirements, we may be required to identify alternative manufacturers, which would lead us to incur added costs and delays in identifying and qualifying any such replacement.</w:t>
      </w:r>
    </w:p>
    <w:p>
      <w:pPr>
        <w:spacing w:after="0" w:line="182" w:lineRule="exact"/>
        <w:rPr>
          <w:sz w:val="20"/>
          <w:szCs w:val="20"/>
          <w:color w:val="auto"/>
        </w:rPr>
      </w:pPr>
    </w:p>
    <w:p>
      <w:pPr>
        <w:jc w:val="both"/>
        <w:ind w:right="240" w:firstLine="546"/>
        <w:spacing w:after="0" w:line="266" w:lineRule="auto"/>
        <w:rPr>
          <w:sz w:val="20"/>
          <w:szCs w:val="20"/>
          <w:color w:val="auto"/>
        </w:rPr>
      </w:pPr>
      <w:r>
        <w:rPr>
          <w:rFonts w:ascii="Arial" w:cs="Arial" w:eastAsia="Arial" w:hAnsi="Arial"/>
          <w:sz w:val="17"/>
          <w:szCs w:val="17"/>
          <w:color w:val="auto"/>
        </w:rPr>
        <w:t>Formulations and devices used in early studies are not final formulations and devices for commercialization. Additional changes may be required by the FDA or other regulatory authorities on specifications and storage conditions. These may require additional studies and may result in a delay in our clinical trials and commercialization activities.</w:t>
      </w:r>
    </w:p>
    <w:p>
      <w:pPr>
        <w:spacing w:after="0" w:line="175" w:lineRule="exact"/>
        <w:rPr>
          <w:sz w:val="20"/>
          <w:szCs w:val="20"/>
          <w:color w:val="auto"/>
        </w:rPr>
      </w:pPr>
    </w:p>
    <w:p>
      <w:pPr>
        <w:jc w:val="both"/>
        <w:ind w:right="200" w:firstLine="546"/>
        <w:spacing w:after="0" w:line="266" w:lineRule="auto"/>
        <w:rPr>
          <w:sz w:val="20"/>
          <w:szCs w:val="20"/>
          <w:color w:val="auto"/>
        </w:rPr>
      </w:pPr>
      <w:r>
        <w:rPr>
          <w:rFonts w:ascii="Arial" w:cs="Arial" w:eastAsia="Arial" w:hAnsi="Arial"/>
          <w:sz w:val="17"/>
          <w:szCs w:val="17"/>
          <w:color w:val="auto"/>
        </w:rPr>
        <w:t>We also expect to rely on other third parties to label,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5" w:lineRule="exact"/>
        <w:rPr>
          <w:sz w:val="20"/>
          <w:szCs w:val="20"/>
          <w:color w:val="auto"/>
        </w:rPr>
      </w:pPr>
    </w:p>
    <w:p>
      <w:pPr>
        <w:ind w:right="100" w:firstLine="546"/>
        <w:spacing w:after="0" w:line="279" w:lineRule="auto"/>
        <w:rPr>
          <w:sz w:val="20"/>
          <w:szCs w:val="20"/>
          <w:color w:val="auto"/>
        </w:rPr>
      </w:pPr>
      <w:r>
        <w:rPr>
          <w:rFonts w:ascii="Arial" w:cs="Arial" w:eastAsia="Arial" w:hAnsi="Arial"/>
          <w:sz w:val="17"/>
          <w:szCs w:val="17"/>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1" w:lineRule="exact"/>
        <w:rPr>
          <w:sz w:val="20"/>
          <w:szCs w:val="20"/>
          <w:color w:val="auto"/>
        </w:rPr>
      </w:pPr>
    </w:p>
    <w:p>
      <w:pPr>
        <w:ind w:left="940" w:hanging="39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39" w:lineRule="exact"/>
        <w:rPr>
          <w:rFonts w:ascii="Arial" w:cs="Arial" w:eastAsia="Arial" w:hAnsi="Arial"/>
          <w:sz w:val="17"/>
          <w:szCs w:val="17"/>
          <w:color w:val="auto"/>
        </w:rPr>
      </w:pPr>
    </w:p>
    <w:p>
      <w:pPr>
        <w:ind w:left="940" w:right="3460" w:hanging="395"/>
        <w:spacing w:after="0" w:line="279" w:lineRule="auto"/>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164" w:lineRule="exact"/>
        <w:rPr>
          <w:sz w:val="20"/>
          <w:szCs w:val="20"/>
          <w:color w:val="auto"/>
        </w:rPr>
      </w:pPr>
    </w:p>
    <w:p>
      <w:pPr>
        <w:ind w:right="280" w:firstLine="546"/>
        <w:spacing w:after="0" w:line="257" w:lineRule="auto"/>
        <w:rPr>
          <w:sz w:val="20"/>
          <w:szCs w:val="20"/>
          <w:color w:val="auto"/>
        </w:rPr>
      </w:pPr>
      <w:r>
        <w:rPr>
          <w:rFonts w:ascii="Arial" w:cs="Arial" w:eastAsia="Arial" w:hAnsi="Arial"/>
          <w:sz w:val="17"/>
          <w:szCs w:val="17"/>
          <w:color w:val="auto"/>
        </w:rPr>
        <w:t>The third parties we rely on for manufacturing and packaging are also subject to regulatory review, and any regulatory compliance problems with these third parties could significantly delay or disrupt our clinical or commercialization activities. 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Additionally, macro-economic conditions may adversely affect these third parties, causing them to suffer liquidity or operational problems. If a key third-party vendor becomes insolvent or is forced to lay off workers assisting with our projects, our results and development timing could suffer.</w:t>
      </w:r>
    </w:p>
    <w:p>
      <w:pPr>
        <w:spacing w:after="0" w:line="182" w:lineRule="exact"/>
        <w:rPr>
          <w:sz w:val="20"/>
          <w:szCs w:val="20"/>
          <w:color w:val="auto"/>
        </w:rPr>
      </w:pPr>
    </w:p>
    <w:p>
      <w:pPr>
        <w:ind w:right="480" w:firstLine="546"/>
        <w:spacing w:after="0" w:line="349" w:lineRule="auto"/>
        <w:rPr>
          <w:sz w:val="20"/>
          <w:szCs w:val="20"/>
          <w:color w:val="auto"/>
        </w:rPr>
      </w:pPr>
      <w:r>
        <w:rPr>
          <w:rFonts w:ascii="Arial" w:cs="Arial" w:eastAsia="Arial" w:hAnsi="Arial"/>
          <w:sz w:val="15"/>
          <w:szCs w:val="15"/>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17"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7" w:lineRule="exact"/>
        <w:rPr>
          <w:sz w:val="20"/>
          <w:szCs w:val="20"/>
          <w:color w:val="auto"/>
        </w:rPr>
      </w:pPr>
    </w:p>
    <w:p>
      <w:pPr>
        <w:ind w:right="640" w:firstLine="546"/>
        <w:spacing w:after="0" w:line="349" w:lineRule="auto"/>
        <w:rPr>
          <w:sz w:val="20"/>
          <w:szCs w:val="20"/>
          <w:color w:val="auto"/>
        </w:rPr>
      </w:pPr>
      <w:r>
        <w:rPr>
          <w:rFonts w:ascii="Arial" w:cs="Arial" w:eastAsia="Arial" w:hAnsi="Arial"/>
          <w:sz w:val="15"/>
          <w:szCs w:val="15"/>
          <w:b w:val="1"/>
          <w:bCs w:val="1"/>
          <w:i w:val="1"/>
          <w:iCs w:val="1"/>
          <w:color w:val="auto"/>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14" w:lineRule="exact"/>
        <w:rPr>
          <w:sz w:val="20"/>
          <w:szCs w:val="20"/>
          <w:color w:val="auto"/>
        </w:rPr>
      </w:pPr>
    </w:p>
    <w:p>
      <w:pPr>
        <w:jc w:val="both"/>
        <w:ind w:right="420" w:firstLine="546"/>
        <w:spacing w:after="0" w:line="307" w:lineRule="auto"/>
        <w:rPr>
          <w:sz w:val="20"/>
          <w:szCs w:val="20"/>
          <w:color w:val="auto"/>
        </w:rPr>
      </w:pPr>
      <w:r>
        <w:rPr>
          <w:rFonts w:ascii="Arial" w:cs="Arial" w:eastAsia="Arial" w:hAnsi="Arial"/>
          <w:sz w:val="15"/>
          <w:szCs w:val="15"/>
          <w:color w:val="auto"/>
        </w:rPr>
        <w:t>The nature of outsourcing a substantial portion of our business will require that we rely on CROs and other contractors to assist us with research and development, clinical testing activities, patient enrollment, data collection, and regulatory submissions to the FDA or other regulatory bodies. As a result, our success will depend partially on the success of these third parties in performing their responsibilities. Although we intend to pre-qualify our CROs and other contractors and we believe that the contractors selected will be fully capable of performing their contractual obligations, we cannot directly control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right="40"/>
        <w:spacing w:after="0" w:line="262" w:lineRule="auto"/>
        <w:rPr>
          <w:sz w:val="20"/>
          <w:szCs w:val="20"/>
          <w:color w:val="auto"/>
        </w:rPr>
      </w:pPr>
      <w:r>
        <w:rPr>
          <w:rFonts w:ascii="Arial" w:cs="Arial" w:eastAsia="Arial" w:hAnsi="Arial"/>
          <w:sz w:val="17"/>
          <w:szCs w:val="17"/>
          <w:color w:val="auto"/>
        </w:rPr>
        <w:t>adequacy and timeliness of the resources and expertise that they apply to these activities. Additionally, macro-economic conditions may affect our development partners and vendors, which could adversely affect their ability to timely perform their tasks. If our contractors do not perform their obligations in an adequate and timely manner, the pace of clinical development, regulatory approval and commercialization of our drug candidates could be significantly delayed, and our prospects could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Intellectual Property</w:t>
      </w:r>
    </w:p>
    <w:p>
      <w:pPr>
        <w:spacing w:after="0" w:line="120" w:lineRule="exact"/>
        <w:rPr>
          <w:sz w:val="20"/>
          <w:szCs w:val="20"/>
          <w:color w:val="auto"/>
        </w:rPr>
      </w:pPr>
    </w:p>
    <w:p>
      <w:pPr>
        <w:ind w:right="200" w:firstLine="546"/>
        <w:spacing w:after="0" w:line="266" w:lineRule="auto"/>
        <w:rPr>
          <w:sz w:val="20"/>
          <w:szCs w:val="20"/>
          <w:color w:val="auto"/>
        </w:rPr>
      </w:pPr>
      <w:r>
        <w:rPr>
          <w:rFonts w:ascii="Arial" w:cs="Arial" w:eastAsia="Arial" w:hAnsi="Arial"/>
          <w:sz w:val="17"/>
          <w:szCs w:val="17"/>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72" w:lineRule="exact"/>
        <w:rPr>
          <w:sz w:val="20"/>
          <w:szCs w:val="20"/>
          <w:color w:val="auto"/>
        </w:rPr>
      </w:pPr>
    </w:p>
    <w:p>
      <w:pPr>
        <w:ind w:right="220" w:firstLine="546"/>
        <w:spacing w:after="0" w:line="262" w:lineRule="auto"/>
        <w:rPr>
          <w:sz w:val="20"/>
          <w:szCs w:val="20"/>
          <w:color w:val="auto"/>
        </w:rPr>
      </w:pPr>
      <w:r>
        <w:rPr>
          <w:rFonts w:ascii="Arial" w:cs="Arial" w:eastAsia="Arial" w:hAnsi="Arial"/>
          <w:sz w:val="17"/>
          <w:szCs w:val="17"/>
          <w:color w:val="auto"/>
        </w:rPr>
        <w:t>Our success depends in large part on our ability to obtain and maintain patent protection in relevant countries with respect to our proprietary technology and products. We seek to protect our proprietary position by filing patent applications in the United States and internationally that are related to our novel technologies and product candidates. This patent portfolio includes issued patents and pending patent applications covering pharmaceutical compositions and methods of use.</w:t>
      </w:r>
    </w:p>
    <w:p>
      <w:pPr>
        <w:spacing w:after="0" w:line="178" w:lineRule="exact"/>
        <w:rPr>
          <w:sz w:val="20"/>
          <w:szCs w:val="20"/>
          <w:color w:val="auto"/>
        </w:rPr>
      </w:pPr>
    </w:p>
    <w:p>
      <w:pPr>
        <w:ind w:firstLine="546"/>
        <w:spacing w:after="0" w:line="299" w:lineRule="auto"/>
        <w:rPr>
          <w:sz w:val="20"/>
          <w:szCs w:val="20"/>
          <w:color w:val="auto"/>
        </w:rPr>
      </w:pPr>
      <w:r>
        <w:rPr>
          <w:rFonts w:ascii="Arial" w:cs="Arial" w:eastAsia="Arial" w:hAnsi="Arial"/>
          <w:sz w:val="15"/>
          <w:szCs w:val="15"/>
          <w:color w:val="auto"/>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nonclinical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55" w:lineRule="exact"/>
        <w:rPr>
          <w:sz w:val="20"/>
          <w:szCs w:val="20"/>
          <w:color w:val="auto"/>
        </w:rPr>
      </w:pPr>
    </w:p>
    <w:p>
      <w:pPr>
        <w:ind w:firstLine="546"/>
        <w:spacing w:after="0" w:line="256"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United States and other countries may diminish the value of our patents or narrow the scope of our patent protection.</w:t>
      </w:r>
    </w:p>
    <w:p>
      <w:pPr>
        <w:spacing w:after="0" w:line="184" w:lineRule="exact"/>
        <w:rPr>
          <w:sz w:val="20"/>
          <w:szCs w:val="20"/>
          <w:color w:val="auto"/>
        </w:rPr>
      </w:pPr>
    </w:p>
    <w:p>
      <w:pPr>
        <w:ind w:right="260" w:firstLine="546"/>
        <w:spacing w:after="0" w:line="259" w:lineRule="auto"/>
        <w:rPr>
          <w:sz w:val="20"/>
          <w:szCs w:val="20"/>
          <w:color w:val="auto"/>
        </w:rPr>
      </w:pPr>
      <w:r>
        <w:rPr>
          <w:rFonts w:ascii="Arial" w:cs="Arial" w:eastAsia="Arial" w:hAnsi="Arial"/>
          <w:sz w:val="17"/>
          <w:szCs w:val="17"/>
          <w:color w:val="auto"/>
        </w:rPr>
        <w:t>The risks described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spacing w:after="0" w:line="80" w:lineRule="exact"/>
        <w:rPr>
          <w:sz w:val="20"/>
          <w:szCs w:val="20"/>
          <w:color w:val="auto"/>
        </w:rPr>
      </w:pPr>
    </w:p>
    <w:p>
      <w:pPr>
        <w:ind w:right="100" w:firstLine="546"/>
        <w:spacing w:after="0" w:line="262" w:lineRule="auto"/>
        <w:rPr>
          <w:sz w:val="20"/>
          <w:szCs w:val="20"/>
          <w:color w:val="auto"/>
        </w:rPr>
      </w:pPr>
      <w:r>
        <w:rPr>
          <w:rFonts w:ascii="Arial" w:cs="Arial" w:eastAsia="Arial" w:hAnsi="Arial"/>
          <w:sz w:val="17"/>
          <w:szCs w:val="17"/>
          <w:color w:val="auto"/>
        </w:rPr>
        <w:t>The USPTO and various non-U.S. governmental patent agencies require compliance with several procedural, documentary, fee payment and other similar provisions during the patent application process. In certain situations,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0" w:name="page41"/>
    <w:bookmarkEnd w:id="40"/>
    <w:p>
      <w:pPr>
        <w:ind w:right="80" w:firstLine="546"/>
        <w:spacing w:after="0" w:line="299" w:lineRule="auto"/>
        <w:rPr>
          <w:sz w:val="20"/>
          <w:szCs w:val="20"/>
          <w:color w:val="auto"/>
        </w:rPr>
      </w:pPr>
      <w:r>
        <w:rPr>
          <w:rFonts w:ascii="Arial" w:cs="Arial" w:eastAsia="Arial" w:hAnsi="Arial"/>
          <w:sz w:val="15"/>
          <w:szCs w:val="15"/>
          <w:color w:val="auto"/>
        </w:rPr>
        <w:t>In addition, we have acquired rights to AT-1501 and other product candidates through a license agreement with The ALS Therapy Development Institute, and may in the future enter into other license agreements with third parties for other intellectual property rights or assets. These license agreements may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than if we had developed the licensed technology internally.</w:t>
      </w:r>
    </w:p>
    <w:p>
      <w:pPr>
        <w:spacing w:after="0" w:line="155" w:lineRule="exact"/>
        <w:rPr>
          <w:sz w:val="20"/>
          <w:szCs w:val="20"/>
          <w:color w:val="auto"/>
        </w:rPr>
      </w:pPr>
    </w:p>
    <w:p>
      <w:pPr>
        <w:ind w:firstLine="546"/>
        <w:spacing w:after="0" w:line="277" w:lineRule="auto"/>
        <w:rPr>
          <w:sz w:val="20"/>
          <w:szCs w:val="20"/>
          <w:color w:val="auto"/>
        </w:rPr>
      </w:pPr>
      <w:r>
        <w:rPr>
          <w:rFonts w:ascii="Arial" w:cs="Arial" w:eastAsia="Arial" w:hAnsi="Arial"/>
          <w:sz w:val="16"/>
          <w:szCs w:val="16"/>
          <w:color w:val="auto"/>
        </w:rPr>
        <w:t>In some cases, patent prosecution of our licensed technology may be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may control the prosecution of patents resulting from licensed technology. In the event we breach any of our obligations related to such prosecution, we may incur significant liability to our licensing partners. 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273" w:lineRule="exact"/>
        <w:rPr>
          <w:sz w:val="20"/>
          <w:szCs w:val="20"/>
          <w:color w:val="auto"/>
        </w:rPr>
      </w:pPr>
    </w:p>
    <w:p>
      <w:pPr>
        <w:ind w:right="300" w:firstLine="546"/>
        <w:spacing w:after="0" w:line="279"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which could be expensive, time-consuming and unsuccessful.</w:t>
      </w:r>
    </w:p>
    <w:p>
      <w:pPr>
        <w:spacing w:after="0" w:line="164" w:lineRule="exact"/>
        <w:rPr>
          <w:sz w:val="20"/>
          <w:szCs w:val="20"/>
          <w:color w:val="auto"/>
        </w:rPr>
      </w:pPr>
    </w:p>
    <w:p>
      <w:pPr>
        <w:ind w:right="260" w:firstLine="602"/>
        <w:spacing w:after="0" w:line="279"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68" w:lineRule="exact"/>
        <w:rPr>
          <w:sz w:val="20"/>
          <w:szCs w:val="20"/>
          <w:color w:val="auto"/>
        </w:rPr>
      </w:pPr>
    </w:p>
    <w:p>
      <w:pPr>
        <w:ind w:right="20" w:firstLine="703"/>
        <w:spacing w:after="0" w:line="276"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9" w:lineRule="exact"/>
        <w:rPr>
          <w:sz w:val="20"/>
          <w:szCs w:val="20"/>
          <w:color w:val="auto"/>
        </w:rPr>
      </w:pPr>
    </w:p>
    <w:p>
      <w:pPr>
        <w:ind w:right="60" w:firstLine="802"/>
        <w:spacing w:after="0" w:line="274" w:lineRule="auto"/>
        <w:rPr>
          <w:sz w:val="20"/>
          <w:szCs w:val="20"/>
          <w:color w:val="auto"/>
        </w:rPr>
      </w:pPr>
      <w:r>
        <w:rPr>
          <w:rFonts w:ascii="Arial" w:cs="Arial" w:eastAsia="Arial" w:hAnsi="Arial"/>
          <w:sz w:val="16"/>
          <w:szCs w:val="16"/>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275"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b w:val="1"/>
          <w:bCs w:val="1"/>
          <w:i w:val="1"/>
          <w:iCs w:val="1"/>
          <w:color w:val="auto"/>
        </w:rPr>
        <w:t>We may need to license certain intellectual property from third parties, and such licenses may not be available or may not be available on commercially reasonable terms.</w:t>
      </w:r>
    </w:p>
    <w:p>
      <w:pPr>
        <w:spacing w:after="0" w:line="61" w:lineRule="exact"/>
        <w:rPr>
          <w:sz w:val="20"/>
          <w:szCs w:val="20"/>
          <w:color w:val="auto"/>
        </w:rPr>
      </w:pPr>
    </w:p>
    <w:p>
      <w:pPr>
        <w:ind w:right="480" w:firstLine="546"/>
        <w:spacing w:after="0" w:line="26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ind w:right="100"/>
        <w:spacing w:after="0" w:line="279" w:lineRule="auto"/>
        <w:rPr>
          <w:sz w:val="20"/>
          <w:szCs w:val="20"/>
          <w:color w:val="auto"/>
        </w:rPr>
      </w:pPr>
      <w:r>
        <w:rPr>
          <w:rFonts w:ascii="Arial" w:cs="Arial" w:eastAsia="Arial" w:hAnsi="Arial"/>
          <w:sz w:val="17"/>
          <w:szCs w:val="17"/>
          <w:color w:val="auto"/>
        </w:rPr>
        <w:t>or our business could be harmed, possibly materially. If we were not able to obtain a license, or are not able to obtain a license on commercially reasonable terms, our business could be harmed, possibly materially.</w:t>
      </w:r>
    </w:p>
    <w:p>
      <w:pPr>
        <w:spacing w:after="0" w:line="26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4" w:lineRule="exact"/>
        <w:rPr>
          <w:sz w:val="20"/>
          <w:szCs w:val="20"/>
          <w:color w:val="auto"/>
        </w:rPr>
      </w:pPr>
    </w:p>
    <w:p>
      <w:pPr>
        <w:ind w:right="60" w:firstLine="546"/>
        <w:spacing w:after="0" w:line="256"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Any NDAs or similar agreements entered into by the Company may not be with all relevant parties, or adequately protect the confidentiality of our trade secrets.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of misappropriation of trade secrets from former employers of Company personnel.</w:t>
      </w:r>
    </w:p>
    <w:p>
      <w:pPr>
        <w:spacing w:after="0" w:line="217" w:lineRule="exact"/>
        <w:rPr>
          <w:sz w:val="20"/>
          <w:szCs w:val="20"/>
          <w:color w:val="auto"/>
        </w:rPr>
      </w:pPr>
    </w:p>
    <w:p>
      <w:pPr>
        <w:ind w:right="20" w:firstLine="602"/>
        <w:spacing w:after="0" w:line="277" w:lineRule="auto"/>
        <w:rPr>
          <w:sz w:val="20"/>
          <w:szCs w:val="20"/>
          <w:color w:val="auto"/>
        </w:rPr>
      </w:pPr>
      <w:r>
        <w:rPr>
          <w:rFonts w:ascii="Arial" w:cs="Arial" w:eastAsia="Arial" w:hAnsi="Arial"/>
          <w:sz w:val="16"/>
          <w:szCs w:val="16"/>
          <w:color w:val="auto"/>
        </w:rPr>
        <w:t>Many of our employees and certain of our directors were previously employed at or affiliated with research foundations or other biotechnology or pharmaceutical companies. Although we try to ensure that our employees and directors do not use the proprietary information or know-how of others in their work for us, we may be subject to claims that we or these employees or directors have used or disclosed intellectual property, including trade secrets or other proprietary information, of any such employee’s or director’s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Common Stock</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We expect our stock price to be volatile, and the market price of our common stock may drop unexpectedly.</w:t>
      </w:r>
    </w:p>
    <w:p>
      <w:pPr>
        <w:spacing w:after="0" w:line="114" w:lineRule="exact"/>
        <w:rPr>
          <w:sz w:val="20"/>
          <w:szCs w:val="20"/>
          <w:color w:val="auto"/>
        </w:rPr>
      </w:pPr>
    </w:p>
    <w:p>
      <w:pPr>
        <w:ind w:right="500" w:firstLine="546"/>
        <w:spacing w:after="0" w:line="266" w:lineRule="auto"/>
        <w:rPr>
          <w:sz w:val="20"/>
          <w:szCs w:val="20"/>
          <w:color w:val="auto"/>
        </w:rPr>
      </w:pPr>
      <w:r>
        <w:rPr>
          <w:rFonts w:ascii="Arial" w:cs="Arial" w:eastAsia="Arial" w:hAnsi="Arial"/>
          <w:sz w:val="17"/>
          <w:szCs w:val="17"/>
          <w:color w:val="auto"/>
        </w:rPr>
        <w:t>The market price of our common stock could be subject to significant fluctuations. Market prices for securities of early-stage pharmaceutical, biopharmaceutical, and other life sciences companies have historically been particularly volatile. Some of the factors that may cause the market price of our common stock to fluctuate include:</w:t>
      </w:r>
    </w:p>
    <w:p>
      <w:pPr>
        <w:spacing w:after="0" w:line="72" w:lineRule="exact"/>
        <w:rPr>
          <w:sz w:val="20"/>
          <w:szCs w:val="20"/>
          <w:color w:val="auto"/>
        </w:rPr>
      </w:pPr>
    </w:p>
    <w:p>
      <w:pPr>
        <w:ind w:left="940" w:hanging="395"/>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obtain regulatory approvals for our product candidates or other product candidates, and delays or failures to obtain such approvals;</w:t>
      </w:r>
    </w:p>
    <w:p>
      <w:pPr>
        <w:spacing w:after="0" w:line="151" w:lineRule="exact"/>
        <w:rPr>
          <w:rFonts w:ascii="Arial" w:cs="Arial" w:eastAsia="Arial" w:hAnsi="Arial"/>
          <w:sz w:val="16"/>
          <w:szCs w:val="16"/>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failure of any of our product candidates, if approved, to achieve commercial success;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issues in manufacturing our approved products, if any, or product candidates;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results of our current and any future clinical trials of our product candidates;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entry into, or termination of, key agreements, including key commercial partner agreements;</w:t>
      </w:r>
    </w:p>
    <w:p>
      <w:pPr>
        <w:spacing w:after="0" w:line="139" w:lineRule="exact"/>
        <w:rPr>
          <w:rFonts w:ascii="Arial" w:cs="Arial" w:eastAsia="Arial" w:hAnsi="Arial"/>
          <w:sz w:val="17"/>
          <w:szCs w:val="17"/>
          <w:color w:val="auto"/>
        </w:rPr>
      </w:pPr>
    </w:p>
    <w:p>
      <w:pPr>
        <w:ind w:left="940" w:hanging="395"/>
        <w:spacing w:after="0" w:line="279"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initiation of, material developments in, or conclusion of litigation to enforce or defend any of our intellectual property rights or defend against the intellectual property rights of others;</w:t>
      </w:r>
    </w:p>
    <w:p>
      <w:pPr>
        <w:spacing w:after="0" w:line="61" w:lineRule="exact"/>
        <w:rPr>
          <w:rFonts w:ascii="Arial" w:cs="Arial" w:eastAsia="Arial" w:hAnsi="Arial"/>
          <w:sz w:val="17"/>
          <w:szCs w:val="17"/>
          <w:color w:val="auto"/>
        </w:rPr>
      </w:pPr>
    </w:p>
    <w:p>
      <w:pPr>
        <w:ind w:left="940" w:right="420" w:hanging="395"/>
        <w:spacing w:after="0" w:line="279"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commercial partners or competitors of new commercial products, clinical progress, or the lack thereof, significant contracts, commercial relationships, or capital commitments;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introduction of technological innovations or new therapies that compete with our potential products;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loss of key employees;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estimates or recommendations by securities analysts, if any, who cover our common stock;</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and industry-specific economic conditions that may affect our research and development expenditures;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and</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2" w:name="page43"/>
    <w:bookmarkEnd w:id="42"/>
    <w:p>
      <w:pPr>
        <w:ind w:left="940" w:hanging="395"/>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period-to-period fluctuations in our financial results.</w:t>
      </w:r>
    </w:p>
    <w:p>
      <w:pPr>
        <w:spacing w:after="0" w:line="243" w:lineRule="exact"/>
        <w:rPr>
          <w:sz w:val="20"/>
          <w:szCs w:val="20"/>
          <w:color w:val="auto"/>
        </w:rPr>
      </w:pPr>
    </w:p>
    <w:p>
      <w:pPr>
        <w:ind w:right="300" w:firstLine="546"/>
        <w:spacing w:after="0" w:line="279" w:lineRule="auto"/>
        <w:rPr>
          <w:sz w:val="20"/>
          <w:szCs w:val="20"/>
          <w:color w:val="auto"/>
        </w:rPr>
      </w:pPr>
      <w:r>
        <w:rPr>
          <w:rFonts w:ascii="Arial" w:cs="Arial" w:eastAsia="Arial" w:hAnsi="Arial"/>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61" w:lineRule="exact"/>
        <w:rPr>
          <w:sz w:val="20"/>
          <w:szCs w:val="20"/>
          <w:color w:val="auto"/>
        </w:rPr>
      </w:pPr>
    </w:p>
    <w:p>
      <w:pPr>
        <w:ind w:right="60" w:firstLine="546"/>
        <w:spacing w:after="0" w:line="266" w:lineRule="auto"/>
        <w:rPr>
          <w:sz w:val="20"/>
          <w:szCs w:val="20"/>
          <w:color w:val="auto"/>
        </w:rPr>
      </w:pPr>
      <w:r>
        <w:rPr>
          <w:rFonts w:ascii="Arial" w:cs="Arial" w:eastAsia="Arial" w:hAnsi="Arial"/>
          <w:sz w:val="17"/>
          <w:szCs w:val="17"/>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278" w:lineRule="exact"/>
        <w:rPr>
          <w:sz w:val="20"/>
          <w:szCs w:val="20"/>
          <w:color w:val="auto"/>
        </w:rPr>
      </w:pPr>
    </w:p>
    <w:p>
      <w:pPr>
        <w:ind w:right="160" w:firstLine="546"/>
        <w:spacing w:after="0" w:line="279" w:lineRule="auto"/>
        <w:rPr>
          <w:sz w:val="20"/>
          <w:szCs w:val="20"/>
          <w:color w:val="auto"/>
        </w:rPr>
      </w:pPr>
      <w:r>
        <w:rPr>
          <w:rFonts w:ascii="Arial" w:cs="Arial" w:eastAsia="Arial" w:hAnsi="Arial"/>
          <w:sz w:val="17"/>
          <w:szCs w:val="17"/>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1" w:lineRule="exact"/>
        <w:rPr>
          <w:sz w:val="20"/>
          <w:szCs w:val="20"/>
          <w:color w:val="auto"/>
        </w:rPr>
      </w:pPr>
    </w:p>
    <w:p>
      <w:pPr>
        <w:ind w:right="80" w:firstLine="546"/>
        <w:spacing w:after="0" w:line="262" w:lineRule="auto"/>
        <w:rPr>
          <w:sz w:val="20"/>
          <w:szCs w:val="20"/>
          <w:color w:val="auto"/>
        </w:rPr>
      </w:pPr>
      <w:r>
        <w:rPr>
          <w:rFonts w:ascii="Arial" w:cs="Arial" w:eastAsia="Arial" w:hAnsi="Arial"/>
          <w:sz w:val="17"/>
          <w:szCs w:val="17"/>
          <w:color w:val="auto"/>
        </w:rPr>
        <w:t>Ensuring that we will have adequate internal financial and accounting controls and procedures in place so that we can produce accurate financial statements on a timely basis is a costly and time-consuming effort that needs to be re-evaluated frequently. Internal control over financial reporting is a process designed to provide reasonable assurance regarding the reliability of financial reporting and the preparation of financial statements in accordance with accounting principles generally accepted in the United States (“GAAP”).</w:t>
      </w:r>
    </w:p>
    <w:p>
      <w:pPr>
        <w:spacing w:after="0" w:line="178" w:lineRule="exact"/>
        <w:rPr>
          <w:sz w:val="20"/>
          <w:szCs w:val="20"/>
          <w:color w:val="auto"/>
        </w:rPr>
      </w:pPr>
    </w:p>
    <w:p>
      <w:pPr>
        <w:ind w:right="60" w:firstLine="546"/>
        <w:spacing w:after="0" w:line="262" w:lineRule="auto"/>
        <w:rPr>
          <w:sz w:val="20"/>
          <w:szCs w:val="20"/>
          <w:color w:val="auto"/>
        </w:rPr>
      </w:pPr>
      <w:r>
        <w:rPr>
          <w:rFonts w:ascii="Arial" w:cs="Arial" w:eastAsia="Arial" w:hAnsi="Arial"/>
          <w:sz w:val="17"/>
          <w:szCs w:val="17"/>
          <w:color w:val="auto"/>
        </w:rPr>
        <w:t>If we are unable to successfully maintain internal controls over financial reporting, the accuracy and timing of our financial reporting, and our stock price, may be adversely affected and we may be unable to maintain compliance with the applicable stock exchange listing requirements. Additionally, as we become a larger company, we will become subject to Section 404(b) of the Sarbanes-Oxley Act, which requires our independent auditors to document and test our internal controls. These additional requirements are costly, and our auditors may identify control deficiencies.</w:t>
      </w:r>
    </w:p>
    <w:p>
      <w:pPr>
        <w:spacing w:after="0" w:line="178" w:lineRule="exact"/>
        <w:rPr>
          <w:sz w:val="20"/>
          <w:szCs w:val="20"/>
          <w:color w:val="auto"/>
        </w:rPr>
      </w:pPr>
    </w:p>
    <w:p>
      <w:pPr>
        <w:ind w:firstLine="546"/>
        <w:spacing w:after="0" w:line="279" w:lineRule="auto"/>
        <w:rPr>
          <w:sz w:val="20"/>
          <w:szCs w:val="20"/>
          <w:color w:val="auto"/>
        </w:rPr>
      </w:pPr>
      <w:r>
        <w:rPr>
          <w:rFonts w:ascii="Arial" w:cs="Arial" w:eastAsia="Arial" w:hAnsi="Arial"/>
          <w:sz w:val="16"/>
          <w:szCs w:val="16"/>
          <w:color w:val="auto"/>
        </w:rPr>
        <w:t>Implementing any appropriate changes to our internal controls may distract the officers and employees of the Company, entail substantial costs to modify its existing processes and take significant time to complete. These changes may not, however, be effective in maintaining the adequacy of the internal controls of the Company, and any failure to maintain that adequacy, or consequent inability to produce accurate financial statements on a timely basis, could increase operating costs and harm the business. In addition, investors’ perceptions that the internal controls of the Company are inadequate or that we are unable to produce accurate financial statements on a timely basis may harm the stock price of the Company.</w:t>
      </w:r>
    </w:p>
    <w:p>
      <w:pPr>
        <w:spacing w:after="0" w:line="271" w:lineRule="exact"/>
        <w:rPr>
          <w:sz w:val="20"/>
          <w:szCs w:val="20"/>
          <w:color w:val="auto"/>
        </w:rPr>
      </w:pPr>
    </w:p>
    <w:p>
      <w:pPr>
        <w:ind w:right="220" w:firstLine="546"/>
        <w:spacing w:after="0" w:line="31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the Company, which may be beneficial to our stockholders, more difficult and may prevent attempts by our stockholders to replace or remove our current management.</w:t>
      </w:r>
    </w:p>
    <w:p>
      <w:pPr>
        <w:spacing w:after="0" w:line="37" w:lineRule="exact"/>
        <w:rPr>
          <w:sz w:val="20"/>
          <w:szCs w:val="20"/>
          <w:color w:val="auto"/>
        </w:rPr>
      </w:pPr>
    </w:p>
    <w:p>
      <w:pPr>
        <w:ind w:right="20" w:firstLine="546"/>
        <w:spacing w:after="0" w:line="258" w:lineRule="auto"/>
        <w:rPr>
          <w:sz w:val="20"/>
          <w:szCs w:val="20"/>
          <w:color w:val="auto"/>
        </w:rPr>
      </w:pPr>
      <w:r>
        <w:rPr>
          <w:rFonts w:ascii="Arial" w:cs="Arial" w:eastAsia="Arial" w:hAnsi="Arial"/>
          <w:sz w:val="17"/>
          <w:szCs w:val="17"/>
          <w:color w:val="auto"/>
        </w:rPr>
        <w:t>Provisions in our corporate charter and bylaws may discourage, delay or prevent a merger, acquisition or other change in control of the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the board of directors is responsible for appointing the members of our management team, these provisions may frustrate or prevent any attempts by stockholders to replace or remove the current management by making it more difficult for stockholders to replace members of the board of directors. Among other things, these provisions:</w:t>
      </w:r>
    </w:p>
    <w:p>
      <w:pPr>
        <w:spacing w:after="0" w:line="80" w:lineRule="exact"/>
        <w:rPr>
          <w:sz w:val="20"/>
          <w:szCs w:val="20"/>
          <w:color w:val="auto"/>
        </w:rPr>
      </w:pPr>
    </w:p>
    <w:p>
      <w:pPr>
        <w:ind w:left="940" w:hanging="395"/>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139" w:lineRule="exact"/>
        <w:rPr>
          <w:rFonts w:ascii="Arial" w:cs="Arial" w:eastAsia="Arial" w:hAnsi="Arial"/>
          <w:sz w:val="17"/>
          <w:szCs w:val="17"/>
          <w:color w:val="auto"/>
        </w:rPr>
      </w:pPr>
    </w:p>
    <w:p>
      <w:pPr>
        <w:ind w:left="940" w:hanging="395"/>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 the manner in which stockholders can remove directors from the board;</w:t>
      </w:r>
    </w:p>
    <w:p>
      <w:pPr>
        <w:spacing w:after="0" w:line="139" w:lineRule="exact"/>
        <w:rPr>
          <w:rFonts w:ascii="Arial" w:cs="Arial" w:eastAsia="Arial" w:hAnsi="Arial"/>
          <w:sz w:val="17"/>
          <w:szCs w:val="17"/>
          <w:color w:val="auto"/>
        </w:rPr>
      </w:pPr>
    </w:p>
    <w:p>
      <w:pPr>
        <w:ind w:left="940" w:right="520" w:hanging="395"/>
        <w:spacing w:after="0" w:line="279" w:lineRule="auto"/>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61" w:lineRule="exact"/>
        <w:rPr>
          <w:rFonts w:ascii="Arial" w:cs="Arial" w:eastAsia="Arial" w:hAnsi="Arial"/>
          <w:sz w:val="17"/>
          <w:szCs w:val="17"/>
          <w:color w:val="auto"/>
        </w:rPr>
      </w:pPr>
    </w:p>
    <w:p>
      <w:pPr>
        <w:ind w:left="940" w:hanging="395"/>
        <w:spacing w:after="0"/>
        <w:tabs>
          <w:tab w:leader="none" w:pos="9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require that stockholder actions must be effected at a duly called stockholder meeting and prohibit actions by our stockholders by written consent;</w:t>
      </w:r>
    </w:p>
    <w:p>
      <w:pPr>
        <w:spacing w:after="0" w:line="162" w:lineRule="exact"/>
        <w:rPr>
          <w:rFonts w:ascii="Arial" w:cs="Arial" w:eastAsia="Arial" w:hAnsi="Arial"/>
          <w:sz w:val="15"/>
          <w:szCs w:val="15"/>
          <w:color w:val="auto"/>
        </w:rPr>
      </w:pPr>
    </w:p>
    <w:p>
      <w:pPr>
        <w:ind w:left="940" w:hanging="395"/>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 who may call stockholder meetings;</w:t>
      </w:r>
    </w:p>
    <w:p>
      <w:pPr>
        <w:spacing w:after="0" w:line="139" w:lineRule="exact"/>
        <w:rPr>
          <w:rFonts w:ascii="Arial" w:cs="Arial" w:eastAsia="Arial" w:hAnsi="Arial"/>
          <w:sz w:val="17"/>
          <w:szCs w:val="17"/>
          <w:color w:val="auto"/>
        </w:rPr>
      </w:pPr>
    </w:p>
    <w:p>
      <w:pPr>
        <w:jc w:val="both"/>
        <w:ind w:left="940" w:right="280" w:hanging="395"/>
        <w:spacing w:after="0" w:line="266" w:lineRule="auto"/>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authorize the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43" w:name="page44"/>
    <w:bookmarkEnd w:id="43"/>
    <w:p>
      <w:pPr>
        <w:ind w:left="940" w:right="740" w:hanging="395"/>
        <w:spacing w:after="0" w:line="279" w:lineRule="auto"/>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the approval of the holders of at least 75% of the votes that all our stockholders would be entitled to cast to amend or repeal certain provisions of the Company’s charter or bylaws.</w:t>
      </w:r>
    </w:p>
    <w:p>
      <w:pPr>
        <w:spacing w:after="0" w:line="26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We do not expect to pay any cash dividends in the foreseeable future.</w:t>
      </w:r>
    </w:p>
    <w:p>
      <w:pPr>
        <w:spacing w:after="0" w:line="114"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We expect to retain our future earnings to fund the development and growth of our business. As a result, capital appreciation, if any, of our common stock will be the sole source of gain, if any, for any stockholders for the foreseeable future.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0" w:lineRule="exact"/>
        <w:rPr>
          <w:sz w:val="20"/>
          <w:szCs w:val="20"/>
          <w:color w:val="auto"/>
        </w:rPr>
      </w:pPr>
    </w:p>
    <w:p>
      <w:pPr>
        <w:ind w:right="260" w:firstLine="546"/>
        <w:spacing w:after="0" w:line="349" w:lineRule="auto"/>
        <w:rPr>
          <w:sz w:val="20"/>
          <w:szCs w:val="20"/>
          <w:color w:val="auto"/>
        </w:rPr>
      </w:pPr>
      <w:r>
        <w:rPr>
          <w:rFonts w:ascii="Arial" w:cs="Arial" w:eastAsia="Arial" w:hAnsi="Arial"/>
          <w:sz w:val="15"/>
          <w:szCs w:val="15"/>
          <w:color w:val="auto"/>
        </w:rPr>
        <w:t>Our executive offices are located in Irvine, California. We lease approximately 5,197 square feet of office space under an operating lease that expires in September 2021. Additionally, the Company has operating leases for four serviced office spaces in Burlington, Massachusetts that expire on June 30, 2021.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0" w:lineRule="exact"/>
        <w:rPr>
          <w:sz w:val="20"/>
          <w:szCs w:val="20"/>
          <w:color w:val="auto"/>
        </w:rPr>
      </w:pPr>
    </w:p>
    <w:p>
      <w:pPr>
        <w:ind w:right="600" w:firstLine="546"/>
        <w:spacing w:after="0" w:line="279" w:lineRule="auto"/>
        <w:rPr>
          <w:sz w:val="20"/>
          <w:szCs w:val="20"/>
          <w:color w:val="auto"/>
        </w:rPr>
      </w:pPr>
      <w:r>
        <w:rPr>
          <w:rFonts w:ascii="Arial" w:cs="Arial" w:eastAsia="Arial" w:hAnsi="Arial"/>
          <w:sz w:val="17"/>
          <w:szCs w:val="17"/>
          <w:color w:val="auto"/>
        </w:rPr>
        <w:t>Information pertaining to legal proceedings is provided under the heading “Legal Proceedings” in Note 5, Commitments and Contingencies, to the consolidated financial statements and is incorporated by reference herein.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common stock is traded on the Nasdaq Capital Market under the symbol “ELDN”.</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March 23, 2021, there were approximately 87 stockholders of record of our common stock.</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0"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We have never declared or paid, and do not anticipate declaring or paying in the foreseeable future, any cash dividends on our common stock. Future determination as to the declaration and payment of dividends, if any, will be at the discretion of our board of directors and will depend on then existing conditions, including our operating results, financial condition, contractual restrictions, capital requirements, business prospects and other factors that our board of directors may deem relevant.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20"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Per §229.301 of Regulation S-K, the Company, designated a Smaller Reporting Company as defined in §229.10(f)(1) of Regulation S-K, is not required to provide the disclosure required by this Item.</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0" w:lineRule="exact"/>
        <w:rPr>
          <w:sz w:val="20"/>
          <w:szCs w:val="20"/>
          <w:color w:val="auto"/>
        </w:rPr>
      </w:pPr>
    </w:p>
    <w:p>
      <w:pPr>
        <w:ind w:right="100" w:firstLine="546"/>
        <w:spacing w:after="0" w:line="294" w:lineRule="auto"/>
        <w:rPr>
          <w:sz w:val="20"/>
          <w:szCs w:val="20"/>
          <w:color w:val="auto"/>
        </w:rPr>
      </w:pPr>
      <w:r>
        <w:rPr>
          <w:rFonts w:ascii="Arial" w:cs="Arial" w:eastAsia="Arial" w:hAnsi="Arial"/>
          <w:sz w:val="15"/>
          <w:szCs w:val="15"/>
          <w:i w:val="1"/>
          <w:iCs w:val="1"/>
          <w:color w:val="auto"/>
        </w:rPr>
        <w:t>Management’s Discussion and Analysis of Financial Condition and Results of Operations is intended to help the reader understand the results of operations and financial condition of the Company. The Management’s Discussion and Analysis of Financial Condition and Results of Operations should be read in conjunction with our audited consolidated financial statements and notes thereto for the year ended December 31, 2020. In addition to historical information, this Annual Report on Form 10-K contains forward-looking statements within the meaning of Section 27A of the Securities Act of 1933, as amended, and Section 21E of the Securities Exchange Act of 1934, as amended, which are intended to be covered by the safe harbors created thereby. See “Cautionary Note Regarding Forward-Looking Statements” in this report. Our actual results and the timing of events could differ materially from those discussed in our forward-looking statements as a result of many factors, including those set forth under the Part I, Item 1A. Risk Factors section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 Operations and Acquisition of Anelixis Therapeutics, Inc.</w:t>
      </w:r>
    </w:p>
    <w:p>
      <w:pPr>
        <w:spacing w:after="0" w:line="114" w:lineRule="exact"/>
        <w:rPr>
          <w:sz w:val="20"/>
          <w:szCs w:val="20"/>
          <w:color w:val="auto"/>
        </w:rPr>
      </w:pPr>
    </w:p>
    <w:p>
      <w:pPr>
        <w:ind w:firstLine="501"/>
        <w:spacing w:after="0" w:line="293" w:lineRule="auto"/>
        <w:rPr>
          <w:sz w:val="20"/>
          <w:szCs w:val="20"/>
          <w:color w:val="auto"/>
        </w:rPr>
      </w:pPr>
      <w:r>
        <w:rPr>
          <w:rFonts w:ascii="Arial" w:cs="Arial" w:eastAsia="Arial" w:hAnsi="Arial"/>
          <w:sz w:val="15"/>
          <w:szCs w:val="15"/>
          <w:color w:val="auto"/>
        </w:rPr>
        <w:t>On September 14, 2020, the Company completed the acquisition of Anelixis Therapeutics, Inc. (“Anelixis”), a privately held clinical stage biotechnology company developing a next generation anti-CD40L antibody as a potential treatment for organ and cellular transplantation, autoimmune diseases, and ALS. Concurrent with the Company’s acquisition of Anelixis on September 14, 2020, the Company entered into a Stock Purchase Agreement (the “Stock Purchase Agreement”) with certain institutional and accredited investors (the “PIPE Investors”), pursuant to which the Company issued and sold approximately 217,200 shares of Series X1 Preferred Stock (the “PIPE Shares”) for an aggregate purchase price of approximately $108.15 million (the “Financing”). The Financing was exempt from registration pursuant to Section 4(a)(2) of the Securities Act and/or Regulation D promulgated thereunder, as a transaction by an issuer not involving a public offering. At the closing of the Financing, the Company entered into a Registration Rights Agreement (the “Registration Rights Agreement”) with the Investors. Pursuant to the Registration Rights Agreement, on December 22, 2020 the Company registered 12,065,875 shares of common stock, which may be issued upon conversion of the PIPE Shares on its under its effective shelf registration statement on Form S-3 (File No. 333-251305). The proceeds from the private placement will be used to fund the Company’s operations, including to advance up to Phase 2 clinical trials of AT-1501, a humanized IgG1 anti-CD40L antibody.</w:t>
      </w:r>
    </w:p>
    <w:p>
      <w:pPr>
        <w:spacing w:after="0" w:line="60" w:lineRule="exact"/>
        <w:rPr>
          <w:sz w:val="20"/>
          <w:szCs w:val="20"/>
          <w:color w:val="auto"/>
        </w:rPr>
      </w:pPr>
    </w:p>
    <w:p>
      <w:pPr>
        <w:ind w:right="40" w:firstLine="501"/>
        <w:spacing w:after="0" w:line="277" w:lineRule="auto"/>
        <w:rPr>
          <w:sz w:val="20"/>
          <w:szCs w:val="20"/>
          <w:color w:val="auto"/>
        </w:rPr>
      </w:pPr>
      <w:r>
        <w:rPr>
          <w:rFonts w:ascii="Arial" w:cs="Arial" w:eastAsia="Arial" w:hAnsi="Arial"/>
          <w:sz w:val="16"/>
          <w:szCs w:val="16"/>
          <w:color w:val="auto"/>
        </w:rPr>
        <w:t>Prior to our acquisition of Anelixis, we had been focused on developing novel products for patients with disorders of the ear, nose, and throat (“ENT”). In June 2020, we announced that our lead program did not achieve statistical significance for the primary efficacy endpoints in the treatment of acute otitis media. As a result of this failure to achieve the primary study endpoint and expected need to reformulate the investigational drug, we suspended the clinical development of our legacy ENT assets while we assess alternate development strategies, including out-licensing or a sale of these assets. Following the June 2020 announcement, we significantly curtailed development expenses as we sought to identify strategic alternatives that would maximize stockholder value. As a result of these activities, we acquired Anelixis and raised additional capital in September 2020, as described above.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Developments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Distribution Agreement</w:t>
      </w:r>
    </w:p>
    <w:p>
      <w:pPr>
        <w:spacing w:after="0" w:line="114" w:lineRule="exact"/>
        <w:rPr>
          <w:sz w:val="20"/>
          <w:szCs w:val="20"/>
          <w:color w:val="auto"/>
        </w:rPr>
      </w:pPr>
    </w:p>
    <w:p>
      <w:pPr>
        <w:ind w:right="100" w:firstLine="546"/>
        <w:spacing w:after="0" w:line="259" w:lineRule="auto"/>
        <w:rPr>
          <w:sz w:val="20"/>
          <w:szCs w:val="20"/>
          <w:color w:val="auto"/>
        </w:rPr>
      </w:pPr>
      <w:r>
        <w:rPr>
          <w:rFonts w:ascii="Arial" w:cs="Arial" w:eastAsia="Arial" w:hAnsi="Arial"/>
          <w:sz w:val="17"/>
          <w:szCs w:val="17"/>
          <w:color w:val="auto"/>
        </w:rPr>
        <w:t>On July 23, 2018, the Company filed a prospectus supplement (the “2018 Prospectus Supplement”) under which the Company may offer and sell, from time to time, through Piper Jaffray, up to $9.8 million in shares of its common stock. During the year ended December 31, 2019, 1,401 shares were sold under the 2018 Prospectus Supplement for gross proceeds of approximately $110,000. No shares were sold during the year ended December 31, 2020. This agreement was terminated in 2020. Accordingly, as of December 31, 2020, no additional amounts remained available to be offered and sold under the 2018 Prospectus Supplement.</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Equity Offering</w:t>
      </w:r>
    </w:p>
    <w:p>
      <w:pPr>
        <w:spacing w:after="0" w:line="114" w:lineRule="exact"/>
        <w:rPr>
          <w:sz w:val="20"/>
          <w:szCs w:val="20"/>
          <w:color w:val="auto"/>
        </w:rPr>
      </w:pPr>
    </w:p>
    <w:p>
      <w:pPr>
        <w:ind w:right="340" w:firstLine="546"/>
        <w:spacing w:after="0" w:line="262" w:lineRule="auto"/>
        <w:rPr>
          <w:sz w:val="20"/>
          <w:szCs w:val="20"/>
          <w:color w:val="auto"/>
        </w:rPr>
      </w:pPr>
      <w:r>
        <w:rPr>
          <w:rFonts w:ascii="Arial" w:cs="Arial" w:eastAsia="Arial" w:hAnsi="Arial"/>
          <w:sz w:val="17"/>
          <w:szCs w:val="17"/>
          <w:color w:val="auto"/>
        </w:rPr>
        <w:t>On April 30, 2019, the Company agreed to sell in a registered direct offering, an aggregate 191,617 shares of its common stock to certain investors for gross proceeds of approximately $10.7 million under its effective shelf registration statement on Form S-3 (File No. 333-226286). In a concurrent private placement, the Company also agreed to issue to such investors Series A warrants to purchase up to 191,617 shares of its common stock at an exercise price of $72.00 with a 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ind w:right="20"/>
        <w:spacing w:after="0" w:line="302" w:lineRule="auto"/>
        <w:rPr>
          <w:sz w:val="20"/>
          <w:szCs w:val="20"/>
          <w:color w:val="auto"/>
        </w:rPr>
      </w:pPr>
      <w:r>
        <w:rPr>
          <w:rFonts w:ascii="Arial" w:cs="Arial" w:eastAsia="Arial" w:hAnsi="Arial"/>
          <w:sz w:val="15"/>
          <w:szCs w:val="15"/>
          <w:color w:val="auto"/>
        </w:rPr>
        <w:t>of eighteen months (the “Series A Warrants”) and Series B warrants to purchase up 191,6172 shares of its common stock at an exercise price of $72.00 with a term of five years (the “Series B Warrants”). The Series B Warrants become exercisable only upon the exercise of the Series A Warrants. In addition, the Company agreed to issue to H.C. Wainwright &amp; Co., LLC, the placement agent for the transaction, warrants to purchase up to 9,580 shares of common stock. The placement agent warrants have substantially the same terms as the Series A Warrants, except that the placement agent warrants have an exercise price equal to $69.6375 and will expire on April 20, 2024. We refer to the registered direct offering and the concurrent private placement collectively as the “2019 Equity Offering.”</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 Exercise Transaction</w:t>
      </w:r>
    </w:p>
    <w:p>
      <w:pPr>
        <w:spacing w:after="0" w:line="114" w:lineRule="exact"/>
        <w:rPr>
          <w:sz w:val="20"/>
          <w:szCs w:val="20"/>
          <w:color w:val="auto"/>
        </w:rPr>
      </w:pPr>
    </w:p>
    <w:p>
      <w:pPr>
        <w:ind w:right="20" w:firstLine="546"/>
        <w:spacing w:after="0" w:line="259" w:lineRule="auto"/>
        <w:rPr>
          <w:sz w:val="20"/>
          <w:szCs w:val="20"/>
          <w:color w:val="auto"/>
        </w:rPr>
      </w:pPr>
      <w:r>
        <w:rPr>
          <w:rFonts w:ascii="Arial" w:cs="Arial" w:eastAsia="Arial" w:hAnsi="Arial"/>
          <w:sz w:val="17"/>
          <w:szCs w:val="17"/>
          <w:color w:val="auto"/>
        </w:rPr>
        <w:t>On January 10, 2020 and January 15, 2020, the Company entered into warrant exercise agreements (the “Exercise Agreements”) with the holders (the “Holders”) of its Series A Warrants and Series B Warrants (collectively, the “Warrants”), issued in the 2019 Equity Offering, pursuant to which the Holders agreed to exercise in cash their Warrants to purchase an aggregate of 383,234 shares of the Company’s common stock at a reduced exercise price of $12.87 per share, plus an additional $2.25 per share for the issuance of the private placement warrants for gross proceeds (before placement agent fees and expenses) to the Company of approximately $5.8 million (the “Exercise Transaction”).</w:t>
      </w:r>
    </w:p>
    <w:p>
      <w:pPr>
        <w:spacing w:after="0" w:line="183" w:lineRule="exact"/>
        <w:rPr>
          <w:sz w:val="20"/>
          <w:szCs w:val="20"/>
          <w:color w:val="auto"/>
        </w:rPr>
      </w:pPr>
    </w:p>
    <w:p>
      <w:pPr>
        <w:ind w:right="20" w:firstLine="546"/>
        <w:spacing w:after="0" w:line="274" w:lineRule="auto"/>
        <w:rPr>
          <w:sz w:val="20"/>
          <w:szCs w:val="20"/>
          <w:color w:val="auto"/>
        </w:rPr>
      </w:pPr>
      <w:r>
        <w:rPr>
          <w:rFonts w:ascii="Arial" w:cs="Arial" w:eastAsia="Arial" w:hAnsi="Arial"/>
          <w:sz w:val="16"/>
          <w:szCs w:val="16"/>
          <w:color w:val="auto"/>
        </w:rPr>
        <w:t>Under the Exercise Agreements, the Company also agreed to issue to the Holders new warrants to purchase up to 383,234 shares of the Company’s common stock at an exercise price of $12.96 per share, with an exercise period of five and a half years (the “Private Placement Warrants”). The Private Placement Warrants transaction subsequently closed and the Private Placement Warrants were issued on January 14, 2020 with respect to the Warrants exercised on January 10, 2020 and on or about January 17, 2020, with respect to the Warrants exercised on January 15, 2020. In addition, the Company agreed to issue to the placement agent warrants to purchase up to 19,162 shares of common stock, representing 5.0% of the aggregate number of shares of common stock issued in the Exercise Transaction. The placement agent warrants have substantially the same terms as the Private Placement Warrants issued to the Holders, except that the placement agent warrants have an exercise price equal to $18.90. A warrant inducement expense of $4.8 million was incurred which was determined using the Black-Scholes option pricing model and was calculated as the difference between the fair value of the Warrants prior to, and immediately after, the reduction in the exercise price on the date of repricing in addition to the fair value of the Private Placement Warrants issued.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Exchange Agreements</w:t>
      </w:r>
    </w:p>
    <w:p>
      <w:pPr>
        <w:spacing w:after="0" w:line="114" w:lineRule="exact"/>
        <w:rPr>
          <w:sz w:val="20"/>
          <w:szCs w:val="20"/>
          <w:color w:val="auto"/>
        </w:rPr>
      </w:pPr>
    </w:p>
    <w:p>
      <w:pPr>
        <w:ind w:right="40" w:firstLine="546"/>
        <w:spacing w:after="0" w:line="258" w:lineRule="auto"/>
        <w:rPr>
          <w:sz w:val="20"/>
          <w:szCs w:val="20"/>
          <w:color w:val="auto"/>
        </w:rPr>
      </w:pPr>
      <w:r>
        <w:rPr>
          <w:rFonts w:ascii="Arial" w:cs="Arial" w:eastAsia="Arial" w:hAnsi="Arial"/>
          <w:sz w:val="17"/>
          <w:szCs w:val="17"/>
          <w:color w:val="auto"/>
        </w:rPr>
        <w:t>On February 13, 2020, the Company entered into an exchange agreement (the “Exchange Agreement”) with Biotechnology Value Fund, L.P., Biotechnology Value Fund II, L.P. and Biotechnology Value Trading Fund OS, L.P. (the “Exchanging Stockholders”), pursuant to which the Exchanging Stockholders exchanged (the “February Exchange”) 210,888 shares of the Company’s common stock, par value $0.001 per share, for 3,796 shares of newly designated Series X Convertible Preferred Stock (the “Series X Preferred Stock”). The Company agreed to reimburse the Exchanging Stockholders for their expenses in connection with the Exchange up to a total of $25,000, which was recorded as operating expense in the Company’s condensed consolidated statements of operations and comprehensive loss.</w:t>
      </w:r>
    </w:p>
    <w:p>
      <w:pPr>
        <w:spacing w:after="0" w:line="183" w:lineRule="exact"/>
        <w:rPr>
          <w:sz w:val="20"/>
          <w:szCs w:val="20"/>
          <w:color w:val="auto"/>
        </w:rPr>
      </w:pPr>
    </w:p>
    <w:p>
      <w:pPr>
        <w:ind w:right="120" w:firstLine="546"/>
        <w:spacing w:after="0" w:line="294" w:lineRule="auto"/>
        <w:rPr>
          <w:sz w:val="20"/>
          <w:szCs w:val="20"/>
          <w:color w:val="auto"/>
        </w:rPr>
      </w:pPr>
      <w:r>
        <w:rPr>
          <w:rFonts w:ascii="Arial" w:cs="Arial" w:eastAsia="Arial" w:hAnsi="Arial"/>
          <w:sz w:val="15"/>
          <w:szCs w:val="15"/>
          <w:color w:val="auto"/>
        </w:rPr>
        <w:t>On February 13, 2020, in connection with the February Exchange, the Company filed a Certificate of Designation setting forth the preferences, rights and limitations of the Series X Preferred Stock with the Secretary of State of the State of Delaware. Each share of Series X Preferred Stock will be convertible into</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55.5556 shares of common stock at the option of the holder at any time; subject to certain limitations, including, that the holder will be prohibited from converting Series X Preferred Stock into common stock if, as a result of such conversion, the holder, together with its affiliates, would beneficially own a number of shares of common stock above a conversion blocker, which is initially set at 9.99% of the total common stock then issued and outstanding immediately following the conversion of such shares of Series X Preferred Stock. In the event of the Company’s liquidation, dissolution or winding up, holders of Series X Preferred Stock will participate pari passu with any distribution of proceeds to holders of common stock. Holders of Series X Preferred Stock are entitled to receive dividends on shares of Series X Preferred Stock equal (on an as-if-converted-to-common stock basis) to and in the same form as dividends actually paid on the common stock or other junior securities of the Company. Shares of Series X Preferred Stock will generally have no voting rights, except as required by law and except that the consent of a majority of the holders of the outstanding Series X Preferred Stock will be required to amend the terms of the Series X Preferred Stock.</w:t>
      </w:r>
    </w:p>
    <w:p>
      <w:pPr>
        <w:spacing w:after="0" w:line="58" w:lineRule="exact"/>
        <w:rPr>
          <w:sz w:val="20"/>
          <w:szCs w:val="20"/>
          <w:color w:val="auto"/>
        </w:rPr>
      </w:pPr>
    </w:p>
    <w:p>
      <w:pPr>
        <w:ind w:right="260" w:firstLine="546"/>
        <w:spacing w:after="0" w:line="262" w:lineRule="auto"/>
        <w:rPr>
          <w:sz w:val="20"/>
          <w:szCs w:val="20"/>
          <w:color w:val="auto"/>
        </w:rPr>
      </w:pPr>
      <w:r>
        <w:rPr>
          <w:rFonts w:ascii="Arial" w:cs="Arial" w:eastAsia="Arial" w:hAnsi="Arial"/>
          <w:sz w:val="17"/>
          <w:szCs w:val="17"/>
          <w:color w:val="auto"/>
        </w:rPr>
        <w:t>On December 31, 2020, the Company entered into an exchange agreement (the “Series X Exchange Agreement”) with Biotechnology Value Fund, L.P., Biotechnology Value Fund II, L.P., Biotechnology Value Trading Fund OS, L.P. , MSI BVF SPV, L.L.C. (the “BVF Exchanging Stockholders”) and Cormorant Global Healthcare Master Fund, LP (together with the BVF Exchanging Stockholders, the “Exchanging Stockholders”), pursuant to which the Exchanging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exchanged (the “Series X Exchange”) 344,666 shares of the Company’s common stock, for 6,203.98 shares of Series X Preferred Stock.</w:t>
      </w:r>
    </w:p>
    <w:p>
      <w:pPr>
        <w:spacing w:after="0" w:line="217" w:lineRule="exact"/>
        <w:rPr>
          <w:sz w:val="20"/>
          <w:szCs w:val="20"/>
          <w:color w:val="auto"/>
        </w:rPr>
      </w:pPr>
    </w:p>
    <w:p>
      <w:pPr>
        <w:ind w:right="40" w:firstLine="546"/>
        <w:spacing w:after="0" w:line="283" w:lineRule="auto"/>
        <w:rPr>
          <w:sz w:val="20"/>
          <w:szCs w:val="20"/>
          <w:color w:val="auto"/>
        </w:rPr>
      </w:pPr>
      <w:r>
        <w:rPr>
          <w:rFonts w:ascii="Arial" w:cs="Arial" w:eastAsia="Arial" w:hAnsi="Arial"/>
          <w:sz w:val="16"/>
          <w:szCs w:val="16"/>
          <w:color w:val="auto"/>
        </w:rPr>
        <w:t>In addition, on December 31, 2020 the Company entered into an exchange agreement (the “Warrant Exchange Agreement,” and together with the Series X Exchange Agreement, the “Exchange Agreements”) with the BVF Exchanging Stockholders, pursuant to which the BVF Exchanging Stockholders exchanged (the “Warrant Exchange,” and together with the Series X Exchange, “the Exchanges”) 509,117 shares of the Common Stock for one or more pre-funded warrants to purchase an aggregate of 509,117 shares of the Common Stock at a nominal exercise price (the “Warrants”).</w:t>
      </w:r>
    </w:p>
    <w:p>
      <w:pPr>
        <w:spacing w:after="0" w:line="60" w:lineRule="exact"/>
        <w:rPr>
          <w:sz w:val="20"/>
          <w:szCs w:val="20"/>
          <w:color w:val="auto"/>
        </w:rPr>
      </w:pPr>
    </w:p>
    <w:p>
      <w:pPr>
        <w:ind w:right="480" w:firstLine="546"/>
        <w:spacing w:after="0" w:line="279" w:lineRule="auto"/>
        <w:rPr>
          <w:sz w:val="20"/>
          <w:szCs w:val="20"/>
          <w:color w:val="auto"/>
        </w:rPr>
      </w:pPr>
      <w:r>
        <w:rPr>
          <w:rFonts w:ascii="Arial" w:cs="Arial" w:eastAsia="Arial" w:hAnsi="Arial"/>
          <w:sz w:val="17"/>
          <w:szCs w:val="17"/>
          <w:color w:val="auto"/>
        </w:rPr>
        <w:t>Following the Exchanges, the Company will have 14,306,614 shares of Common Stock outstanding and 6,203.98 shares of Series X Preferred Stock outstanding, which are convertible into 344,663 shares of Common Stock (after rounding for fractional shares)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September 2020 Stock Purchase Agreement</w:t>
      </w:r>
    </w:p>
    <w:p>
      <w:pPr>
        <w:spacing w:after="0" w:line="114" w:lineRule="exact"/>
        <w:rPr>
          <w:sz w:val="20"/>
          <w:szCs w:val="20"/>
          <w:color w:val="auto"/>
        </w:rPr>
      </w:pPr>
    </w:p>
    <w:p>
      <w:pPr>
        <w:ind w:firstLine="602"/>
        <w:spacing w:after="0" w:line="256" w:lineRule="auto"/>
        <w:rPr>
          <w:sz w:val="20"/>
          <w:szCs w:val="20"/>
          <w:color w:val="auto"/>
        </w:rPr>
      </w:pPr>
      <w:r>
        <w:rPr>
          <w:rFonts w:ascii="Arial" w:cs="Arial" w:eastAsia="Arial" w:hAnsi="Arial"/>
          <w:sz w:val="17"/>
          <w:szCs w:val="17"/>
          <w:color w:val="auto"/>
        </w:rPr>
        <w:t>On September 14, 2020, Eledon entered into a Stock Purchase Agreement (the “Purchase Agreement”) with certain institutional and accredited investors (the “Investors”). Pursuant to the Purchase Agreement, Eledon agreed to sell an aggregate of approximately 199,112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for an aggregate purchase price of approximately $99.1 million (collectively, the “Financing”). Eledon had commitments for an additional $9.0 million in equity financing that was contingent upon the satisfaction of certain incremental closing conditions, including stockholder approval of the issuance of the Company’s common stock upon the conversion of the Company’s X</w:t>
      </w:r>
      <w:r>
        <w:rPr>
          <w:rFonts w:ascii="Arial" w:cs="Arial" w:eastAsia="Arial" w:hAnsi="Arial"/>
          <w:sz w:val="14"/>
          <w:szCs w:val="14"/>
          <w:color w:val="auto"/>
        </w:rPr>
        <w:t>1</w:t>
      </w:r>
      <w:r>
        <w:rPr>
          <w:rFonts w:ascii="Arial" w:cs="Arial" w:eastAsia="Arial" w:hAnsi="Arial"/>
          <w:sz w:val="17"/>
          <w:szCs w:val="17"/>
          <w:color w:val="auto"/>
        </w:rPr>
        <w:t xml:space="preserve"> Preferred Stock and the effective registration of its common stock. Subject to stockholder approval, each share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was convertible into 55.5556 shares of Common Stock, as described below. The preferences, rights and limitations applicable to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are set forth in the Certificate of Designation, as filed with the SEC. The Financing was 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81" w:lineRule="exact"/>
        <w:rPr>
          <w:sz w:val="20"/>
          <w:szCs w:val="20"/>
          <w:color w:val="auto"/>
        </w:rPr>
      </w:pPr>
    </w:p>
    <w:p>
      <w:pPr>
        <w:ind w:right="240" w:firstLine="602"/>
        <w:spacing w:after="0" w:line="266" w:lineRule="auto"/>
        <w:rPr>
          <w:sz w:val="20"/>
          <w:szCs w:val="20"/>
          <w:color w:val="auto"/>
        </w:rPr>
      </w:pPr>
      <w:r>
        <w:rPr>
          <w:rFonts w:ascii="Arial" w:cs="Arial" w:eastAsia="Arial" w:hAnsi="Arial"/>
          <w:sz w:val="17"/>
          <w:szCs w:val="17"/>
          <w:color w:val="auto"/>
        </w:rPr>
        <w:t>On December 18, 2020, the Company held a special meeting of stockholders (the “Special Meeting”). At the Special Meeting, the Company’s stockholders approved the issuance of the Company’s common stock, upon conversion of the Company’s Series X</w:t>
      </w:r>
      <w:r>
        <w:rPr>
          <w:rFonts w:ascii="Arial" w:cs="Arial" w:eastAsia="Arial" w:hAnsi="Arial"/>
          <w:sz w:val="14"/>
          <w:szCs w:val="14"/>
          <w:color w:val="auto"/>
        </w:rPr>
        <w:t>1</w:t>
      </w:r>
      <w:r>
        <w:rPr>
          <w:rFonts w:ascii="Arial" w:cs="Arial" w:eastAsia="Arial" w:hAnsi="Arial"/>
          <w:sz w:val="17"/>
          <w:szCs w:val="17"/>
          <w:color w:val="auto"/>
        </w:rPr>
        <w:t xml:space="preserve"> Preferred Stock, par value $0.001 per share, issued in September 2020.</w:t>
      </w:r>
    </w:p>
    <w:p>
      <w:pPr>
        <w:spacing w:after="0" w:line="72" w:lineRule="exact"/>
        <w:rPr>
          <w:sz w:val="20"/>
          <w:szCs w:val="20"/>
          <w:color w:val="auto"/>
        </w:rPr>
      </w:pPr>
    </w:p>
    <w:p>
      <w:pPr>
        <w:ind w:right="680" w:firstLine="602"/>
        <w:spacing w:after="0" w:line="279" w:lineRule="auto"/>
        <w:rPr>
          <w:sz w:val="20"/>
          <w:szCs w:val="20"/>
          <w:color w:val="auto"/>
        </w:rPr>
      </w:pPr>
      <w:r>
        <w:rPr>
          <w:rFonts w:ascii="Arial" w:cs="Arial" w:eastAsia="Arial" w:hAnsi="Arial"/>
          <w:sz w:val="17"/>
          <w:szCs w:val="17"/>
          <w:color w:val="auto"/>
        </w:rPr>
        <w:t>On December 23, 2020, the Company sold 1,004,111 shares of its common stock for gross proceeds of $9.0 million that was contingent upon the satisfaction of certain incremental closing conditions, as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Reverse Stock-Split</w:t>
      </w:r>
    </w:p>
    <w:p>
      <w:pPr>
        <w:spacing w:after="0" w:line="114" w:lineRule="exact"/>
        <w:rPr>
          <w:sz w:val="20"/>
          <w:szCs w:val="20"/>
          <w:color w:val="auto"/>
        </w:rPr>
      </w:pPr>
    </w:p>
    <w:p>
      <w:pPr>
        <w:ind w:right="140" w:firstLine="501"/>
        <w:spacing w:after="0" w:line="262" w:lineRule="auto"/>
        <w:rPr>
          <w:sz w:val="20"/>
          <w:szCs w:val="20"/>
          <w:color w:val="auto"/>
        </w:rPr>
      </w:pPr>
      <w:r>
        <w:rPr>
          <w:rFonts w:ascii="Arial" w:cs="Arial" w:eastAsia="Arial" w:hAnsi="Arial"/>
          <w:sz w:val="17"/>
          <w:szCs w:val="17"/>
          <w:color w:val="auto"/>
        </w:rPr>
        <w:t>On October 5, 2020, the Company effected a reverse stock-split of its issued and outstanding common stock and options for common stock at a ratio of one-for-eighteen. The Company filed an Amended and Restated Certificate of Incorporation with the Secretary of State of the State of Delaware effecting the reverse stock-split. The discussion in this Management’s Discussion and Analysis of Financial Condition and Results of Operations gives retroactive effect to the reverse stock-split for all periods presented.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 Impact</w:t>
      </w:r>
    </w:p>
    <w:p>
      <w:pPr>
        <w:spacing w:after="0" w:line="114" w:lineRule="exact"/>
        <w:rPr>
          <w:sz w:val="20"/>
          <w:szCs w:val="20"/>
          <w:color w:val="auto"/>
        </w:rPr>
      </w:pPr>
    </w:p>
    <w:p>
      <w:pPr>
        <w:ind w:firstLine="546"/>
        <w:spacing w:after="0" w:line="256" w:lineRule="auto"/>
        <w:rPr>
          <w:sz w:val="20"/>
          <w:szCs w:val="20"/>
          <w:color w:val="auto"/>
        </w:rPr>
      </w:pPr>
      <w:r>
        <w:rPr>
          <w:rFonts w:ascii="Arial" w:cs="Arial" w:eastAsia="Arial" w:hAnsi="Arial"/>
          <w:sz w:val="17"/>
          <w:szCs w:val="17"/>
          <w:color w:val="auto"/>
        </w:rPr>
        <w:t>The COVID-19 pandemic and resulting global disruptions have adversely affected our business and operations, including, but not limited to, the operations of third parties upon whom we rely. The effects of executive and similar government orders, shelter-in-place orders and our work-from-home policies may negatively impact our productivity and disrupt our business. Although the impacts of COVID-19 have not been material to-date, we have experienced delays in certain preclinical studies and resulting delays in data collection and have also experienced inefficiencies in planning and executing trials due to our limited ability to conduct meetings with key third parties. In addition, in response to public health directives and orders, we have ceased all non-essential business travel and implemented work-from-home policies for all of our employees, resulting in reduced productivity and limited business development and investor relations activities. The magnitude of such effects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p>
      <w:pPr>
        <w:ind w:right="280" w:firstLine="546"/>
        <w:spacing w:after="0" w:line="262" w:lineRule="auto"/>
        <w:rPr>
          <w:sz w:val="20"/>
          <w:szCs w:val="20"/>
          <w:color w:val="auto"/>
        </w:rPr>
      </w:pPr>
      <w:r>
        <w:rPr>
          <w:rFonts w:ascii="Arial" w:cs="Arial" w:eastAsia="Arial" w:hAnsi="Arial"/>
          <w:sz w:val="17"/>
          <w:szCs w:val="17"/>
          <w:color w:val="auto"/>
        </w:rPr>
        <w:t>The COVID-19 pandemic and resulting global disruptions have caused significant volatility in financial and credit markets. We have utilized a range of financing methods to fund our operations in the past; however, current conditions in the financial and credit markets may limit the availability of funding or increase the cost of funding. Due to the rapidly evolving nature of the global situation, it is not possible to predict the extent to which these conditions could adversely affect our liquidity and capital resources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0" w:lineRule="exact"/>
        <w:rPr>
          <w:sz w:val="20"/>
          <w:szCs w:val="20"/>
          <w:color w:val="auto"/>
        </w:rPr>
      </w:pPr>
    </w:p>
    <w:p>
      <w:pPr>
        <w:ind w:right="20" w:firstLine="546"/>
        <w:spacing w:after="0" w:line="257"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accounting principles generally accepted in the United States (“GAAP”).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4" w:lineRule="exact"/>
        <w:rPr>
          <w:sz w:val="20"/>
          <w:szCs w:val="20"/>
          <w:color w:val="auto"/>
        </w:rPr>
      </w:pPr>
    </w:p>
    <w:p>
      <w:pPr>
        <w:ind w:right="40" w:firstLine="752"/>
        <w:spacing w:after="0" w:line="256" w:lineRule="auto"/>
        <w:rPr>
          <w:sz w:val="20"/>
          <w:szCs w:val="20"/>
          <w:color w:val="auto"/>
        </w:rPr>
      </w:pPr>
      <w:r>
        <w:rPr>
          <w:rFonts w:ascii="Arial" w:cs="Arial" w:eastAsia="Arial" w:hAnsi="Arial"/>
          <w:sz w:val="17"/>
          <w:szCs w:val="17"/>
          <w:color w:val="auto"/>
        </w:rPr>
        <w:t>Accounting for acquisitions requires extensive use of estimates and judgment to measure the fair value of the identifiable tangible and intangible assets acquired, including in-process research and development (“IPR&amp;D”) and liabilities assumed. Additionally, the Company must determine whether an acquired entity is considered a business or a set of net assets because the excess of the purchase price over the fair value of net assets acquired can only be recognized as goodwill in a business combination. The Company accounted for the acquisition of Anelixis as a business combination under the acquisition method of accounting. Consideration paid to acquire Anelixis was measured at fair value and included the exchange of Anelixis’ common stock. The allocation of the purchase price resulted in recognition of intangible assets related to goodwill and IPR&amp;D. Acquired IPR&amp;D is recognized at fair value and initially characterized as an indefinite-lived intangible asset, irrespective of whether the acquired IPR&amp;D has an alternative future use. The operating activity for Anelixis, the acquiree for accounting purposes, was immediately integrated with Eledon post-acquisition, therefore it is not practical to segregate results of operations related specifically to Anelixis since the date of acquisition.</w:t>
      </w:r>
    </w:p>
    <w:p>
      <w:pPr>
        <w:spacing w:after="0" w:line="83" w:lineRule="exact"/>
        <w:rPr>
          <w:sz w:val="20"/>
          <w:szCs w:val="20"/>
          <w:color w:val="auto"/>
        </w:rPr>
      </w:pPr>
    </w:p>
    <w:p>
      <w:pPr>
        <w:ind w:right="80" w:firstLine="752"/>
        <w:spacing w:after="0" w:line="266" w:lineRule="auto"/>
        <w:rPr>
          <w:sz w:val="20"/>
          <w:szCs w:val="20"/>
          <w:color w:val="auto"/>
        </w:rPr>
      </w:pPr>
      <w:r>
        <w:rPr>
          <w:rFonts w:ascii="Arial" w:cs="Arial" w:eastAsia="Arial" w:hAnsi="Arial"/>
          <w:sz w:val="17"/>
          <w:szCs w:val="17"/>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ind w:right="20" w:firstLine="546"/>
        <w:spacing w:after="0" w:line="283" w:lineRule="auto"/>
        <w:rPr>
          <w:sz w:val="20"/>
          <w:szCs w:val="20"/>
          <w:color w:val="auto"/>
        </w:rPr>
      </w:pPr>
      <w:r>
        <w:rPr>
          <w:rFonts w:ascii="Arial" w:cs="Arial" w:eastAsia="Arial" w:hAnsi="Arial"/>
          <w:sz w:val="16"/>
          <w:szCs w:val="16"/>
          <w:color w:val="auto"/>
        </w:rPr>
        <w:t>Goodwill represents the difference between the consideration transferred and the fair value of the net assets acquired under the acquisition method of accounting. Goodwill is not amortized but is evaluated for impairment as of October 1 of each year or earlier if indicators of impairment exist that would, more likely than not, reduce the fair value from its carrying amount. For the year ended December 31, 2019, the Company recognized $1.9 million of goodwill impairment which was included in the consolidated statements of operations. No impairment was recorded for the year ended December 31, 2020.</w:t>
      </w:r>
    </w:p>
    <w:p>
      <w:pPr>
        <w:spacing w:after="0" w:line="164" w:lineRule="exact"/>
        <w:rPr>
          <w:sz w:val="20"/>
          <w:szCs w:val="20"/>
          <w:color w:val="auto"/>
        </w:rPr>
      </w:pPr>
    </w:p>
    <w:p>
      <w:pPr>
        <w:ind w:firstLine="546"/>
        <w:spacing w:after="0" w:line="293" w:lineRule="auto"/>
        <w:rPr>
          <w:sz w:val="20"/>
          <w:szCs w:val="20"/>
          <w:color w:val="auto"/>
        </w:rPr>
      </w:pPr>
      <w:r>
        <w:rPr>
          <w:rFonts w:ascii="Arial" w:cs="Arial" w:eastAsia="Arial" w:hAnsi="Arial"/>
          <w:sz w:val="15"/>
          <w:szCs w:val="15"/>
          <w:color w:val="auto"/>
        </w:rPr>
        <w:t>The Company performs its goodwill impairment analysis at the reporting unit level, which aligns with the Company’s reporting structure and availability of discrete financial information. The Company performs its annual impairment analysis by either comparing the reporting unit’s estimated fair value to its carrying amount or doing a qualitative assessment of a reporting unit’s fair value from the last quantitative assessment to determine if there is potential impairment. The Company may do a qualitative assessment when the results of the previous quantitative test indicated the reporting unit’s estimated fair value was significantly in excess of the carrying value of its net assets and it does not believe there have been significant changes in the reporting unit’s operations that would significantly decrease its estimated fair value or significantly increase its net assets. If a quantitative assessment is performed the evaluation includes management estimates of cash flow projections based on internal future projections and/or use of a market approach by looking at market values of comparable companies. Key assumptions for these projections include revenue growth, future gross and operating margin growth, and its weighted cost of capital and terminal growth rates. The revenue and margin growth are based on increased sales of new products as the Company maintains investments in research and development. Additional assumed value creators may include increased efficiencies from capital spending. The resulting cash flows are discounted using a weighted average cost of capital. Operating mechanisms and requirements to ensure that growth and efficiency assumptions will ultimately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700"/>
        <w:spacing w:after="0" w:line="279" w:lineRule="auto"/>
        <w:rPr>
          <w:sz w:val="20"/>
          <w:szCs w:val="20"/>
          <w:color w:val="auto"/>
        </w:rPr>
      </w:pPr>
      <w:r>
        <w:rPr>
          <w:rFonts w:ascii="Arial" w:cs="Arial" w:eastAsia="Arial" w:hAnsi="Arial"/>
          <w:sz w:val="17"/>
          <w:szCs w:val="17"/>
          <w:color w:val="auto"/>
        </w:rPr>
        <w:t>realized are also considered in the evaluation, including timing and probability of regulatory approvals for Company products to be commercialized. The Company’s market capitalization is also considered as a part of its analysis.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4" w:lineRule="exact"/>
        <w:rPr>
          <w:sz w:val="20"/>
          <w:szCs w:val="20"/>
          <w:color w:val="auto"/>
        </w:rPr>
      </w:pPr>
    </w:p>
    <w:p>
      <w:pPr>
        <w:ind w:firstLine="546"/>
        <w:spacing w:after="0" w:line="259" w:lineRule="auto"/>
        <w:rPr>
          <w:sz w:val="20"/>
          <w:szCs w:val="20"/>
          <w:color w:val="auto"/>
        </w:rPr>
      </w:pPr>
      <w:r>
        <w:rPr>
          <w:rFonts w:ascii="Arial" w:cs="Arial" w:eastAsia="Arial" w:hAnsi="Arial"/>
          <w:sz w:val="17"/>
          <w:szCs w:val="17"/>
          <w:color w:val="auto"/>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spacing w:after="0" w:line="183" w:lineRule="exact"/>
        <w:rPr>
          <w:sz w:val="20"/>
          <w:szCs w:val="20"/>
          <w:color w:val="auto"/>
        </w:rPr>
      </w:pPr>
    </w:p>
    <w:p>
      <w:pPr>
        <w:ind w:right="140" w:firstLine="546"/>
        <w:spacing w:after="0" w:line="274" w:lineRule="auto"/>
        <w:rPr>
          <w:sz w:val="20"/>
          <w:szCs w:val="20"/>
          <w:color w:val="auto"/>
        </w:rPr>
      </w:pPr>
      <w:r>
        <w:rPr>
          <w:rFonts w:ascii="Arial" w:cs="Arial" w:eastAsia="Arial" w:hAnsi="Arial"/>
          <w:sz w:val="16"/>
          <w:szCs w:val="16"/>
          <w:color w:val="auto"/>
        </w:rPr>
        <w:t>The Company’s contracts with third parties to perform various clinical trial activities in the on-going development of potential products. The financial terms of these agreements are subject to negotiation, vary from contract to contract and may 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The Company estimates its research and development expenses and the related accrual as of each balance sheet date based on the facts and circumstances known to the Company at that time. There have been no material adjustments to the Company’s prior period accrued estimates for clinical trial activities through December 31, 2020.</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right="140" w:firstLine="546"/>
        <w:spacing w:after="0" w:line="292" w:lineRule="auto"/>
        <w:rPr>
          <w:sz w:val="20"/>
          <w:szCs w:val="20"/>
          <w:color w:val="auto"/>
        </w:rPr>
      </w:pPr>
      <w:r>
        <w:rPr>
          <w:rFonts w:ascii="Arial" w:cs="Arial" w:eastAsia="Arial" w:hAnsi="Arial"/>
          <w:sz w:val="15"/>
          <w:szCs w:val="15"/>
          <w:color w:val="auto"/>
        </w:rPr>
        <w:t>For stock options granted to employees and directors, the Company recognizes compensation expense for all stock-based awards based on the grant-date estimated fair value. 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For stock options granted to the board of directors, the Company determined the expected life assumption using the simplified method as the starting point with an average period of twelve (12) months added to take into account for the extended range of time of 12 to 18 months vested stock options granted to board of directors may be exercised upon termination.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163" w:lineRule="exact"/>
        <w:rPr>
          <w:sz w:val="20"/>
          <w:szCs w:val="20"/>
          <w:color w:val="auto"/>
        </w:rPr>
      </w:pPr>
    </w:p>
    <w:p>
      <w:pPr>
        <w:ind w:right="100" w:firstLine="546"/>
        <w:spacing w:after="0" w:line="279" w:lineRule="auto"/>
        <w:rPr>
          <w:sz w:val="20"/>
          <w:szCs w:val="20"/>
          <w:color w:val="auto"/>
        </w:rPr>
      </w:pPr>
      <w:r>
        <w:rPr>
          <w:rFonts w:ascii="Arial" w:cs="Arial" w:eastAsia="Arial" w:hAnsi="Arial"/>
          <w:sz w:val="17"/>
          <w:szCs w:val="17"/>
          <w:color w:val="auto"/>
        </w:rPr>
        <w:t>Restricted Stock Units (“RSU”) and Performance-Based Restricted Stock Units (“PRSU”) are measured and recognized based on the quoted market price of our common stock on the date of grant.</w:t>
      </w:r>
    </w:p>
    <w:p>
      <w:pPr>
        <w:spacing w:after="0" w:line="164" w:lineRule="exact"/>
        <w:rPr>
          <w:sz w:val="20"/>
          <w:szCs w:val="20"/>
          <w:color w:val="auto"/>
        </w:rPr>
      </w:pPr>
    </w:p>
    <w:p>
      <w:pPr>
        <w:ind w:firstLine="546"/>
        <w:spacing w:after="0" w:line="294" w:lineRule="auto"/>
        <w:rPr>
          <w:sz w:val="20"/>
          <w:szCs w:val="20"/>
          <w:color w:val="auto"/>
        </w:rPr>
      </w:pPr>
      <w:r>
        <w:rPr>
          <w:rFonts w:ascii="Arial" w:cs="Arial" w:eastAsia="Arial" w:hAnsi="Arial"/>
          <w:sz w:val="15"/>
          <w:szCs w:val="15"/>
          <w:color w:val="auto"/>
        </w:rPr>
        <w:t>Stock-based compensation expense related to stock options granted to nonemployees is recognized based on the estimated fair value of the stock options on their grant date, determined using the Black-Scholes option pricing model. The awards generally vest over the period the Company expects to receive services from the nonemployees. Similar to stock options granted to employees, the fair value of stock options granted nonemployees, determined using the Black-Scholes option pricing model, involves assumptions that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on stock options granted to nonemployees, the Company determined the contractual term is the appropriate period for expected life on stock options granted to nonemployees. The expected dividend assumption was based on the Company’s history and expectation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0" w:name="page51"/>
    <w:bookmarkEnd w:id="50"/>
    <w:p>
      <w:pPr>
        <w:spacing w:after="0" w:line="279" w:lineRule="auto"/>
        <w:rPr>
          <w:sz w:val="20"/>
          <w:szCs w:val="20"/>
          <w:color w:val="auto"/>
        </w:rPr>
      </w:pPr>
      <w:r>
        <w:rPr>
          <w:rFonts w:ascii="Arial" w:cs="Arial" w:eastAsia="Arial" w:hAnsi="Arial"/>
          <w:sz w:val="17"/>
          <w:szCs w:val="17"/>
          <w:color w:val="auto"/>
        </w:rPr>
        <w:t>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2020 and 2019</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provides comparative results of operations for the years ended December 31, 2020 and 2019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 Variance</w:t>
            </w: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96"/>
              <w:spacing w:after="0" w:line="14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1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5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6,131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8,128</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(1,997)</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8"/>
        </w:trPr>
        <w:tc>
          <w:tcPr>
            <w:tcW w:w="3900" w:type="dxa"/>
            <w:vAlign w:val="bottom"/>
          </w:tcPr>
          <w:p>
            <w:pPr>
              <w:ind w:left="220"/>
              <w:spacing w:after="0"/>
              <w:rPr>
                <w:sz w:val="20"/>
                <w:szCs w:val="20"/>
                <w:color w:val="auto"/>
              </w:rPr>
            </w:pPr>
            <w:r>
              <w:rPr>
                <w:rFonts w:ascii="Arial" w:cs="Arial" w:eastAsia="Arial" w:hAnsi="Arial"/>
                <w:sz w:val="17"/>
                <w:szCs w:val="17"/>
                <w:color w:val="auto"/>
              </w:rPr>
              <w:t>Restructuring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2,282</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0"/>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Goodwill impairment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(1,867)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60"/>
              <w:spacing w:after="0"/>
              <w:rPr>
                <w:sz w:val="20"/>
                <w:szCs w:val="20"/>
                <w:color w:val="auto"/>
              </w:rPr>
            </w:pPr>
            <w:r>
              <w:rPr>
                <w:rFonts w:ascii="Arial" w:cs="Arial" w:eastAsia="Arial" w:hAnsi="Arial"/>
                <w:sz w:val="17"/>
                <w:szCs w:val="17"/>
                <w:color w:val="auto"/>
              </w:rPr>
              <w:t>Total operating expenses</w:t>
            </w: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16,051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2,414</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(18,465)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(16,051)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(2,414)</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0"/>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Warrant inducement expense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(4,829)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(4,829)</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7"/>
                <w:szCs w:val="17"/>
                <w:color w:val="auto"/>
              </w:rPr>
              <w:t>Loss before income tax benefit</w:t>
            </w: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(23,215)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(7,204)</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0"/>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7"/>
                <w:szCs w:val="17"/>
                <w:color w:val="auto"/>
              </w:rPr>
              <w:t>Net loss and other comprehensive loss</w:t>
            </w: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(22,811)</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(16,011)</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(6,800)</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4" w:lineRule="exact"/>
        <w:rPr>
          <w:sz w:val="20"/>
          <w:szCs w:val="20"/>
          <w:color w:val="auto"/>
        </w:rPr>
      </w:pPr>
    </w:p>
    <w:p>
      <w:pPr>
        <w:ind w:right="20" w:firstLine="546"/>
        <w:spacing w:after="0" w:line="258" w:lineRule="auto"/>
        <w:rPr>
          <w:sz w:val="20"/>
          <w:szCs w:val="20"/>
          <w:color w:val="auto"/>
        </w:rPr>
      </w:pPr>
      <w:r>
        <w:rPr>
          <w:rFonts w:ascii="Arial" w:cs="Arial" w:eastAsia="Arial" w:hAnsi="Arial"/>
          <w:sz w:val="17"/>
          <w:szCs w:val="17"/>
          <w:color w:val="auto"/>
        </w:rPr>
        <w:t>The decrease in research and development expenses of $2.0 million for the year ended December 31, 2020 was primarily due to decreases in clinical costs of $1.5 million and formulation development costs of $1.5 million, as well as decreases in personnel costs of $84,000, travel and meetings expense of $82,000, and miscellaneous operating costs of $2,000. The decreases were partially offset by increases in stock-based compensation expense and consulting costs of $911,000 and $247,000, respectively. The decreases were made following the completion of our Phase 2a study of our legacy lead program in acute otitis media and the subsequent suspension of development as we assessed strategic options. We expect our research and development costs to increase in future periods as we proceed with the development of AT-1501.</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4" w:lineRule="exact"/>
        <w:rPr>
          <w:sz w:val="20"/>
          <w:szCs w:val="20"/>
          <w:color w:val="auto"/>
        </w:rPr>
      </w:pPr>
    </w:p>
    <w:p>
      <w:pPr>
        <w:ind w:right="20" w:firstLine="546"/>
        <w:spacing w:after="0" w:line="258" w:lineRule="auto"/>
        <w:rPr>
          <w:sz w:val="20"/>
          <w:szCs w:val="20"/>
          <w:color w:val="auto"/>
        </w:rPr>
      </w:pPr>
      <w:r>
        <w:rPr>
          <w:rFonts w:ascii="Arial" w:cs="Arial" w:eastAsia="Arial" w:hAnsi="Arial"/>
          <w:sz w:val="17"/>
          <w:szCs w:val="17"/>
          <w:color w:val="auto"/>
        </w:rPr>
        <w:t>The increase in general and administrative expenses of $4.0 million for the year ended December 31, 2020 was primarily due to increases in merger related costs of $2.9 million as a result of the Anelixis acquisition and $441,000 in administrative costs associated with operating a public company, as well as increases in stock-based compensation expense and general operating costs of $953,000 and $80,000, respectively. The increases were offset by a decrease in litigation costs of $281,000, as well as decreases in travel and meetings expense and personnel costs of $44,000 and $5,000, respectively. Following the completion of Anelixis acquisition, we expect our general and administrative expenses to increase in future periods, as we have a larger headcount and incur expenses relating to the development of a larger product pipeline.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Expense</w:t>
      </w:r>
    </w:p>
    <w:p>
      <w:pPr>
        <w:spacing w:after="0" w:line="114" w:lineRule="exact"/>
        <w:rPr>
          <w:sz w:val="20"/>
          <w:szCs w:val="20"/>
          <w:color w:val="auto"/>
        </w:rPr>
      </w:pPr>
    </w:p>
    <w:p>
      <w:pPr>
        <w:ind w:right="400" w:firstLine="546"/>
        <w:spacing w:after="0" w:line="258" w:lineRule="auto"/>
        <w:rPr>
          <w:sz w:val="20"/>
          <w:szCs w:val="20"/>
          <w:color w:val="auto"/>
        </w:rPr>
      </w:pPr>
      <w:r>
        <w:rPr>
          <w:rFonts w:ascii="Arial" w:cs="Arial" w:eastAsia="Arial" w:hAnsi="Arial"/>
          <w:sz w:val="17"/>
          <w:szCs w:val="17"/>
          <w:color w:val="auto"/>
        </w:rPr>
        <w:t>On June 11, 2020, following the prior announcement of topline results of the Phase 2a Clinical Trial of OP0201 in acute otitis media, the Board of the Company approved a reduction in force. The restructuring was completed on June 30, 2020. Additionally, on September 3, 2020, the Board of the Company accepted the resignation of Gregory Flesher as the Company’s Chief Executive Officer and a member of the Board, effective as of the close of business on September 4, 2020. Furthermore, following the acquisition of Anelixis, the severance terms of certain terminated employees were modified. The Company incurred charges totaling $2.3 million for the estimated cash payments related to employee separation costs, including severance and post-employment health benefits.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auto"/>
        </w:rPr>
        <w:t>Goodwill Impairment</w:t>
      </w:r>
    </w:p>
    <w:p>
      <w:pPr>
        <w:spacing w:after="0" w:line="114" w:lineRule="exact"/>
        <w:rPr>
          <w:sz w:val="20"/>
          <w:szCs w:val="20"/>
          <w:color w:val="auto"/>
        </w:rPr>
      </w:pPr>
    </w:p>
    <w:p>
      <w:pPr>
        <w:ind w:right="340" w:firstLine="546"/>
        <w:spacing w:after="0" w:line="349" w:lineRule="auto"/>
        <w:rPr>
          <w:sz w:val="20"/>
          <w:szCs w:val="20"/>
          <w:color w:val="auto"/>
        </w:rPr>
      </w:pPr>
      <w:r>
        <w:rPr>
          <w:rFonts w:ascii="Arial" w:cs="Arial" w:eastAsia="Arial" w:hAnsi="Arial"/>
          <w:sz w:val="15"/>
          <w:szCs w:val="15"/>
          <w:color w:val="auto"/>
        </w:rPr>
        <w:t>The Company performed a goodwill impairment test as of December 31, 2019 and determined that the fair value of its goodwill was below its carrying value. As a result, the Company recognized $1.9 million of goodwill impairment. No impairment was recorded for the year ended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14" w:lineRule="exact"/>
        <w:rPr>
          <w:sz w:val="20"/>
          <w:szCs w:val="20"/>
          <w:color w:val="auto"/>
        </w:rPr>
      </w:pPr>
    </w:p>
    <w:p>
      <w:pPr>
        <w:jc w:val="both"/>
        <w:ind w:right="400" w:firstLine="546"/>
        <w:spacing w:after="0" w:line="266" w:lineRule="auto"/>
        <w:rPr>
          <w:sz w:val="20"/>
          <w:szCs w:val="20"/>
          <w:color w:val="auto"/>
        </w:rPr>
      </w:pPr>
      <w:r>
        <w:rPr>
          <w:rFonts w:ascii="Arial" w:cs="Arial" w:eastAsia="Arial" w:hAnsi="Arial"/>
          <w:sz w:val="17"/>
          <w:szCs w:val="17"/>
          <w:color w:val="auto"/>
        </w:rPr>
        <w:t>The change in other income, net was due to miscellaneous income of $35,000 related to disgorgement of profits on prohibited stock transactions by an investor, a decrease in realized losses on foreign currency translation of $22,000, and a decrease in VAT tax of $3,000, partially offset by a decrease in interest income of $21,000 for the year ended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 Inducement Expense</w:t>
      </w:r>
    </w:p>
    <w:p>
      <w:pPr>
        <w:spacing w:after="0" w:line="114"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The Company recognized warrant inducement expense of $4.8 million as a result of the Warrant Exercise Transaction in addition to the fair value of the Private Placement Warrants issued. (See Note 7 to the consolidated financial statements included elsewhere in this filing).</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114" w:lineRule="exact"/>
        <w:rPr>
          <w:sz w:val="20"/>
          <w:szCs w:val="20"/>
          <w:color w:val="auto"/>
        </w:rPr>
      </w:pPr>
    </w:p>
    <w:p>
      <w:pPr>
        <w:ind w:right="140" w:firstLine="546"/>
        <w:spacing w:after="0" w:line="279" w:lineRule="auto"/>
        <w:rPr>
          <w:sz w:val="20"/>
          <w:szCs w:val="20"/>
          <w:color w:val="auto"/>
        </w:rPr>
      </w:pPr>
      <w:r>
        <w:rPr>
          <w:rFonts w:ascii="Arial" w:cs="Arial" w:eastAsia="Arial" w:hAnsi="Arial"/>
          <w:sz w:val="17"/>
          <w:szCs w:val="17"/>
          <w:color w:val="auto"/>
        </w:rPr>
        <w:t>The Company recognized an income tax benefit of $404,000 for the year ended December 31, 2020 due to the current year change in deferred tax liability for the acquired IPR&amp;D related to the Anelixis acquisition.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 Forma Comparison of the Years Ended December 31, 2020 and 2019</w:t>
      </w:r>
    </w:p>
    <w:p>
      <w:pPr>
        <w:spacing w:after="0" w:line="114" w:lineRule="exact"/>
        <w:rPr>
          <w:sz w:val="20"/>
          <w:szCs w:val="20"/>
          <w:color w:val="auto"/>
        </w:rPr>
      </w:pPr>
    </w:p>
    <w:p>
      <w:pPr>
        <w:ind w:right="120" w:firstLine="602"/>
        <w:spacing w:after="0" w:line="259" w:lineRule="auto"/>
        <w:rPr>
          <w:sz w:val="20"/>
          <w:szCs w:val="20"/>
          <w:color w:val="auto"/>
        </w:rPr>
      </w:pPr>
      <w:r>
        <w:rPr>
          <w:rFonts w:ascii="Arial" w:cs="Arial" w:eastAsia="Arial" w:hAnsi="Arial"/>
          <w:sz w:val="17"/>
          <w:szCs w:val="17"/>
          <w:color w:val="auto"/>
        </w:rPr>
        <w:t>The following table provides pro forma combined financial information presented to illustrate the estimated effects of the Anelixis acquisition based on the historical financial statements and accounting records of the Company and Anelixis after giving effect to the acquisition. This pro forma information is not necessarily indicative either of the combined results of operations that actually would have been realized by us had the Anelixis acquisition been consummated at the beginning of the period for which the pro forma information is presented, or of future results. Additionally, the pro forma combined financial information does not reflect any merger-related expenses.</w:t>
      </w:r>
    </w:p>
    <w:p>
      <w:pPr>
        <w:spacing w:after="0" w:line="286"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Year Ended</w:t>
      </w:r>
    </w:p>
    <w:p>
      <w:pPr>
        <w:jc w:val="center"/>
        <w:ind w:left="144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4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8"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5"/>
              <w:spacing w:after="0" w:line="148"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55"/>
              <w:spacing w:after="0" w:line="148" w:lineRule="exact"/>
              <w:rPr>
                <w:sz w:val="20"/>
                <w:szCs w:val="20"/>
                <w:color w:val="auto"/>
              </w:rPr>
            </w:pPr>
            <w:r>
              <w:rPr>
                <w:rFonts w:ascii="Arial" w:cs="Arial" w:eastAsia="Arial" w:hAnsi="Arial"/>
                <w:sz w:val="14"/>
                <w:szCs w:val="14"/>
                <w:b w:val="1"/>
                <w:bCs w:val="1"/>
                <w:color w:val="auto"/>
              </w:rPr>
              <w:t>$ Variance</w:t>
            </w:r>
          </w:p>
        </w:tc>
        <w:tc>
          <w:tcPr>
            <w:tcW w:w="3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ind w:left="320"/>
              <w:spacing w:after="0" w:line="148" w:lineRule="exact"/>
              <w:rPr>
                <w:sz w:val="20"/>
                <w:szCs w:val="20"/>
                <w:color w:val="auto"/>
              </w:rPr>
            </w:pPr>
            <w:r>
              <w:rPr>
                <w:rFonts w:ascii="Arial" w:cs="Arial" w:eastAsia="Arial" w:hAnsi="Arial"/>
                <w:sz w:val="14"/>
                <w:szCs w:val="14"/>
                <w:b w:val="1"/>
                <w:bCs w:val="1"/>
                <w:color w:val="auto"/>
              </w:rPr>
              <w:t>% Variance</w:t>
            </w:r>
          </w:p>
        </w:tc>
        <w:tc>
          <w:tcPr>
            <w:tcW w:w="22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(380)</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(1,952)</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7,585</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732</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240"/>
              <w:spacing w:after="0"/>
              <w:rPr>
                <w:sz w:val="20"/>
                <w:szCs w:val="20"/>
                <w:color w:val="auto"/>
              </w:rPr>
            </w:pPr>
            <w:r>
              <w:rPr>
                <w:rFonts w:ascii="Arial" w:cs="Arial" w:eastAsia="Arial" w:hAnsi="Arial"/>
                <w:sz w:val="17"/>
                <w:szCs w:val="17"/>
                <w:color w:val="auto"/>
              </w:rPr>
              <w:t>Restructuring expense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2,282</w:t>
            </w:r>
          </w:p>
        </w:tc>
        <w:tc>
          <w:tcPr>
            <w:tcW w:w="3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 impairment</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(1,867)</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480"/>
              <w:spacing w:after="0"/>
              <w:rPr>
                <w:sz w:val="20"/>
                <w:szCs w:val="20"/>
                <w:color w:val="auto"/>
              </w:rPr>
            </w:pPr>
            <w:r>
              <w:rPr>
                <w:rFonts w:ascii="Arial" w:cs="Arial" w:eastAsia="Arial" w:hAnsi="Arial"/>
                <w:sz w:val="17"/>
                <w:szCs w:val="17"/>
                <w:color w:val="auto"/>
              </w:rPr>
              <w:t>Total operating expenses</w:t>
            </w: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20,088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20,893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(805)</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40" w:type="dxa"/>
            <w:vAlign w:val="bottom"/>
            <w:vMerge w:val="continue"/>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(19,968)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(20,393)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40" w:type="dxa"/>
            <w:vAlign w:val="bottom"/>
          </w:tcPr>
          <w:p>
            <w:pPr>
              <w:spacing w:after="0"/>
              <w:rPr>
                <w:sz w:val="20"/>
                <w:szCs w:val="20"/>
                <w:color w:val="auto"/>
              </w:rPr>
            </w:pPr>
            <w:r>
              <w:rPr>
                <w:rFonts w:ascii="Arial" w:cs="Arial" w:eastAsia="Arial" w:hAnsi="Arial"/>
                <w:sz w:val="17"/>
                <w:szCs w:val="17"/>
                <w:color w:val="auto"/>
              </w:rPr>
              <w:t>Other income, net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c>
          <w:tcPr>
            <w:tcW w:w="3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Warrant inducement expense</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(4,829)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(4,829)</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7"/>
                <w:szCs w:val="17"/>
                <w:color w:val="auto"/>
              </w:rPr>
              <w:t>Loss before income tax provision</w:t>
            </w: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(24,718)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(20,353)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(4,365)</w:t>
            </w: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7"/>
                <w:szCs w:val="17"/>
                <w:color w:val="auto"/>
              </w:rPr>
              <w:t>Net loss and other comprehensive loss</w:t>
            </w: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vMerge w:val="continue"/>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(24,314)</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(20,353)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(3,961)</w:t>
            </w: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15"/>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436" w:right="29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color w:val="auto"/>
        </w:rPr>
        <w:t>Revenue</w:t>
      </w:r>
    </w:p>
    <w:p>
      <w:pPr>
        <w:spacing w:after="0" w:line="114"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The decrease in revenue of $380,000 for the year ended December 31, 2020 was due to the difference in amount Anelixis earned from a research grant. Anelixis had a $944,000 research grant agreement, which contained four research and productivity milestones. The current phase, which earned Anelixis $120,000, was the fourth and final phase of this agreement.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4" w:lineRule="exact"/>
        <w:rPr>
          <w:sz w:val="20"/>
          <w:szCs w:val="20"/>
          <w:color w:val="auto"/>
        </w:rPr>
      </w:pPr>
    </w:p>
    <w:p>
      <w:pPr>
        <w:ind w:right="160" w:firstLine="546"/>
        <w:spacing w:after="0" w:line="307" w:lineRule="auto"/>
        <w:rPr>
          <w:sz w:val="20"/>
          <w:szCs w:val="20"/>
          <w:color w:val="auto"/>
        </w:rPr>
      </w:pPr>
      <w:r>
        <w:rPr>
          <w:rFonts w:ascii="Arial" w:cs="Arial" w:eastAsia="Arial" w:hAnsi="Arial"/>
          <w:sz w:val="15"/>
          <w:szCs w:val="15"/>
          <w:color w:val="auto"/>
        </w:rPr>
        <w:t>The decrease in research and development expenses of approximately $2.0 million for the year ended December 31, 2020 was primarily due to decreases in clinical costs and formulation development costs of approximately $2.2 million and $1.2 million, respectively, as well as a decrease in travel and meetings expense of $82,000. The decreases were partially offset by an increase in stock-based compensation costs of $911,000, personnel costs of $343,000, consulting services of $232,000, and $13,000 in general operating costs. As noted above, we expect research and development expenses to increase in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4" w:lineRule="exact"/>
        <w:rPr>
          <w:sz w:val="20"/>
          <w:szCs w:val="20"/>
          <w:color w:val="auto"/>
        </w:rPr>
      </w:pPr>
    </w:p>
    <w:p>
      <w:pPr>
        <w:ind w:right="160" w:firstLine="546"/>
        <w:spacing w:after="0" w:line="262" w:lineRule="auto"/>
        <w:rPr>
          <w:sz w:val="20"/>
          <w:szCs w:val="20"/>
          <w:color w:val="auto"/>
        </w:rPr>
      </w:pPr>
      <w:r>
        <w:rPr>
          <w:rFonts w:ascii="Arial" w:cs="Arial" w:eastAsia="Arial" w:hAnsi="Arial"/>
          <w:sz w:val="17"/>
          <w:szCs w:val="17"/>
          <w:color w:val="auto"/>
        </w:rPr>
        <w:t>The increase in general and administrative expenses of $732,000 for the year ended December 31, 2020 was primarily due to increases in stock-based compensation costs of $953,000 and costs associated with operating a publicly traded company of $510,000. The increase was offset by decreases in litigation costs of $281,000, general operating costs of $245,000, personnel costs of $161,000, and travel and meetings expense of $44,000. As noted above, we expect our general and administrative expenses to increase in future periods.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Expense</w:t>
      </w:r>
    </w:p>
    <w:p>
      <w:pPr>
        <w:spacing w:after="0" w:line="114" w:lineRule="exact"/>
        <w:rPr>
          <w:sz w:val="20"/>
          <w:szCs w:val="20"/>
          <w:color w:val="auto"/>
        </w:rPr>
      </w:pPr>
    </w:p>
    <w:p>
      <w:pPr>
        <w:ind w:right="400" w:firstLine="546"/>
        <w:spacing w:after="0" w:line="258" w:lineRule="auto"/>
        <w:rPr>
          <w:sz w:val="20"/>
          <w:szCs w:val="20"/>
          <w:color w:val="auto"/>
        </w:rPr>
      </w:pPr>
      <w:r>
        <w:rPr>
          <w:rFonts w:ascii="Arial" w:cs="Arial" w:eastAsia="Arial" w:hAnsi="Arial"/>
          <w:sz w:val="17"/>
          <w:szCs w:val="17"/>
          <w:color w:val="auto"/>
        </w:rPr>
        <w:t>On June 11, 2020, following the prior announcement of topline results of the Phase 2a Clinical Trial of OP0201 in acute otitis media, the Board of the Company approved a reduction in force. The restructuring was completed on June 30, 2020. Additionally, on September 3, 2020, the Board of the Company accepted the resignation of Gregory Flesher as the Company’s Chief Executive Officer and a member of the Board, effective as of the close of business on September 4, 2020. Furthermore, following the acquisition of Anelixis, the severance terms of certain terminated employees were modified. The Company incurred charges totaling $2.3 million for the estimated cash payments related to employee separation costs, including severance and post-employment health benefits.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14" w:lineRule="exact"/>
        <w:rPr>
          <w:sz w:val="20"/>
          <w:szCs w:val="20"/>
          <w:color w:val="auto"/>
        </w:rPr>
      </w:pPr>
    </w:p>
    <w:p>
      <w:pPr>
        <w:ind w:right="240" w:firstLine="546"/>
        <w:spacing w:after="0" w:line="266" w:lineRule="auto"/>
        <w:rPr>
          <w:sz w:val="20"/>
          <w:szCs w:val="20"/>
          <w:color w:val="auto"/>
        </w:rPr>
      </w:pPr>
      <w:r>
        <w:rPr>
          <w:rFonts w:ascii="Arial" w:cs="Arial" w:eastAsia="Arial" w:hAnsi="Arial"/>
          <w:sz w:val="17"/>
          <w:szCs w:val="17"/>
          <w:color w:val="auto"/>
        </w:rPr>
        <w:t>The change in other income, net was due to miscellaneous income of $35,000 related to disgorgement of profits on prohibited stock transactions by an investor, a decrease in realized losses on foreign currency translation of $22,000, and a decrease in VAT tax of $3,000, offset by a decrease in interest income of $21,000 for the year ended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 Inducement Expense</w:t>
      </w:r>
    </w:p>
    <w:p>
      <w:pPr>
        <w:spacing w:after="0" w:line="114" w:lineRule="exact"/>
        <w:rPr>
          <w:sz w:val="20"/>
          <w:szCs w:val="20"/>
          <w:color w:val="auto"/>
        </w:rPr>
      </w:pPr>
    </w:p>
    <w:p>
      <w:pPr>
        <w:ind w:right="240" w:firstLine="546"/>
        <w:spacing w:after="0" w:line="279" w:lineRule="auto"/>
        <w:rPr>
          <w:sz w:val="20"/>
          <w:szCs w:val="20"/>
          <w:color w:val="auto"/>
        </w:rPr>
      </w:pPr>
      <w:r>
        <w:rPr>
          <w:rFonts w:ascii="Arial" w:cs="Arial" w:eastAsia="Arial" w:hAnsi="Arial"/>
          <w:sz w:val="17"/>
          <w:szCs w:val="17"/>
          <w:color w:val="auto"/>
        </w:rPr>
        <w:t>The Company recognized warrant inducement expense of $4.8 million as a result of the Warrant Exercise Transaction in addition to the fair value of the Private Placement Warrants issued. (See Note 7 to the consolidated financial statements included elsewhere in this filing).</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recognized an income tax benefit of $404,000 for the year ended December 31, 2020 due to the current year change in deferred tax liability.</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right="120" w:firstLine="546"/>
        <w:spacing w:after="0" w:line="307" w:lineRule="auto"/>
        <w:rPr>
          <w:sz w:val="20"/>
          <w:szCs w:val="20"/>
          <w:color w:val="auto"/>
        </w:rPr>
      </w:pPr>
      <w:r>
        <w:rPr>
          <w:rFonts w:ascii="Arial" w:cs="Arial" w:eastAsia="Arial" w:hAnsi="Arial"/>
          <w:sz w:val="15"/>
          <w:szCs w:val="15"/>
          <w:color w:val="auto"/>
        </w:rPr>
        <w:t>As of December 31, 2020, we had cash and cash equivalents of approximately $114.2 million, consisting of readily available cash and cash equivalents in bank accounts and an accumulated deficit of $80.4 million. While we believe our cash and cash equivalents are not subject to excessive risk, we maintain significant amounts of cash and cash equivalents at one or more financial institutions that are in excess of federally insured limits. To date, our operations have been financed primarily by net proceeds from the sale of preferred and common stock and warrants, the issuance of convertible promissory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53" w:name="page54"/>
    <w:bookmarkEnd w:id="53"/>
    <w:p>
      <w:pPr>
        <w:ind w:firstLine="546"/>
        <w:spacing w:after="0" w:line="275" w:lineRule="auto"/>
        <w:rPr>
          <w:sz w:val="20"/>
          <w:szCs w:val="20"/>
          <w:color w:val="auto"/>
        </w:rPr>
      </w:pPr>
      <w:r>
        <w:rPr>
          <w:rFonts w:ascii="Arial" w:cs="Arial" w:eastAsia="Arial" w:hAnsi="Arial"/>
          <w:sz w:val="16"/>
          <w:szCs w:val="16"/>
          <w:color w:val="auto"/>
        </w:rPr>
        <w:t>We do not have any approved products for commercial sale and have never generated revenue from product sales, and have incurred significant net losses since our inception and expect to continue to incur net operating losses for the foreseeable future. We do not expect to receive any revenue from any product candidates that we develop unless and until we obtain regulatory approval and commercialize our product candidates or enter into collaborative arrangements with third parties. Our primary use of cash is to fund operating expenses, which consist of research and development expenses and general and administrative expenses. Cash used to fund operating expenses is impacted by the timing of when we pay or prepay these expenses. We expect our expenses to increase in connection with our ongoing activities, particularly as we expand our clinical program with AT-1501,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w:t>
      </w:r>
    </w:p>
    <w:p>
      <w:pPr>
        <w:spacing w:after="0" w:line="170" w:lineRule="exact"/>
        <w:rPr>
          <w:sz w:val="20"/>
          <w:szCs w:val="20"/>
          <w:color w:val="auto"/>
        </w:rPr>
      </w:pPr>
    </w:p>
    <w:p>
      <w:pPr>
        <w:ind w:right="20" w:firstLine="546"/>
        <w:spacing w:after="0" w:line="291" w:lineRule="auto"/>
        <w:rPr>
          <w:sz w:val="20"/>
          <w:szCs w:val="20"/>
          <w:color w:val="auto"/>
        </w:rPr>
      </w:pPr>
      <w:r>
        <w:rPr>
          <w:rFonts w:ascii="Arial" w:cs="Arial" w:eastAsia="Arial" w:hAnsi="Arial"/>
          <w:sz w:val="15"/>
          <w:szCs w:val="15"/>
          <w:color w:val="auto"/>
        </w:rPr>
        <w:t>We will continue to require additional financing in order to advance our drug product through clinical development, to manufacture, obtain regulatory approval for and to commercialize our product candidates, to develop, acquire or in-license other potential product candidates, and to fund operations for the foreseeable future. Therefore, we will seek to raise additional capital through equity offerings, debt financings or other capital sources, including potentially collaborations, licenses and other similar arrangements. Adequate additional funding may not be available to us on acceptable terms on a timely basis, or at all. Any such failure to raise capital as and when needed could have a negative impact on our financial condition and on our ability to pursue our business plans and strategies, and may cause us to delay the scope of or suspend one or more of our clinical trials, research and development programs or commercialization efforts, out-license intellectual property rights to our product candidates or sell unsecured assets, or a combination of the above. Any of these actions could materially harm our business.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raise funds through collaborations, licenses and other similar arrangements with third parties, we may have to relinquish valuable rights to our technologies, future revenue streams, research programs or product candidates or to grant licenses on terms that may not be favorable to us. Please see the section of this Annual Report titled “Risk Factors” for additional risks associated with our substantial capital requirements and the challenges we may face in raising capital.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4" w:name="page55"/>
    <w:bookmarkEnd w:id="54"/>
    <w:p>
      <w:pPr>
        <w:ind w:right="340" w:firstLine="546"/>
        <w:spacing w:after="0" w:line="262" w:lineRule="auto"/>
        <w:rPr>
          <w:sz w:val="20"/>
          <w:szCs w:val="20"/>
          <w:color w:val="auto"/>
        </w:rPr>
      </w:pPr>
      <w:r>
        <w:rPr>
          <w:rFonts w:ascii="Arial" w:cs="Arial" w:eastAsia="Arial" w:hAnsi="Arial"/>
          <w:sz w:val="17"/>
          <w:szCs w:val="17"/>
          <w:color w:val="auto"/>
        </w:rPr>
        <w:t>We plan to continue to fund losses from operations and capital funding needs through cash on hand and future equity or debt financings, as well as potential additional collaborations or strategic partnerships with other companies. The sale of additional equity or convertible debt could result in additional dilution to our stockholders. The incurrence of indebtedness would result in debt service obligations and could result in operating and financing covenants that would restrict our operations.</w:t>
      </w:r>
    </w:p>
    <w:p>
      <w:pPr>
        <w:spacing w:after="0" w:line="178" w:lineRule="exact"/>
        <w:rPr>
          <w:sz w:val="20"/>
          <w:szCs w:val="20"/>
          <w:color w:val="auto"/>
        </w:rPr>
      </w:pPr>
    </w:p>
    <w:p>
      <w:pPr>
        <w:ind w:right="20" w:firstLine="546"/>
        <w:spacing w:after="0" w:line="349" w:lineRule="auto"/>
        <w:rPr>
          <w:rFonts w:ascii="Arial" w:cs="Arial" w:eastAsia="Arial" w:hAnsi="Arial"/>
          <w:sz w:val="15"/>
          <w:szCs w:val="15"/>
          <w:color w:val="auto"/>
        </w:rPr>
      </w:pPr>
      <w:r>
        <w:rPr>
          <w:rFonts w:ascii="Arial" w:cs="Arial" w:eastAsia="Arial" w:hAnsi="Arial"/>
          <w:sz w:val="15"/>
          <w:szCs w:val="15"/>
          <w:color w:val="auto"/>
        </w:rPr>
        <w:t xml:space="preserve">See Item 7, </w:t>
      </w:r>
      <w:hyperlink w:anchor="page46">
        <w:r>
          <w:rPr>
            <w:rFonts w:ascii="Arial" w:cs="Arial" w:eastAsia="Arial" w:hAnsi="Arial"/>
            <w:sz w:val="15"/>
            <w:szCs w:val="15"/>
            <w:i w:val="1"/>
            <w:iCs w:val="1"/>
            <w:u w:val="single" w:color="auto"/>
            <w:color w:val="0000EE"/>
          </w:rPr>
          <w:t>Management’s Discussion and Analysis of Financial Condition and Results of Operations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in this Annual Report on Form 10-K under the caption “Recent Developments” for a discussion of additional sources of liquidity, including the 2019 Equity Offering, the Exercise Transaction and the Financing.</w:t>
      </w:r>
    </w:p>
    <w:p>
      <w:pPr>
        <w:spacing w:after="0" w:line="117" w:lineRule="exact"/>
        <w:rPr>
          <w:sz w:val="20"/>
          <w:szCs w:val="20"/>
          <w:color w:val="auto"/>
        </w:rPr>
      </w:pPr>
    </w:p>
    <w:p>
      <w:pPr>
        <w:ind w:firstLine="546"/>
        <w:spacing w:after="0" w:line="262" w:lineRule="auto"/>
        <w:rPr>
          <w:sz w:val="20"/>
          <w:szCs w:val="20"/>
          <w:color w:val="auto"/>
        </w:rPr>
      </w:pPr>
      <w:r>
        <w:rPr>
          <w:rFonts w:ascii="Arial" w:cs="Arial" w:eastAsia="Arial" w:hAnsi="Arial"/>
          <w:sz w:val="17"/>
          <w:szCs w:val="17"/>
          <w:color w:val="auto"/>
        </w:rPr>
        <w:t>Our primary uses of capital are, and we expect will continue to be, funding research efforts and the development of our product candidates, compensation and related expenses, hiring additional staff (including clinical, scientific, operational, financial, and management personnel) and costs associated with operating as a public company. We expect to incur substantial expenditures in the foreseeable future for the development and potential commercialization of our product candidates.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provides a summary of our net cash flow activity for the years ended December 31, 2020 and 2019 (in thousands):</w:t>
      </w:r>
    </w:p>
    <w:p>
      <w:pPr>
        <w:spacing w:after="0" w:line="217"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Year Ended</w:t>
      </w:r>
    </w:p>
    <w:p>
      <w:pPr>
        <w:jc w:val="center"/>
        <w:ind w:left="680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148"/>
        </w:trPr>
        <w:tc>
          <w:tcPr>
            <w:tcW w:w="4860" w:type="dxa"/>
            <w:vAlign w:val="bottom"/>
            <w:tcBorders>
              <w:bottom w:val="single" w:sz="8" w:color="CFF0FC"/>
            </w:tcBorders>
          </w:tcPr>
          <w:p>
            <w:pPr>
              <w:spacing w:after="0"/>
              <w:rPr>
                <w:sz w:val="12"/>
                <w:szCs w:val="12"/>
                <w:color w:val="auto"/>
              </w:rPr>
            </w:pPr>
          </w:p>
        </w:tc>
        <w:tc>
          <w:tcPr>
            <w:tcW w:w="20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8"/>
              <w:spacing w:after="0" w:line="148"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8"/>
              <w:spacing w:after="0" w:line="148"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12"/>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23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(15,212)</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(13,857)</w:t>
            </w:r>
          </w:p>
        </w:tc>
      </w:tr>
      <w:tr>
        <w:trPr>
          <w:trHeight w:val="218"/>
        </w:trPr>
        <w:tc>
          <w:tcPr>
            <w:tcW w:w="4860" w:type="dxa"/>
            <w:vAlign w:val="bottom"/>
          </w:tcPr>
          <w:p>
            <w:pPr>
              <w:spacing w:after="0"/>
              <w:rPr>
                <w:sz w:val="20"/>
                <w:szCs w:val="20"/>
                <w:color w:val="auto"/>
              </w:rPr>
            </w:pPr>
            <w:r>
              <w:rPr>
                <w:rFonts w:ascii="Arial" w:cs="Arial" w:eastAsia="Arial" w:hAnsi="Arial"/>
                <w:sz w:val="17"/>
                <w:szCs w:val="17"/>
                <w:color w:val="auto"/>
              </w:rPr>
              <w:t>Net cash provided by investing activities</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11,035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0"/>
        </w:trPr>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20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109,581</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9,676</w:t>
            </w:r>
          </w:p>
        </w:tc>
        <w:tc>
          <w:tcPr>
            <w:tcW w:w="100" w:type="dxa"/>
            <w:vAlign w:val="bottom"/>
            <w:shd w:val="clear" w:color="auto" w:fill="CFF0FC"/>
          </w:tcPr>
          <w:p>
            <w:pPr>
              <w:spacing w:after="0"/>
              <w:rPr>
                <w:sz w:val="19"/>
                <w:szCs w:val="19"/>
                <w:color w:val="auto"/>
              </w:rPr>
            </w:pPr>
          </w:p>
        </w:tc>
      </w:tr>
      <w:tr>
        <w:trPr>
          <w:trHeight w:val="211"/>
        </w:trPr>
        <w:tc>
          <w:tcPr>
            <w:tcW w:w="486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2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105,404</w:t>
            </w:r>
          </w:p>
        </w:tc>
        <w:tc>
          <w:tcPr>
            <w:tcW w:w="26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(4,181)</w:t>
            </w:r>
          </w:p>
        </w:tc>
      </w:tr>
      <w:tr>
        <w:trPr>
          <w:trHeight w:val="20"/>
        </w:trPr>
        <w:tc>
          <w:tcPr>
            <w:tcW w:w="4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2020 and 2019</w:t>
      </w:r>
    </w:p>
    <w:p>
      <w:pPr>
        <w:spacing w:after="0" w:line="114" w:lineRule="exact"/>
        <w:rPr>
          <w:sz w:val="20"/>
          <w:szCs w:val="20"/>
          <w:color w:val="auto"/>
        </w:rPr>
      </w:pPr>
    </w:p>
    <w:p>
      <w:pPr>
        <w:ind w:right="20" w:firstLine="546"/>
        <w:spacing w:after="0" w:line="283" w:lineRule="auto"/>
        <w:rPr>
          <w:sz w:val="20"/>
          <w:szCs w:val="20"/>
          <w:color w:val="auto"/>
        </w:rPr>
      </w:pPr>
      <w:r>
        <w:rPr>
          <w:rFonts w:ascii="Arial" w:cs="Arial" w:eastAsia="Arial" w:hAnsi="Arial"/>
          <w:sz w:val="16"/>
          <w:szCs w:val="16"/>
          <w:color w:val="auto"/>
        </w:rPr>
        <w:t>Net cash used in operating activities for the year ended December 31, 2020 consisted primarily of our net loss of $22.8 million, partially offset by non-cash items consisting primarily of depreciation and amortization of $183,000, warrant inducement expense of $4.8 million, net deferred income taxes of $404,000, and stock-based compensation totaling $3.2 million. Additionally, cash used in operating activities for the year ended December 31, 2020 reflected a net decrease in cash from changes in operating assets and liabilities of $180,000, due to a decrease in operating lease liability.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Net cash used in operating activities for the year ended December 31, 2019 consisted primarily of our net loss of $16.0 million, partially offset by non-cash</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items consisting primarily of depreciation and amortization of $182,000, a goodwill impairment charge of $1.9 million, and stock-based compensation totaling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$1.3 million. Additionally, cash used in operating activities for the year ended December 31, 2019 reflected a net decrease in cash from changes in operating assets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of $1.2 million, due to a decrease in our accounts payable and accrued liabilities of $1.4 million and a decrease in our operating lease liability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$165,000, offset by a decrease in prepaid expenses and other assets of $354,000.</w:t>
      </w:r>
    </w:p>
    <w:p>
      <w:pPr>
        <w:spacing w:after="0" w:line="206"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Net cash provided by investing activities for the year ended December 31, 2020 consisted of cash and cash equivalents received from the acquisition of Anelixis.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There was no cash provided by or used in investing activities for the year ended December 31, 2019.</w:t>
      </w:r>
    </w:p>
    <w:p>
      <w:pPr>
        <w:spacing w:after="0" w:line="217" w:lineRule="exact"/>
        <w:rPr>
          <w:sz w:val="20"/>
          <w:szCs w:val="20"/>
          <w:color w:val="auto"/>
        </w:rPr>
      </w:pPr>
    </w:p>
    <w:p>
      <w:pPr>
        <w:ind w:right="200" w:firstLine="546"/>
        <w:spacing w:after="0" w:line="283" w:lineRule="auto"/>
        <w:rPr>
          <w:sz w:val="20"/>
          <w:szCs w:val="20"/>
          <w:color w:val="auto"/>
        </w:rPr>
      </w:pPr>
      <w:r>
        <w:rPr>
          <w:rFonts w:ascii="Arial" w:cs="Arial" w:eastAsia="Arial" w:hAnsi="Arial"/>
          <w:sz w:val="16"/>
          <w:szCs w:val="16"/>
          <w:color w:val="auto"/>
        </w:rPr>
        <w:t>Net cash provided by financing activities for the year ended December 31, 2020 was comprised of $95.2 million in net proceeds from the 2020 Purchase Agreement for the sale of 199,112 shares of Series X1 preferred stock, $5.4 million in net proceeds from the exercise of warrants by stockholders to purchase approximately 0.4 million shares of common stock, and $9.0 million in net proceeds for the sale of approximately 1.0 million shares of common stock, offset by $25,000 of cash paid in connection with the cancellation of common stock related to the Company’s reverse stock-split.</w:t>
      </w:r>
    </w:p>
    <w:p>
      <w:pPr>
        <w:spacing w:after="0" w:line="164" w:lineRule="exact"/>
        <w:rPr>
          <w:sz w:val="20"/>
          <w:szCs w:val="20"/>
          <w:color w:val="auto"/>
        </w:rPr>
      </w:pPr>
    </w:p>
    <w:p>
      <w:pPr>
        <w:ind w:right="220" w:firstLine="546"/>
        <w:spacing w:after="0" w:line="266" w:lineRule="auto"/>
        <w:rPr>
          <w:sz w:val="20"/>
          <w:szCs w:val="20"/>
          <w:color w:val="auto"/>
        </w:rPr>
      </w:pPr>
      <w:r>
        <w:rPr>
          <w:rFonts w:ascii="Arial" w:cs="Arial" w:eastAsia="Arial" w:hAnsi="Arial"/>
          <w:sz w:val="17"/>
          <w:szCs w:val="17"/>
          <w:color w:val="auto"/>
        </w:rPr>
        <w:t>Net cash provided by financing activities for the year ended December 31, 2019 was comprised of $9.6 million in net proceeds from the 2019 Equity Offering for the sale of approximately 3.4 million shares of common stock and $107,000 in net proceeds from the 2018 Prospectus for the sale of approximately 25,000 shares of common stock.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14"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Per §229.303 of Regulation S-K, the Company, designated a Smaller Reporting Company as defined in §229.10(f)(1) of Regulation S-K, is not required to provide the disclosure required by this Item.</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do not have any off-balance sheet arrangements as defined in the rules and regulations of the SEC.</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0"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Per §229.305 of Regulation S-K, the Company, designated a Smaller Reporting Company as defined in §229.10(f)(1) of Regulation S-K, is not required to provide the disclosure required by this Item.</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20" w:lineRule="exact"/>
        <w:rPr>
          <w:sz w:val="20"/>
          <w:szCs w:val="20"/>
          <w:color w:val="auto"/>
        </w:rPr>
      </w:pPr>
    </w:p>
    <w:p>
      <w:pPr>
        <w:ind w:right="280" w:firstLine="546"/>
        <w:spacing w:after="0" w:line="266" w:lineRule="auto"/>
        <w:rPr>
          <w:sz w:val="20"/>
          <w:szCs w:val="20"/>
          <w:color w:val="auto"/>
        </w:rPr>
      </w:pPr>
      <w:r>
        <w:rPr>
          <w:rFonts w:ascii="Arial" w:cs="Arial" w:eastAsia="Arial" w:hAnsi="Arial"/>
          <w:sz w:val="17"/>
          <w:szCs w:val="17"/>
          <w:color w:val="auto"/>
        </w:rPr>
        <w:t xml:space="preserve">The Report of Independent Registered Public Accounting Firm, our consolidated financial statements and accompanying notes listed under Part IV, Item 15. </w:t>
      </w:r>
      <w:r>
        <w:rPr>
          <w:rFonts w:ascii="Arial" w:cs="Arial" w:eastAsia="Arial" w:hAnsi="Arial"/>
          <w:sz w:val="17"/>
          <w:szCs w:val="17"/>
          <w:i w:val="1"/>
          <w:iCs w:val="1"/>
          <w:color w:val="auto"/>
        </w:rPr>
        <w:t>Exhibits, Financial Statement Schedules</w:t>
      </w:r>
      <w:r>
        <w:rPr>
          <w:rFonts w:ascii="Arial" w:cs="Arial" w:eastAsia="Arial" w:hAnsi="Arial"/>
          <w:sz w:val="17"/>
          <w:szCs w:val="17"/>
          <w:color w:val="auto"/>
        </w:rPr>
        <w:t xml:space="preserve"> of this Annual Report on Form 10-K are set forth beginning on page F-1 immediately following the signature page hereof and incorporated by reference herein.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ind w:firstLine="546"/>
        <w:spacing w:after="0" w:line="293" w:lineRule="auto"/>
        <w:rPr>
          <w:sz w:val="20"/>
          <w:szCs w:val="20"/>
          <w:color w:val="auto"/>
        </w:rPr>
      </w:pPr>
      <w:r>
        <w:rPr>
          <w:rFonts w:ascii="Arial" w:cs="Arial" w:eastAsia="Arial" w:hAnsi="Arial"/>
          <w:sz w:val="15"/>
          <w:szCs w:val="15"/>
          <w:color w:val="auto"/>
        </w:rPr>
        <w:t>As of December 31, 2020, our management, with the participation of our principal executive officer and principal financial officer, evaluated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management concluded that our disclosure controls and procedures were effective in alerting them in a timely manner to material information required to be disclosed in our periodic reports filed with the SEC.</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14" w:lineRule="exact"/>
        <w:rPr>
          <w:sz w:val="20"/>
          <w:szCs w:val="20"/>
          <w:color w:val="auto"/>
        </w:rPr>
      </w:pPr>
    </w:p>
    <w:p>
      <w:pPr>
        <w:ind w:right="160" w:firstLine="546"/>
        <w:spacing w:after="0" w:line="307"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 13a-15(f) under the Exchange Act. Our internal control system is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right="40" w:firstLine="546"/>
        <w:spacing w:after="0" w:line="258" w:lineRule="auto"/>
        <w:rPr>
          <w:sz w:val="20"/>
          <w:szCs w:val="20"/>
          <w:color w:val="auto"/>
        </w:rPr>
      </w:pPr>
      <w:r>
        <w:rPr>
          <w:rFonts w:ascii="Arial" w:cs="Arial" w:eastAsia="Arial" w:hAnsi="Arial"/>
          <w:sz w:val="17"/>
          <w:szCs w:val="17"/>
          <w:color w:val="auto"/>
        </w:rPr>
        <w:t xml:space="preserve">Our management has assessed the effectiveness of our internal control over financial reporting as of December 31, 2020. In making this assessment, management used the criteria set forth by the Committee of Sponsoring Organizations of the Treadway Commission (“COSO Framework”) in its 2013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Management believes that the COSO Framework is a suitable framework for its evaluation of financial reporting because it is</w:t>
      </w:r>
      <w:r>
        <w:rPr>
          <w:rFonts w:ascii="Arial" w:cs="Arial" w:eastAsia="Arial" w:hAnsi="Arial"/>
          <w:sz w:val="17"/>
          <w:szCs w:val="17"/>
          <w:i w:val="1"/>
          <w:iCs w:val="1"/>
          <w:color w:val="auto"/>
        </w:rPr>
        <w:t xml:space="preserve"> </w:t>
      </w:r>
      <w:r>
        <w:rPr>
          <w:rFonts w:ascii="Arial" w:cs="Arial" w:eastAsia="Arial" w:hAnsi="Arial"/>
          <w:sz w:val="17"/>
          <w:szCs w:val="17"/>
          <w:color w:val="auto"/>
        </w:rPr>
        <w:t>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Based on this assessment, our management has concluded that as of December 31, 2020, our internal control over financial reporting is effective.</w:t>
      </w:r>
    </w:p>
    <w:p>
      <w:pPr>
        <w:spacing w:after="0" w:line="229"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As a non-accelerated filer, we are not required to provide an attestation report on our internal control over financial reporting issued by the Company’s independent registered accounting firm.</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ind w:right="100" w:firstLine="546"/>
        <w:spacing w:after="0" w:line="312"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the quarter ended December 31, 2020 that have materially affected, or are reasonably likely to materially affect, our internal control over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0" w:lineRule="exact"/>
        <w:rPr>
          <w:sz w:val="20"/>
          <w:szCs w:val="20"/>
          <w:color w:val="auto"/>
        </w:rPr>
      </w:pPr>
    </w:p>
    <w:p>
      <w:pPr>
        <w:ind w:right="100" w:firstLine="546"/>
        <w:spacing w:after="0" w:line="266" w:lineRule="auto"/>
        <w:rPr>
          <w:sz w:val="20"/>
          <w:szCs w:val="20"/>
          <w:color w:val="auto"/>
        </w:rPr>
      </w:pPr>
      <w:r>
        <w:rPr>
          <w:rFonts w:ascii="Arial" w:cs="Arial" w:eastAsia="Arial" w:hAnsi="Arial"/>
          <w:sz w:val="17"/>
          <w:szCs w:val="17"/>
          <w:color w:val="auto"/>
        </w:rPr>
        <w:t>On March 30, 2021, the Company entered into an Open Market Sale Agreement (the “Sale Agreement”) with Jefferies LLC (“Jefferies”) to sell shares of the Company’s common stock, par value $0.001 per share, having aggregate sales proceeds of up to $75,000,000, from time to time, through an “at the market” equity offering program under which Jefferies will act as sales agent.</w:t>
      </w:r>
    </w:p>
    <w:p>
      <w:pPr>
        <w:spacing w:after="0" w:line="72" w:lineRule="exact"/>
        <w:rPr>
          <w:sz w:val="20"/>
          <w:szCs w:val="20"/>
          <w:color w:val="auto"/>
        </w:rPr>
      </w:pPr>
    </w:p>
    <w:p>
      <w:pPr>
        <w:ind w:firstLine="546"/>
        <w:spacing w:after="0" w:line="299" w:lineRule="auto"/>
        <w:rPr>
          <w:sz w:val="20"/>
          <w:szCs w:val="20"/>
          <w:color w:val="auto"/>
        </w:rPr>
      </w:pPr>
      <w:r>
        <w:rPr>
          <w:rFonts w:ascii="Arial" w:cs="Arial" w:eastAsia="Arial" w:hAnsi="Arial"/>
          <w:sz w:val="15"/>
          <w:szCs w:val="15"/>
          <w:color w:val="auto"/>
        </w:rPr>
        <w:t>Under the Sale Agreement, the Company will set the parameters for the sale of shares, including the number of shares to be issued, the time period during which sales are requested to be made, limitation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415(a)(4) promulgated under the Securities Act of 1933, as amended, including sales made directly on The Nasdaq Capital Market or on any other existing trading market for the common stock. The Company and Jefferies may each terminate the Sale Agreement at any time as set forth in the Sale Agreement. Under the terms of the Sale Agreement, the Company may also sell shares to Jefferies acting as principal for Jefferies’ own account.</w:t>
      </w:r>
    </w:p>
    <w:p>
      <w:pPr>
        <w:spacing w:after="0" w:line="51" w:lineRule="exact"/>
        <w:rPr>
          <w:sz w:val="20"/>
          <w:szCs w:val="20"/>
          <w:color w:val="auto"/>
        </w:rPr>
      </w:pPr>
    </w:p>
    <w:p>
      <w:pPr>
        <w:jc w:val="both"/>
        <w:ind w:right="80" w:firstLine="546"/>
        <w:spacing w:after="0" w:line="266" w:lineRule="auto"/>
        <w:rPr>
          <w:sz w:val="20"/>
          <w:szCs w:val="20"/>
          <w:color w:val="auto"/>
        </w:rPr>
      </w:pPr>
      <w:r>
        <w:rPr>
          <w:rFonts w:ascii="Arial" w:cs="Arial" w:eastAsia="Arial" w:hAnsi="Arial"/>
          <w:sz w:val="17"/>
          <w:szCs w:val="17"/>
          <w:color w:val="auto"/>
        </w:rPr>
        <w:t>The compensation to Jefferies for sales of the Company’s common stock will be an amount equal to 3.0% of the gross proceeds of any shares of common stock sold under the Sale Agreement. The Company has no obligation to sell any shares under the Sale Agreement, and may at any time suspend solicitation and offers under the Sale Agreement.</w:t>
      </w:r>
    </w:p>
    <w:p>
      <w:pPr>
        <w:spacing w:after="0" w:line="72"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The shares will be issued pursuant to a shelf registration statement on Form S-3 to be filed with the SEC. No sales may be made under the registration statement until it has been declared effective by the SEC.</w:t>
      </w:r>
    </w:p>
    <w:p>
      <w:pPr>
        <w:spacing w:after="0" w:line="61" w:lineRule="exact"/>
        <w:rPr>
          <w:sz w:val="20"/>
          <w:szCs w:val="20"/>
          <w:color w:val="auto"/>
        </w:rPr>
      </w:pPr>
    </w:p>
    <w:p>
      <w:pPr>
        <w:ind w:right="180" w:firstLine="546"/>
        <w:spacing w:after="0" w:line="279" w:lineRule="auto"/>
        <w:rPr>
          <w:sz w:val="20"/>
          <w:szCs w:val="20"/>
          <w:color w:val="auto"/>
        </w:rPr>
      </w:pPr>
      <w:r>
        <w:rPr>
          <w:rFonts w:ascii="Arial" w:cs="Arial" w:eastAsia="Arial" w:hAnsi="Arial"/>
          <w:sz w:val="17"/>
          <w:szCs w:val="17"/>
          <w:color w:val="auto"/>
        </w:rPr>
        <w:t>The foregoing description of the Sale Agreement is not complete and is qualified in its entirety by reference to the full text of such agreement, a copy of which is filed herewith as Exhibit 1.1 to this Annual Report on Form 10-K and is incorporated herein by reference.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0" w:lineRule="exact"/>
        <w:rPr>
          <w:sz w:val="20"/>
          <w:szCs w:val="20"/>
          <w:color w:val="auto"/>
        </w:rPr>
      </w:pPr>
    </w:p>
    <w:p>
      <w:pPr>
        <w:ind w:right="120" w:firstLine="546"/>
        <w:spacing w:after="0" w:line="279" w:lineRule="auto"/>
        <w:rPr>
          <w:sz w:val="20"/>
          <w:szCs w:val="20"/>
          <w:color w:val="auto"/>
        </w:rPr>
      </w:pPr>
      <w:r>
        <w:rPr>
          <w:rFonts w:ascii="Arial" w:cs="Arial" w:eastAsia="Arial" w:hAnsi="Arial"/>
          <w:sz w:val="16"/>
          <w:szCs w:val="16"/>
          <w:color w:val="auto"/>
        </w:rPr>
        <w:t>The information required by this Item 10 is incorporated herein by reference to information in our proxy statement for our 2021 Annual Meeting of Stockholders (the “2021 Proxy Statement”), which we expect to be filed with the SEC within 120 days of the end of our fiscal year ended December 31, 2020, including under headings “Board of Directors and Corporate Governance—Election of Directors,” “Executive Officers and Executive Compensation—Executive Officers,” “Board of Directors and Corporate Governance—Code of Business Conduct and Ethics,” “Board of Directors and Corporate Governance—Director Nomination Process” and “Board of Directors and Corporate Governance—Committees of the Board of Directors”.</w:t>
      </w:r>
    </w:p>
    <w:p>
      <w:pPr>
        <w:spacing w:after="0" w:line="168" w:lineRule="exact"/>
        <w:rPr>
          <w:sz w:val="20"/>
          <w:szCs w:val="20"/>
          <w:color w:val="auto"/>
        </w:rPr>
      </w:pPr>
    </w:p>
    <w:p>
      <w:pPr>
        <w:ind w:right="180" w:firstLine="546"/>
        <w:spacing w:after="0" w:line="279" w:lineRule="auto"/>
        <w:rPr>
          <w:sz w:val="20"/>
          <w:szCs w:val="20"/>
          <w:color w:val="auto"/>
        </w:rPr>
      </w:pPr>
      <w:r>
        <w:rPr>
          <w:rFonts w:ascii="Arial" w:cs="Arial" w:eastAsia="Arial" w:hAnsi="Arial"/>
          <w:sz w:val="16"/>
          <w:szCs w:val="16"/>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available on the Corporate Governance section of our website, which is located at </w:t>
      </w:r>
      <w:r>
        <w:rPr>
          <w:rFonts w:ascii="Arial" w:cs="Arial" w:eastAsia="Arial" w:hAnsi="Arial"/>
          <w:sz w:val="16"/>
          <w:szCs w:val="16"/>
          <w:i w:val="1"/>
          <w:iCs w:val="1"/>
          <w:color w:val="auto"/>
        </w:rPr>
        <w:t>http://ir.eledon.com/corporate-governance/governance-overview</w:t>
      </w:r>
      <w:r>
        <w:rPr>
          <w:rFonts w:ascii="Arial" w:cs="Arial" w:eastAsia="Arial" w:hAnsi="Arial"/>
          <w:sz w:val="16"/>
          <w:szCs w:val="16"/>
          <w:color w:val="auto"/>
        </w:rPr>
        <w:t>. We intend to disclose on our website any amendments to, or waivers from, the code of business conduct and ethics that are required to be disclosed pursuant to the disclosure requirements of Item 5.05 of Form 8-K within four business days following the date of the amendment or waiver.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0" w:lineRule="exact"/>
        <w:rPr>
          <w:sz w:val="20"/>
          <w:szCs w:val="20"/>
          <w:color w:val="auto"/>
        </w:rPr>
      </w:pPr>
    </w:p>
    <w:p>
      <w:pPr>
        <w:jc w:val="both"/>
        <w:ind w:right="560" w:firstLine="546"/>
        <w:spacing w:after="0" w:line="266" w:lineRule="auto"/>
        <w:rPr>
          <w:sz w:val="20"/>
          <w:szCs w:val="20"/>
          <w:color w:val="auto"/>
        </w:rPr>
      </w:pPr>
      <w:r>
        <w:rPr>
          <w:rFonts w:ascii="Arial" w:cs="Arial" w:eastAsia="Arial" w:hAnsi="Arial"/>
          <w:sz w:val="17"/>
          <w:szCs w:val="17"/>
          <w:color w:val="auto"/>
        </w:rPr>
        <w:t>The information required by this Item 11 is incorporated herein by reference to information in our 2021 Proxy Statement, including under headings “Executive Compensation,” “Director Compensation,” “Board of Directors and Corporate Governance—Compensation Committee Interlocks and Insider Participation,” “Board of Directors and Corporate Governance—Oversight of Risk”.</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20" w:lineRule="exact"/>
        <w:rPr>
          <w:sz w:val="20"/>
          <w:szCs w:val="20"/>
          <w:color w:val="auto"/>
        </w:rPr>
      </w:pPr>
    </w:p>
    <w:p>
      <w:pPr>
        <w:jc w:val="both"/>
        <w:ind w:right="540" w:firstLine="546"/>
        <w:spacing w:after="0" w:line="349" w:lineRule="auto"/>
        <w:rPr>
          <w:sz w:val="20"/>
          <w:szCs w:val="20"/>
          <w:color w:val="auto"/>
        </w:rPr>
      </w:pPr>
      <w:r>
        <w:rPr>
          <w:rFonts w:ascii="Arial" w:cs="Arial" w:eastAsia="Arial" w:hAnsi="Arial"/>
          <w:sz w:val="15"/>
          <w:szCs w:val="15"/>
          <w:color w:val="auto"/>
        </w:rPr>
        <w:t>The information required by this Item 12 is incorporated herein by reference to information in our 2021 Proxy Statement, including under headings “Security Ownership of Certain Beneficial Owners and Management” and “Securities Authorized for Issuance Under Equity Compensation Plans”.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0"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The information required by this Item 13 is incorporated herein by reference to information in our 2021 Proxy Statement, including under headings “Board of Directors and Corporate Governance—Related Person Transactions,” “Board of Directors and Corporate Governance,” and “Board of Directors and Corporate Governance—Committees of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20" w:lineRule="exact"/>
        <w:rPr>
          <w:sz w:val="20"/>
          <w:szCs w:val="20"/>
          <w:color w:val="auto"/>
        </w:rPr>
      </w:pPr>
    </w:p>
    <w:p>
      <w:pPr>
        <w:ind w:right="540" w:firstLine="546"/>
        <w:spacing w:after="0" w:line="279" w:lineRule="auto"/>
        <w:rPr>
          <w:sz w:val="20"/>
          <w:szCs w:val="20"/>
          <w:color w:val="auto"/>
        </w:rPr>
      </w:pPr>
      <w:r>
        <w:rPr>
          <w:rFonts w:ascii="Arial" w:cs="Arial" w:eastAsia="Arial" w:hAnsi="Arial"/>
          <w:sz w:val="17"/>
          <w:szCs w:val="17"/>
          <w:color w:val="auto"/>
        </w:rPr>
        <w:t>The information required by this Item 14 is incorporated herein by reference to information in our 2021 Proxy Statement, including under headings “Proposal No. 2—Ratification of the Appointment of Independent Registered Public Accounting Firm”.</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7"/>
          <w:szCs w:val="17"/>
          <w:b w:val="1"/>
          <w:bCs w:val="1"/>
          <w:color w:val="auto"/>
        </w:rPr>
        <w:t>PART IV</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20" w:lineRule="exact"/>
        <w:rPr>
          <w:sz w:val="20"/>
          <w:szCs w:val="20"/>
          <w:color w:val="auto"/>
        </w:rPr>
      </w:pPr>
    </w:p>
    <w:p>
      <w:pPr>
        <w:ind w:left="540" w:hanging="537"/>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on Form 10-K:</w:t>
      </w:r>
    </w:p>
    <w:p>
      <w:pPr>
        <w:spacing w:after="0" w:line="113" w:lineRule="exact"/>
        <w:rPr>
          <w:rFonts w:ascii="Arial" w:cs="Arial" w:eastAsia="Arial" w:hAnsi="Arial"/>
          <w:sz w:val="17"/>
          <w:szCs w:val="17"/>
          <w:color w:val="auto"/>
        </w:rPr>
      </w:pPr>
    </w:p>
    <w:p>
      <w:pPr>
        <w:ind w:left="1080" w:hanging="535"/>
        <w:spacing w:after="0"/>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113" w:lineRule="exact"/>
        <w:rPr>
          <w:rFonts w:ascii="Arial" w:cs="Arial" w:eastAsia="Arial" w:hAnsi="Arial"/>
          <w:sz w:val="17"/>
          <w:szCs w:val="17"/>
          <w:color w:val="auto"/>
        </w:rPr>
      </w:pPr>
    </w:p>
    <w:p>
      <w:pPr>
        <w:ind w:left="1100" w:right="600"/>
        <w:spacing w:after="0" w:line="279" w:lineRule="auto"/>
        <w:rPr>
          <w:rFonts w:ascii="Arial" w:cs="Arial" w:eastAsia="Arial" w:hAnsi="Arial"/>
          <w:sz w:val="17"/>
          <w:szCs w:val="17"/>
          <w:color w:val="auto"/>
        </w:rPr>
      </w:pPr>
      <w:r>
        <w:rPr>
          <w:rFonts w:ascii="Arial" w:cs="Arial" w:eastAsia="Arial" w:hAnsi="Arial"/>
          <w:sz w:val="17"/>
          <w:szCs w:val="17"/>
          <w:color w:val="auto"/>
        </w:rPr>
        <w:t>The Report of Independent Registered Public Accounting Firm, our consolidated financial statements and accompanying notes are set forth beginning on page F-1 immediately following the signature page of this Annual Report on Form 10-K.</w:t>
      </w:r>
    </w:p>
    <w:p>
      <w:pPr>
        <w:spacing w:after="0" w:line="61" w:lineRule="exact"/>
        <w:rPr>
          <w:rFonts w:ascii="Arial" w:cs="Arial" w:eastAsia="Arial" w:hAnsi="Arial"/>
          <w:sz w:val="17"/>
          <w:szCs w:val="17"/>
          <w:color w:val="auto"/>
        </w:rPr>
      </w:pPr>
    </w:p>
    <w:p>
      <w:pPr>
        <w:ind w:left="1080" w:hanging="535"/>
        <w:spacing w:after="0"/>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13" w:lineRule="exact"/>
        <w:rPr>
          <w:rFonts w:ascii="Arial" w:cs="Arial" w:eastAsia="Arial" w:hAnsi="Arial"/>
          <w:sz w:val="17"/>
          <w:szCs w:val="17"/>
          <w:color w:val="auto"/>
        </w:rPr>
      </w:pPr>
    </w:p>
    <w:p>
      <w:pPr>
        <w:ind w:left="1100" w:right="20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financial statement schedules are omitted as they are either not applicable or the information required is presented in the financial statements and notes thereto under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1080" w:hanging="535"/>
        <w:spacing w:after="0"/>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Incorporated by Reference</w:t>
            </w:r>
          </w:p>
        </w:tc>
        <w:tc>
          <w:tcPr>
            <w:tcW w:w="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40" w:type="dxa"/>
            <w:vAlign w:val="bottom"/>
            <w:gridSpan w:val="16"/>
          </w:tcPr>
          <w:p>
            <w:pPr>
              <w:ind w:left="700"/>
              <w:spacing w:after="0"/>
              <w:rPr>
                <w:sz w:val="20"/>
                <w:szCs w:val="20"/>
                <w:color w:val="auto"/>
              </w:rPr>
            </w:pPr>
            <w:r>
              <w:rPr>
                <w:rFonts w:ascii="Arial" w:cs="Arial" w:eastAsia="Arial" w:hAnsi="Arial"/>
                <w:sz w:val="14"/>
                <w:szCs w:val="14"/>
                <w:b w:val="1"/>
                <w:bCs w:val="1"/>
                <w:color w:val="auto"/>
              </w:rPr>
              <w:t>Exhibit Description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Form</w:t>
            </w:r>
          </w:p>
        </w:tc>
        <w:tc>
          <w:tcPr>
            <w:tcW w:w="1660" w:type="dxa"/>
            <w:vAlign w:val="bottom"/>
            <w:tcBorders>
              <w:top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90"/>
              </w:rPr>
              <w:t>File No.</w:t>
            </w:r>
          </w:p>
        </w:tc>
        <w:tc>
          <w:tcPr>
            <w:tcW w:w="680" w:type="dxa"/>
            <w:vAlign w:val="bottom"/>
            <w:tcBorders>
              <w:top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Exhibit</w:t>
            </w:r>
          </w:p>
        </w:tc>
        <w:tc>
          <w:tcPr>
            <w:tcW w:w="1940" w:type="dxa"/>
            <w:vAlign w:val="bottom"/>
          </w:tcPr>
          <w:p>
            <w:pPr>
              <w:ind w:left="760"/>
              <w:spacing w:after="0" w:line="159" w:lineRule="exact"/>
              <w:rPr>
                <w:sz w:val="20"/>
                <w:szCs w:val="20"/>
                <w:color w:val="auto"/>
              </w:rPr>
            </w:pPr>
            <w:r>
              <w:rPr>
                <w:rFonts w:ascii="Arial" w:cs="Arial" w:eastAsia="Arial" w:hAnsi="Arial"/>
                <w:sz w:val="14"/>
                <w:szCs w:val="14"/>
                <w:b w:val="1"/>
                <w:bCs w:val="1"/>
                <w:color w:val="auto"/>
              </w:rPr>
              <w:t>Filing Date</w:t>
            </w:r>
          </w:p>
        </w:tc>
        <w:tc>
          <w:tcPr>
            <w:tcW w:w="420" w:type="dxa"/>
            <w:vAlign w:val="bottom"/>
          </w:tcPr>
          <w:p>
            <w:pPr>
              <w:spacing w:after="0"/>
              <w:rPr>
                <w:sz w:val="14"/>
                <w:szCs w:val="14"/>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24"/>
                <w:szCs w:val="24"/>
                <w:color w:val="auto"/>
              </w:rPr>
            </w:pPr>
          </w:p>
        </w:tc>
        <w:tc>
          <w:tcPr>
            <w:tcW w:w="4260" w:type="dxa"/>
            <w:vAlign w:val="bottom"/>
            <w:tcBorders>
              <w:bottom w:val="single" w:sz="8" w:color="0000EE"/>
            </w:tcBorders>
            <w:gridSpan w:val="17"/>
          </w:tcPr>
          <w:p>
            <w:pPr>
              <w:spacing w:after="0"/>
              <w:rPr>
                <w:rFonts w:ascii="Arial" w:cs="Arial" w:eastAsia="Arial" w:hAnsi="Arial"/>
                <w:sz w:val="17"/>
                <w:szCs w:val="17"/>
                <w:color w:val="0000EE"/>
                <w:w w:val="90"/>
              </w:rPr>
            </w:pPr>
            <w:hyperlink w:anchor="page96">
              <w:r>
                <w:rPr>
                  <w:rFonts w:ascii="Arial" w:cs="Arial" w:eastAsia="Arial" w:hAnsi="Arial"/>
                  <w:sz w:val="17"/>
                  <w:szCs w:val="17"/>
                  <w:color w:val="0000EE"/>
                  <w:w w:val="90"/>
                </w:rPr>
                <w:t>Open Market Sales Agreement by and between the Registrant</w:t>
              </w:r>
            </w:hyperlink>
          </w:p>
        </w:tc>
        <w:tc>
          <w:tcPr>
            <w:tcW w:w="1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40" w:type="dxa"/>
            <w:vAlign w:val="bottom"/>
            <w:tcBorders>
              <w:bottom w:val="single" w:sz="8" w:color="0000EE"/>
            </w:tcBorders>
            <w:gridSpan w:val="5"/>
          </w:tcPr>
          <w:p>
            <w:pPr>
              <w:spacing w:after="0" w:line="186" w:lineRule="exact"/>
              <w:rPr>
                <w:rFonts w:ascii="Arial" w:cs="Arial" w:eastAsia="Arial" w:hAnsi="Arial"/>
                <w:sz w:val="17"/>
                <w:szCs w:val="17"/>
                <w:color w:val="0000EE"/>
                <w:w w:val="91"/>
              </w:rPr>
            </w:pPr>
            <w:hyperlink w:anchor="page96">
              <w:r>
                <w:rPr>
                  <w:rFonts w:ascii="Arial" w:cs="Arial" w:eastAsia="Arial" w:hAnsi="Arial"/>
                  <w:sz w:val="17"/>
                  <w:szCs w:val="17"/>
                  <w:color w:val="0000EE"/>
                  <w:w w:val="91"/>
                </w:rPr>
                <w:t>and Jefferies, LLC dated March 30, 2021</w:t>
              </w:r>
            </w:hyperlink>
          </w:p>
        </w:tc>
        <w:tc>
          <w:tcPr>
            <w:tcW w:w="1580" w:type="dxa"/>
            <w:vAlign w:val="bottom"/>
            <w:gridSpan w:val="14"/>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24"/>
                <w:szCs w:val="24"/>
                <w:color w:val="auto"/>
              </w:rPr>
            </w:pPr>
          </w:p>
        </w:tc>
        <w:tc>
          <w:tcPr>
            <w:tcW w:w="4420" w:type="dxa"/>
            <w:vAlign w:val="bottom"/>
            <w:gridSpan w:val="19"/>
          </w:tcPr>
          <w:p>
            <w:pPr>
              <w:spacing w:after="0"/>
              <w:rPr>
                <w:rFonts w:ascii="Arial" w:cs="Arial" w:eastAsia="Arial" w:hAnsi="Arial"/>
                <w:sz w:val="17"/>
                <w:szCs w:val="17"/>
                <w:color w:val="0000EE"/>
                <w:w w:val="93"/>
              </w:rPr>
            </w:pPr>
            <w:hyperlink r:id="rId82">
              <w:r>
                <w:rPr>
                  <w:rFonts w:ascii="Arial" w:cs="Arial" w:eastAsia="Arial" w:hAnsi="Arial"/>
                  <w:sz w:val="17"/>
                  <w:szCs w:val="17"/>
                  <w:color w:val="0000EE"/>
                  <w:w w:val="93"/>
                </w:rPr>
                <w:t>Agreement and Plan of Merger, dated September 14, 2020, by</w:t>
              </w:r>
            </w:hyperlink>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ind w:right="278"/>
              <w:spacing w:after="0"/>
              <w:rPr>
                <w:sz w:val="20"/>
                <w:szCs w:val="20"/>
                <w:color w:val="auto"/>
              </w:rPr>
            </w:pPr>
            <w:r>
              <w:rPr>
                <w:rFonts w:ascii="Arial" w:cs="Arial" w:eastAsia="Arial" w:hAnsi="Arial"/>
                <w:sz w:val="17"/>
                <w:szCs w:val="17"/>
                <w:color w:val="auto"/>
                <w:w w:val="90"/>
              </w:rPr>
              <w:t>001-36620</w:t>
            </w:r>
          </w:p>
        </w:tc>
        <w:tc>
          <w:tcPr>
            <w:tcW w:w="680" w:type="dxa"/>
            <w:vAlign w:val="bottom"/>
          </w:tcPr>
          <w:p>
            <w:pPr>
              <w:jc w:val="right"/>
              <w:ind w:right="177"/>
              <w:spacing w:after="0"/>
              <w:rPr>
                <w:sz w:val="20"/>
                <w:szCs w:val="20"/>
                <w:color w:val="auto"/>
              </w:rPr>
            </w:pPr>
            <w:r>
              <w:rPr>
                <w:rFonts w:ascii="Arial" w:cs="Arial" w:eastAsia="Arial" w:hAnsi="Arial"/>
                <w:sz w:val="17"/>
                <w:szCs w:val="17"/>
                <w:color w:val="auto"/>
              </w:rPr>
              <w:t>2.1</w:t>
            </w:r>
          </w:p>
        </w:tc>
        <w:tc>
          <w:tcPr>
            <w:tcW w:w="1940" w:type="dxa"/>
            <w:vAlign w:val="bottom"/>
          </w:tcPr>
          <w:p>
            <w:pPr>
              <w:jc w:val="center"/>
              <w:ind w:left="77"/>
              <w:spacing w:after="0"/>
              <w:rPr>
                <w:sz w:val="20"/>
                <w:szCs w:val="20"/>
                <w:color w:val="auto"/>
              </w:rPr>
            </w:pPr>
            <w:r>
              <w:rPr>
                <w:rFonts w:ascii="Arial" w:cs="Arial" w:eastAsia="Arial" w:hAnsi="Arial"/>
                <w:sz w:val="17"/>
                <w:szCs w:val="17"/>
                <w:color w:val="auto"/>
                <w:w w:val="89"/>
              </w:rPr>
              <w:t>September 15, 2020</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40" w:type="dxa"/>
            <w:vAlign w:val="bottom"/>
            <w:tcBorders>
              <w:top w:val="single" w:sz="8" w:color="0000EE"/>
              <w:bottom w:val="single" w:sz="8" w:color="0000EE"/>
            </w:tcBorders>
            <w:gridSpan w:val="16"/>
          </w:tcPr>
          <w:p>
            <w:pPr>
              <w:spacing w:after="0" w:line="186" w:lineRule="exact"/>
              <w:rPr>
                <w:rFonts w:ascii="Arial" w:cs="Arial" w:eastAsia="Arial" w:hAnsi="Arial"/>
                <w:sz w:val="17"/>
                <w:szCs w:val="17"/>
                <w:color w:val="0000EE"/>
                <w:w w:val="91"/>
              </w:rPr>
            </w:pPr>
            <w:hyperlink r:id="rId82">
              <w:r>
                <w:rPr>
                  <w:rFonts w:ascii="Arial" w:cs="Arial" w:eastAsia="Arial" w:hAnsi="Arial"/>
                  <w:sz w:val="17"/>
                  <w:szCs w:val="17"/>
                  <w:color w:val="0000EE"/>
                  <w:w w:val="91"/>
                </w:rPr>
                <w:t>and among Novus Therapeutics, Inc., Nautilus Merger Sub 1,</w:t>
              </w:r>
            </w:hyperlink>
          </w:p>
        </w:tc>
        <w:tc>
          <w:tcPr>
            <w:tcW w:w="20" w:type="dxa"/>
            <w:vAlign w:val="bottom"/>
            <w:tcBorders>
              <w:top w:val="single" w:sz="8" w:color="0000EE"/>
            </w:tcBorders>
          </w:tcPr>
          <w:p>
            <w:pPr>
              <w:spacing w:after="0"/>
              <w:rPr>
                <w:sz w:val="16"/>
                <w:szCs w:val="16"/>
                <w:color w:val="auto"/>
              </w:rPr>
            </w:pPr>
          </w:p>
        </w:tc>
        <w:tc>
          <w:tcPr>
            <w:tcW w:w="1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20" w:type="dxa"/>
            <w:vAlign w:val="bottom"/>
            <w:tcBorders>
              <w:bottom w:val="single" w:sz="8" w:color="0000EE"/>
            </w:tcBorders>
            <w:gridSpan w:val="15"/>
          </w:tcPr>
          <w:p>
            <w:pPr>
              <w:spacing w:after="0" w:line="186" w:lineRule="exact"/>
              <w:rPr>
                <w:rFonts w:ascii="Arial" w:cs="Arial" w:eastAsia="Arial" w:hAnsi="Arial"/>
                <w:sz w:val="17"/>
                <w:szCs w:val="17"/>
                <w:color w:val="0000EE"/>
                <w:w w:val="93"/>
              </w:rPr>
            </w:pPr>
            <w:hyperlink r:id="rId82">
              <w:r>
                <w:rPr>
                  <w:rFonts w:ascii="Arial" w:cs="Arial" w:eastAsia="Arial" w:hAnsi="Arial"/>
                  <w:sz w:val="17"/>
                  <w:szCs w:val="17"/>
                  <w:color w:val="0000EE"/>
                  <w:w w:val="93"/>
                </w:rPr>
                <w:t>Inc., Nautilus Merger Sub 2, LLC and Anelixis Therapeutics,</w:t>
              </w:r>
            </w:hyperlink>
          </w:p>
        </w:tc>
        <w:tc>
          <w:tcPr>
            <w:tcW w:w="20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rPr>
            </w:pPr>
            <w:hyperlink r:id="rId82">
              <w:r>
                <w:rPr>
                  <w:rFonts w:ascii="Arial" w:cs="Arial" w:eastAsia="Arial" w:hAnsi="Arial"/>
                  <w:sz w:val="17"/>
                  <w:szCs w:val="17"/>
                  <w:color w:val="0000EE"/>
                </w:rPr>
                <w:t>Inc.</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24"/>
                <w:szCs w:val="24"/>
                <w:color w:val="auto"/>
              </w:rPr>
            </w:pPr>
          </w:p>
        </w:tc>
        <w:tc>
          <w:tcPr>
            <w:tcW w:w="4180" w:type="dxa"/>
            <w:vAlign w:val="bottom"/>
            <w:tcBorders>
              <w:bottom w:val="single" w:sz="8" w:color="0000EE"/>
            </w:tcBorders>
            <w:gridSpan w:val="13"/>
          </w:tcPr>
          <w:p>
            <w:pPr>
              <w:spacing w:after="0"/>
              <w:rPr>
                <w:rFonts w:ascii="Arial" w:cs="Arial" w:eastAsia="Arial" w:hAnsi="Arial"/>
                <w:sz w:val="17"/>
                <w:szCs w:val="17"/>
                <w:color w:val="0000EE"/>
                <w:w w:val="92"/>
              </w:rPr>
            </w:pPr>
            <w:hyperlink r:id="rId83">
              <w:r>
                <w:rPr>
                  <w:rFonts w:ascii="Arial" w:cs="Arial" w:eastAsia="Arial" w:hAnsi="Arial"/>
                  <w:sz w:val="17"/>
                  <w:szCs w:val="17"/>
                  <w:color w:val="0000EE"/>
                  <w:w w:val="92"/>
                </w:rPr>
                <w:t>Restated Certificate of Incorporation of Novus Therapeutics,</w:t>
              </w:r>
            </w:hyperlink>
          </w:p>
        </w:tc>
        <w:tc>
          <w:tcPr>
            <w:tcW w:w="240" w:type="dxa"/>
            <w:vAlign w:val="bottom"/>
            <w:gridSpan w:val="6"/>
          </w:tcPr>
          <w:p>
            <w:pPr>
              <w:spacing w:after="0"/>
              <w:rPr>
                <w:sz w:val="24"/>
                <w:szCs w:val="2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ind w:right="278"/>
              <w:spacing w:after="0"/>
              <w:rPr>
                <w:sz w:val="20"/>
                <w:szCs w:val="20"/>
                <w:color w:val="auto"/>
              </w:rPr>
            </w:pPr>
            <w:r>
              <w:rPr>
                <w:rFonts w:ascii="Arial" w:cs="Arial" w:eastAsia="Arial" w:hAnsi="Arial"/>
                <w:sz w:val="17"/>
                <w:szCs w:val="17"/>
                <w:color w:val="auto"/>
                <w:w w:val="90"/>
              </w:rPr>
              <w:t>001-36620</w:t>
            </w:r>
          </w:p>
        </w:tc>
        <w:tc>
          <w:tcPr>
            <w:tcW w:w="680" w:type="dxa"/>
            <w:vAlign w:val="bottom"/>
          </w:tcPr>
          <w:p>
            <w:pPr>
              <w:jc w:val="right"/>
              <w:ind w:right="177"/>
              <w:spacing w:after="0"/>
              <w:rPr>
                <w:sz w:val="20"/>
                <w:szCs w:val="20"/>
                <w:color w:val="auto"/>
              </w:rPr>
            </w:pPr>
            <w:r>
              <w:rPr>
                <w:rFonts w:ascii="Arial" w:cs="Arial" w:eastAsia="Arial" w:hAnsi="Arial"/>
                <w:sz w:val="17"/>
                <w:szCs w:val="17"/>
                <w:color w:val="auto"/>
              </w:rPr>
              <w:t>3.1</w:t>
            </w:r>
          </w:p>
        </w:tc>
        <w:tc>
          <w:tcPr>
            <w:tcW w:w="1940" w:type="dxa"/>
            <w:vAlign w:val="bottom"/>
          </w:tcPr>
          <w:p>
            <w:pPr>
              <w:jc w:val="center"/>
              <w:ind w:left="77"/>
              <w:spacing w:after="0"/>
              <w:rPr>
                <w:sz w:val="20"/>
                <w:szCs w:val="20"/>
                <w:color w:val="auto"/>
              </w:rPr>
            </w:pPr>
            <w:r>
              <w:rPr>
                <w:rFonts w:ascii="Arial" w:cs="Arial" w:eastAsia="Arial" w:hAnsi="Arial"/>
                <w:sz w:val="17"/>
                <w:szCs w:val="17"/>
                <w:color w:val="auto"/>
                <w:w w:val="89"/>
              </w:rPr>
              <w:t>September 26, 2014</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rPr>
            </w:pPr>
            <w:hyperlink r:id="rId83">
              <w:r>
                <w:rPr>
                  <w:rFonts w:ascii="Arial" w:cs="Arial" w:eastAsia="Arial" w:hAnsi="Arial"/>
                  <w:sz w:val="17"/>
                  <w:szCs w:val="17"/>
                  <w:color w:val="0000EE"/>
                </w:rPr>
                <w:t>Inc., a Delaware corporation, dated September 22, 2014</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7"/>
                <w:szCs w:val="17"/>
                <w:color w:val="0000EE"/>
                <w:w w:val="94"/>
              </w:rPr>
            </w:pPr>
            <w:hyperlink r:id="rId84">
              <w:r>
                <w:rPr>
                  <w:rFonts w:ascii="Arial" w:cs="Arial" w:eastAsia="Arial" w:hAnsi="Arial"/>
                  <w:sz w:val="17"/>
                  <w:szCs w:val="17"/>
                  <w:color w:val="0000EE"/>
                  <w:w w:val="94"/>
                </w:rPr>
                <w:t>Certificate of Amendment to Certificate of Incorporation of</w:t>
              </w:r>
            </w:hyperlink>
          </w:p>
        </w:tc>
        <w:tc>
          <w:tcPr>
            <w:tcW w:w="320" w:type="dxa"/>
            <w:vAlign w:val="bottom"/>
            <w:gridSpan w:val="7"/>
          </w:tcPr>
          <w:p>
            <w:pPr>
              <w:spacing w:after="0"/>
              <w:rPr>
                <w:sz w:val="24"/>
                <w:szCs w:val="2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ind w:right="278"/>
              <w:spacing w:after="0"/>
              <w:rPr>
                <w:sz w:val="20"/>
                <w:szCs w:val="20"/>
                <w:color w:val="auto"/>
              </w:rPr>
            </w:pPr>
            <w:r>
              <w:rPr>
                <w:rFonts w:ascii="Arial" w:cs="Arial" w:eastAsia="Arial" w:hAnsi="Arial"/>
                <w:sz w:val="17"/>
                <w:szCs w:val="17"/>
                <w:color w:val="auto"/>
                <w:w w:val="90"/>
              </w:rPr>
              <w:t>001-36620</w:t>
            </w:r>
          </w:p>
        </w:tc>
        <w:tc>
          <w:tcPr>
            <w:tcW w:w="680" w:type="dxa"/>
            <w:vAlign w:val="bottom"/>
          </w:tcPr>
          <w:p>
            <w:pPr>
              <w:jc w:val="right"/>
              <w:ind w:right="177"/>
              <w:spacing w:after="0"/>
              <w:rPr>
                <w:sz w:val="20"/>
                <w:szCs w:val="20"/>
                <w:color w:val="auto"/>
              </w:rPr>
            </w:pPr>
            <w:r>
              <w:rPr>
                <w:rFonts w:ascii="Arial" w:cs="Arial" w:eastAsia="Arial" w:hAnsi="Arial"/>
                <w:sz w:val="17"/>
                <w:szCs w:val="17"/>
                <w:color w:val="auto"/>
              </w:rPr>
              <w:t>3.1</w:t>
            </w:r>
          </w:p>
        </w:tc>
        <w:tc>
          <w:tcPr>
            <w:tcW w:w="1940" w:type="dxa"/>
            <w:vAlign w:val="bottom"/>
          </w:tcPr>
          <w:p>
            <w:pPr>
              <w:jc w:val="center"/>
              <w:ind w:left="57"/>
              <w:spacing w:after="0"/>
              <w:rPr>
                <w:sz w:val="20"/>
                <w:szCs w:val="20"/>
                <w:color w:val="auto"/>
              </w:rPr>
            </w:pPr>
            <w:r>
              <w:rPr>
                <w:rFonts w:ascii="Arial" w:cs="Arial" w:eastAsia="Arial" w:hAnsi="Arial"/>
                <w:sz w:val="17"/>
                <w:szCs w:val="17"/>
                <w:color w:val="auto"/>
                <w:w w:val="93"/>
              </w:rPr>
              <w:t>May 15, 2017</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rPr>
            </w:pPr>
            <w:hyperlink r:id="rId84">
              <w:r>
                <w:rPr>
                  <w:rFonts w:ascii="Arial" w:cs="Arial" w:eastAsia="Arial" w:hAnsi="Arial"/>
                  <w:sz w:val="17"/>
                  <w:szCs w:val="17"/>
                  <w:color w:val="0000EE"/>
                </w:rPr>
                <w:t>Novus Therapeutics, Inc. (effecting, among other things a</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tcBorders>
              <w:bottom w:val="single" w:sz="8" w:color="0000EE"/>
            </w:tcBorders>
            <w:gridSpan w:val="10"/>
          </w:tcPr>
          <w:p>
            <w:pPr>
              <w:spacing w:after="0" w:line="186" w:lineRule="exact"/>
              <w:rPr>
                <w:rFonts w:ascii="Arial" w:cs="Arial" w:eastAsia="Arial" w:hAnsi="Arial"/>
                <w:sz w:val="17"/>
                <w:szCs w:val="17"/>
                <w:color w:val="0000EE"/>
                <w:w w:val="92"/>
              </w:rPr>
            </w:pPr>
            <w:hyperlink r:id="rId84">
              <w:r>
                <w:rPr>
                  <w:rFonts w:ascii="Arial" w:cs="Arial" w:eastAsia="Arial" w:hAnsi="Arial"/>
                  <w:sz w:val="17"/>
                  <w:szCs w:val="17"/>
                  <w:color w:val="0000EE"/>
                  <w:w w:val="92"/>
                </w:rPr>
                <w:t>reverse stock-split), filed with the Secretary of the State of</w:t>
              </w:r>
            </w:hyperlink>
          </w:p>
        </w:tc>
        <w:tc>
          <w:tcPr>
            <w:tcW w:w="380" w:type="dxa"/>
            <w:vAlign w:val="bottom"/>
            <w:gridSpan w:val="9"/>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rPr>
            </w:pPr>
            <w:hyperlink r:id="rId84">
              <w:r>
                <w:rPr>
                  <w:rFonts w:ascii="Arial" w:cs="Arial" w:eastAsia="Arial" w:hAnsi="Arial"/>
                  <w:sz w:val="17"/>
                  <w:szCs w:val="17"/>
                  <w:color w:val="0000EE"/>
                </w:rPr>
                <w:t>Delaware on May 9, 2017</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3.3</w:t>
            </w:r>
          </w:p>
        </w:tc>
        <w:tc>
          <w:tcPr>
            <w:tcW w:w="6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7"/>
                <w:szCs w:val="17"/>
                <w:color w:val="0000EE"/>
                <w:w w:val="94"/>
              </w:rPr>
            </w:pPr>
            <w:hyperlink r:id="rId85">
              <w:r>
                <w:rPr>
                  <w:rFonts w:ascii="Arial" w:cs="Arial" w:eastAsia="Arial" w:hAnsi="Arial"/>
                  <w:sz w:val="17"/>
                  <w:szCs w:val="17"/>
                  <w:color w:val="0000EE"/>
                  <w:w w:val="94"/>
                </w:rPr>
                <w:t>Certificate of Amendment to Certificate of Incorporation of</w:t>
              </w:r>
            </w:hyperlink>
          </w:p>
        </w:tc>
        <w:tc>
          <w:tcPr>
            <w:tcW w:w="320" w:type="dxa"/>
            <w:vAlign w:val="bottom"/>
            <w:gridSpan w:val="7"/>
          </w:tcPr>
          <w:p>
            <w:pPr>
              <w:spacing w:after="0"/>
              <w:rPr>
                <w:sz w:val="24"/>
                <w:szCs w:val="2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ind w:right="278"/>
              <w:spacing w:after="0"/>
              <w:rPr>
                <w:sz w:val="20"/>
                <w:szCs w:val="20"/>
                <w:color w:val="auto"/>
              </w:rPr>
            </w:pPr>
            <w:r>
              <w:rPr>
                <w:rFonts w:ascii="Arial" w:cs="Arial" w:eastAsia="Arial" w:hAnsi="Arial"/>
                <w:sz w:val="17"/>
                <w:szCs w:val="17"/>
                <w:color w:val="auto"/>
                <w:w w:val="90"/>
              </w:rPr>
              <w:t>001-36620</w:t>
            </w:r>
          </w:p>
        </w:tc>
        <w:tc>
          <w:tcPr>
            <w:tcW w:w="680" w:type="dxa"/>
            <w:vAlign w:val="bottom"/>
          </w:tcPr>
          <w:p>
            <w:pPr>
              <w:jc w:val="right"/>
              <w:ind w:right="177"/>
              <w:spacing w:after="0"/>
              <w:rPr>
                <w:sz w:val="20"/>
                <w:szCs w:val="20"/>
                <w:color w:val="auto"/>
              </w:rPr>
            </w:pPr>
            <w:r>
              <w:rPr>
                <w:rFonts w:ascii="Arial" w:cs="Arial" w:eastAsia="Arial" w:hAnsi="Arial"/>
                <w:sz w:val="17"/>
                <w:szCs w:val="17"/>
                <w:color w:val="auto"/>
              </w:rPr>
              <w:t>3.2</w:t>
            </w:r>
          </w:p>
        </w:tc>
        <w:tc>
          <w:tcPr>
            <w:tcW w:w="1940" w:type="dxa"/>
            <w:vAlign w:val="bottom"/>
          </w:tcPr>
          <w:p>
            <w:pPr>
              <w:jc w:val="center"/>
              <w:ind w:left="57"/>
              <w:spacing w:after="0"/>
              <w:rPr>
                <w:sz w:val="20"/>
                <w:szCs w:val="20"/>
                <w:color w:val="auto"/>
              </w:rPr>
            </w:pPr>
            <w:r>
              <w:rPr>
                <w:rFonts w:ascii="Arial" w:cs="Arial" w:eastAsia="Arial" w:hAnsi="Arial"/>
                <w:sz w:val="17"/>
                <w:szCs w:val="17"/>
                <w:color w:val="auto"/>
                <w:w w:val="93"/>
              </w:rPr>
              <w:t>May 15, 2017</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rPr>
            </w:pPr>
            <w:hyperlink r:id="rId85">
              <w:r>
                <w:rPr>
                  <w:rFonts w:ascii="Arial" w:cs="Arial" w:eastAsia="Arial" w:hAnsi="Arial"/>
                  <w:sz w:val="17"/>
                  <w:szCs w:val="17"/>
                  <w:color w:val="0000EE"/>
                </w:rPr>
                <w:t>Novus Therapeutics, Inc. (effecting, among other things a</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9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0" w:type="dxa"/>
            <w:vAlign w:val="bottom"/>
            <w:tcBorders>
              <w:bottom w:val="single" w:sz="8" w:color="0000EE"/>
            </w:tcBorders>
            <w:gridSpan w:val="8"/>
          </w:tcPr>
          <w:p>
            <w:pPr>
              <w:spacing w:after="0" w:line="186" w:lineRule="exact"/>
              <w:rPr>
                <w:rFonts w:ascii="Arial" w:cs="Arial" w:eastAsia="Arial" w:hAnsi="Arial"/>
                <w:sz w:val="17"/>
                <w:szCs w:val="17"/>
                <w:color w:val="0000EE"/>
                <w:w w:val="91"/>
              </w:rPr>
            </w:pPr>
            <w:hyperlink r:id="rId85">
              <w:r>
                <w:rPr>
                  <w:rFonts w:ascii="Arial" w:cs="Arial" w:eastAsia="Arial" w:hAnsi="Arial"/>
                  <w:sz w:val="17"/>
                  <w:szCs w:val="17"/>
                  <w:color w:val="0000EE"/>
                  <w:w w:val="91"/>
                </w:rPr>
                <w:t>change in the corporation’s name to “Novus Therapeutics,</w:t>
              </w:r>
            </w:hyperlink>
          </w:p>
        </w:tc>
        <w:tc>
          <w:tcPr>
            <w:tcW w:w="420" w:type="dxa"/>
            <w:vAlign w:val="bottom"/>
            <w:gridSpan w:val="11"/>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bottom w:val="single" w:sz="8" w:color="0000EE"/>
            </w:tcBorders>
            <w:gridSpan w:val="9"/>
          </w:tcPr>
          <w:p>
            <w:pPr>
              <w:spacing w:after="0" w:line="186" w:lineRule="exact"/>
              <w:rPr>
                <w:rFonts w:ascii="Arial" w:cs="Arial" w:eastAsia="Arial" w:hAnsi="Arial"/>
                <w:sz w:val="17"/>
                <w:szCs w:val="17"/>
                <w:color w:val="0000EE"/>
                <w:w w:val="92"/>
              </w:rPr>
            </w:pPr>
            <w:hyperlink r:id="rId85">
              <w:r>
                <w:rPr>
                  <w:rFonts w:ascii="Arial" w:cs="Arial" w:eastAsia="Arial" w:hAnsi="Arial"/>
                  <w:sz w:val="17"/>
                  <w:szCs w:val="17"/>
                  <w:color w:val="0000EE"/>
                  <w:w w:val="92"/>
                </w:rPr>
                <w:t>Inc.”), filed with the Secretary of the State of Delaware on</w:t>
              </w:r>
            </w:hyperlink>
          </w:p>
        </w:tc>
        <w:tc>
          <w:tcPr>
            <w:tcW w:w="400" w:type="dxa"/>
            <w:vAlign w:val="bottom"/>
            <w:gridSpan w:val="10"/>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0000EE"/>
            </w:tcBorders>
            <w:gridSpan w:val="3"/>
          </w:tcPr>
          <w:p>
            <w:pPr>
              <w:spacing w:after="0" w:line="186" w:lineRule="exact"/>
              <w:rPr>
                <w:rFonts w:ascii="Arial" w:cs="Arial" w:eastAsia="Arial" w:hAnsi="Arial"/>
                <w:sz w:val="17"/>
                <w:szCs w:val="17"/>
                <w:color w:val="0000EE"/>
                <w:w w:val="91"/>
              </w:rPr>
            </w:pPr>
            <w:hyperlink r:id="rId85">
              <w:r>
                <w:rPr>
                  <w:rFonts w:ascii="Arial" w:cs="Arial" w:eastAsia="Arial" w:hAnsi="Arial"/>
                  <w:sz w:val="17"/>
                  <w:szCs w:val="17"/>
                  <w:color w:val="0000EE"/>
                  <w:w w:val="91"/>
                </w:rPr>
                <w:t>May 9, 2017</w:t>
              </w:r>
            </w:hyperlink>
          </w:p>
        </w:tc>
        <w:tc>
          <w:tcPr>
            <w:tcW w:w="3540" w:type="dxa"/>
            <w:vAlign w:val="bottom"/>
            <w:gridSpan w:val="16"/>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24"/>
                <w:szCs w:val="24"/>
                <w:color w:val="auto"/>
              </w:rPr>
            </w:pPr>
          </w:p>
        </w:tc>
        <w:tc>
          <w:tcPr>
            <w:tcW w:w="4420" w:type="dxa"/>
            <w:vAlign w:val="bottom"/>
            <w:gridSpan w:val="19"/>
          </w:tcPr>
          <w:p>
            <w:pPr>
              <w:spacing w:after="0"/>
              <w:rPr>
                <w:rFonts w:ascii="Arial" w:cs="Arial" w:eastAsia="Arial" w:hAnsi="Arial"/>
                <w:sz w:val="17"/>
                <w:szCs w:val="17"/>
                <w:color w:val="0000EE"/>
              </w:rPr>
            </w:pPr>
            <w:hyperlink r:id="rId86">
              <w:r>
                <w:rPr>
                  <w:rFonts w:ascii="Arial" w:cs="Arial" w:eastAsia="Arial" w:hAnsi="Arial"/>
                  <w:sz w:val="17"/>
                  <w:szCs w:val="17"/>
                  <w:color w:val="0000EE"/>
                </w:rPr>
                <w:t>Certificate of Amendment to the Restated Certificate of</w:t>
              </w:r>
            </w:hyperlink>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ind w:right="278"/>
              <w:spacing w:after="0"/>
              <w:rPr>
                <w:sz w:val="20"/>
                <w:szCs w:val="20"/>
                <w:color w:val="auto"/>
              </w:rPr>
            </w:pPr>
            <w:r>
              <w:rPr>
                <w:rFonts w:ascii="Arial" w:cs="Arial" w:eastAsia="Arial" w:hAnsi="Arial"/>
                <w:sz w:val="17"/>
                <w:szCs w:val="17"/>
                <w:color w:val="auto"/>
                <w:w w:val="90"/>
              </w:rPr>
              <w:t>001-36620</w:t>
            </w:r>
          </w:p>
        </w:tc>
        <w:tc>
          <w:tcPr>
            <w:tcW w:w="680" w:type="dxa"/>
            <w:vAlign w:val="bottom"/>
          </w:tcPr>
          <w:p>
            <w:pPr>
              <w:jc w:val="right"/>
              <w:ind w:right="177"/>
              <w:spacing w:after="0"/>
              <w:rPr>
                <w:sz w:val="20"/>
                <w:szCs w:val="20"/>
                <w:color w:val="auto"/>
              </w:rPr>
            </w:pPr>
            <w:r>
              <w:rPr>
                <w:rFonts w:ascii="Arial" w:cs="Arial" w:eastAsia="Arial" w:hAnsi="Arial"/>
                <w:sz w:val="17"/>
                <w:szCs w:val="17"/>
                <w:color w:val="auto"/>
              </w:rPr>
              <w:t>3.1</w:t>
            </w:r>
          </w:p>
        </w:tc>
        <w:tc>
          <w:tcPr>
            <w:tcW w:w="1940" w:type="dxa"/>
            <w:vAlign w:val="bottom"/>
          </w:tcPr>
          <w:p>
            <w:pPr>
              <w:jc w:val="center"/>
              <w:ind w:left="77"/>
              <w:spacing w:after="0"/>
              <w:rPr>
                <w:sz w:val="20"/>
                <w:szCs w:val="20"/>
                <w:color w:val="auto"/>
              </w:rPr>
            </w:pPr>
            <w:r>
              <w:rPr>
                <w:rFonts w:ascii="Arial" w:cs="Arial" w:eastAsia="Arial" w:hAnsi="Arial"/>
                <w:sz w:val="17"/>
                <w:szCs w:val="17"/>
                <w:color w:val="auto"/>
                <w:w w:val="90"/>
              </w:rPr>
              <w:t>October 6, 2020</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8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0" w:type="dxa"/>
            <w:vAlign w:val="bottom"/>
            <w:tcBorders>
              <w:bottom w:val="single" w:sz="8" w:color="0000EE"/>
            </w:tcBorders>
            <w:gridSpan w:val="14"/>
          </w:tcPr>
          <w:p>
            <w:pPr>
              <w:spacing w:after="0" w:line="186" w:lineRule="exact"/>
              <w:rPr>
                <w:rFonts w:ascii="Arial" w:cs="Arial" w:eastAsia="Arial" w:hAnsi="Arial"/>
                <w:sz w:val="17"/>
                <w:szCs w:val="17"/>
                <w:color w:val="0000EE"/>
                <w:w w:val="92"/>
              </w:rPr>
            </w:pPr>
            <w:hyperlink r:id="rId86">
              <w:r>
                <w:rPr>
                  <w:rFonts w:ascii="Arial" w:cs="Arial" w:eastAsia="Arial" w:hAnsi="Arial"/>
                  <w:sz w:val="17"/>
                  <w:szCs w:val="17"/>
                  <w:color w:val="0000EE"/>
                  <w:w w:val="92"/>
                </w:rPr>
                <w:t>Incorporation of Novus Therapeutics, Inc., (effecting, among</w:t>
              </w:r>
            </w:hyperlink>
          </w:p>
        </w:tc>
        <w:tc>
          <w:tcPr>
            <w:tcW w:w="22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w w:val="99"/>
              </w:rPr>
            </w:pPr>
            <w:hyperlink r:id="rId86">
              <w:r>
                <w:rPr>
                  <w:rFonts w:ascii="Arial" w:cs="Arial" w:eastAsia="Arial" w:hAnsi="Arial"/>
                  <w:sz w:val="17"/>
                  <w:szCs w:val="17"/>
                  <w:color w:val="0000EE"/>
                  <w:w w:val="99"/>
                </w:rPr>
                <w:t>other things a reverse stock-split) effective as of October 5,</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84"/>
              </w:rPr>
            </w:pPr>
            <w:hyperlink r:id="rId86">
              <w:r>
                <w:rPr>
                  <w:rFonts w:ascii="Arial" w:cs="Arial" w:eastAsia="Arial" w:hAnsi="Arial"/>
                  <w:sz w:val="17"/>
                  <w:szCs w:val="17"/>
                  <w:color w:val="0000EE"/>
                  <w:w w:val="84"/>
                </w:rPr>
                <w:t>2020</w:t>
              </w:r>
            </w:hyperlink>
          </w:p>
        </w:tc>
        <w:tc>
          <w:tcPr>
            <w:tcW w:w="54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0" w:type="dxa"/>
            <w:vAlign w:val="bottom"/>
          </w:tcPr>
          <w:p>
            <w:pPr>
              <w:jc w:val="right"/>
              <w:ind w:right="398"/>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24"/>
                <w:szCs w:val="24"/>
                <w:color w:val="auto"/>
              </w:rPr>
            </w:pPr>
          </w:p>
        </w:tc>
        <w:tc>
          <w:tcPr>
            <w:tcW w:w="4420" w:type="dxa"/>
            <w:vAlign w:val="bottom"/>
            <w:gridSpan w:val="19"/>
          </w:tcPr>
          <w:p>
            <w:pPr>
              <w:spacing w:after="0"/>
              <w:rPr>
                <w:rFonts w:ascii="Arial" w:cs="Arial" w:eastAsia="Arial" w:hAnsi="Arial"/>
                <w:sz w:val="17"/>
                <w:szCs w:val="17"/>
                <w:color w:val="0000EE"/>
              </w:rPr>
            </w:pPr>
            <w:hyperlink r:id="rId87">
              <w:r>
                <w:rPr>
                  <w:rFonts w:ascii="Arial" w:cs="Arial" w:eastAsia="Arial" w:hAnsi="Arial"/>
                  <w:sz w:val="17"/>
                  <w:szCs w:val="17"/>
                  <w:color w:val="0000EE"/>
                </w:rPr>
                <w:t>Certificate of Amendment to the Restated Certificate of</w:t>
              </w:r>
            </w:hyperlink>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60" w:type="dxa"/>
            <w:vAlign w:val="bottom"/>
          </w:tcPr>
          <w:p>
            <w:pPr>
              <w:jc w:val="center"/>
              <w:ind w:right="278"/>
              <w:spacing w:after="0"/>
              <w:rPr>
                <w:sz w:val="20"/>
                <w:szCs w:val="20"/>
                <w:color w:val="auto"/>
              </w:rPr>
            </w:pPr>
            <w:r>
              <w:rPr>
                <w:rFonts w:ascii="Arial" w:cs="Arial" w:eastAsia="Arial" w:hAnsi="Arial"/>
                <w:sz w:val="17"/>
                <w:szCs w:val="17"/>
                <w:color w:val="auto"/>
                <w:w w:val="90"/>
              </w:rPr>
              <w:t>001-36620</w:t>
            </w:r>
          </w:p>
        </w:tc>
        <w:tc>
          <w:tcPr>
            <w:tcW w:w="680" w:type="dxa"/>
            <w:vAlign w:val="bottom"/>
          </w:tcPr>
          <w:p>
            <w:pPr>
              <w:jc w:val="right"/>
              <w:ind w:right="177"/>
              <w:spacing w:after="0"/>
              <w:rPr>
                <w:sz w:val="20"/>
                <w:szCs w:val="20"/>
                <w:color w:val="auto"/>
              </w:rPr>
            </w:pPr>
            <w:r>
              <w:rPr>
                <w:rFonts w:ascii="Arial" w:cs="Arial" w:eastAsia="Arial" w:hAnsi="Arial"/>
                <w:sz w:val="17"/>
                <w:szCs w:val="17"/>
                <w:color w:val="auto"/>
              </w:rPr>
              <w:t>3.1</w:t>
            </w:r>
          </w:p>
        </w:tc>
        <w:tc>
          <w:tcPr>
            <w:tcW w:w="1940" w:type="dxa"/>
            <w:vAlign w:val="bottom"/>
          </w:tcPr>
          <w:p>
            <w:pPr>
              <w:jc w:val="center"/>
              <w:ind w:left="77"/>
              <w:spacing w:after="0"/>
              <w:rPr>
                <w:sz w:val="20"/>
                <w:szCs w:val="20"/>
                <w:color w:val="auto"/>
              </w:rPr>
            </w:pPr>
            <w:r>
              <w:rPr>
                <w:rFonts w:ascii="Arial" w:cs="Arial" w:eastAsia="Arial" w:hAnsi="Arial"/>
                <w:sz w:val="17"/>
                <w:szCs w:val="17"/>
                <w:color w:val="auto"/>
                <w:w w:val="90"/>
              </w:rPr>
              <w:t>January 5, 2021</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0" w:type="dxa"/>
            <w:vAlign w:val="bottom"/>
            <w:tcBorders>
              <w:bottom w:val="single" w:sz="8" w:color="0000EE"/>
            </w:tcBorders>
            <w:gridSpan w:val="14"/>
          </w:tcPr>
          <w:p>
            <w:pPr>
              <w:spacing w:after="0" w:line="186" w:lineRule="exact"/>
              <w:rPr>
                <w:rFonts w:ascii="Arial" w:cs="Arial" w:eastAsia="Arial" w:hAnsi="Arial"/>
                <w:sz w:val="17"/>
                <w:szCs w:val="17"/>
                <w:color w:val="0000EE"/>
                <w:w w:val="92"/>
              </w:rPr>
            </w:pPr>
            <w:hyperlink r:id="rId87">
              <w:r>
                <w:rPr>
                  <w:rFonts w:ascii="Arial" w:cs="Arial" w:eastAsia="Arial" w:hAnsi="Arial"/>
                  <w:sz w:val="17"/>
                  <w:szCs w:val="17"/>
                  <w:color w:val="0000EE"/>
                  <w:w w:val="92"/>
                </w:rPr>
                <w:t>Incorporation of Novus Therapeutics, Inc., (effecting, among</w:t>
              </w:r>
            </w:hyperlink>
          </w:p>
        </w:tc>
        <w:tc>
          <w:tcPr>
            <w:tcW w:w="22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20" w:type="dxa"/>
            <w:vAlign w:val="bottom"/>
            <w:gridSpan w:val="19"/>
          </w:tcPr>
          <w:p>
            <w:pPr>
              <w:spacing w:after="0" w:line="186" w:lineRule="exact"/>
              <w:rPr>
                <w:rFonts w:ascii="Arial" w:cs="Arial" w:eastAsia="Arial" w:hAnsi="Arial"/>
                <w:sz w:val="17"/>
                <w:szCs w:val="17"/>
                <w:color w:val="0000EE"/>
                <w:w w:val="99"/>
              </w:rPr>
            </w:pPr>
            <w:hyperlink r:id="rId87">
              <w:r>
                <w:rPr>
                  <w:rFonts w:ascii="Arial" w:cs="Arial" w:eastAsia="Arial" w:hAnsi="Arial"/>
                  <w:sz w:val="17"/>
                  <w:szCs w:val="17"/>
                  <w:color w:val="0000EE"/>
                  <w:w w:val="99"/>
                </w:rPr>
                <w:t>other things a change in the corporation’s name to “Eledon</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tcBorders>
              <w:top w:val="single" w:sz="8" w:color="0000EE"/>
            </w:tcBorders>
            <w:gridSpan w:val="10"/>
          </w:tcPr>
          <w:p>
            <w:pPr>
              <w:spacing w:after="0" w:line="186" w:lineRule="exact"/>
              <w:rPr>
                <w:rFonts w:ascii="Arial" w:cs="Arial" w:eastAsia="Arial" w:hAnsi="Arial"/>
                <w:sz w:val="17"/>
                <w:szCs w:val="17"/>
                <w:color w:val="0000EE"/>
                <w:w w:val="98"/>
              </w:rPr>
            </w:pPr>
            <w:hyperlink r:id="rId87">
              <w:r>
                <w:rPr>
                  <w:rFonts w:ascii="Arial" w:cs="Arial" w:eastAsia="Arial" w:hAnsi="Arial"/>
                  <w:sz w:val="17"/>
                  <w:szCs w:val="17"/>
                  <w:color w:val="0000EE"/>
                  <w:w w:val="98"/>
                </w:rPr>
                <w:t>Pharmaceuticals, Inc.”) effective as of January 5, 2021</w:t>
              </w:r>
            </w:hyperlink>
          </w:p>
        </w:tc>
        <w:tc>
          <w:tcPr>
            <w:tcW w:w="380" w:type="dxa"/>
            <w:vAlign w:val="bottom"/>
            <w:gridSpan w:val="9"/>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Incorporated by Reference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24"/>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Form</w:t>
            </w:r>
          </w:p>
        </w:tc>
        <w:tc>
          <w:tcPr>
            <w:tcW w:w="164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0"/>
              </w:rPr>
              <w:t>File No.</w:t>
            </w: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860" w:type="dxa"/>
            <w:vAlign w:val="bottom"/>
          </w:tcPr>
          <w:p>
            <w:pPr>
              <w:ind w:left="600"/>
              <w:spacing w:after="0" w:line="159" w:lineRule="exact"/>
              <w:rPr>
                <w:sz w:val="20"/>
                <w:szCs w:val="20"/>
                <w:color w:val="auto"/>
              </w:rPr>
            </w:pPr>
            <w:r>
              <w:rPr>
                <w:rFonts w:ascii="Arial" w:cs="Arial" w:eastAsia="Arial" w:hAnsi="Arial"/>
                <w:sz w:val="14"/>
                <w:szCs w:val="14"/>
                <w:b w:val="1"/>
                <w:bCs w:val="1"/>
                <w:color w:val="auto"/>
              </w:rPr>
              <w:t>Filing Date</w:t>
            </w:r>
          </w:p>
        </w:tc>
        <w:tc>
          <w:tcPr>
            <w:tcW w:w="400" w:type="dxa"/>
            <w:vAlign w:val="bottom"/>
          </w:tcPr>
          <w:p>
            <w:pPr>
              <w:spacing w:after="0"/>
              <w:rPr>
                <w:sz w:val="14"/>
                <w:szCs w:val="14"/>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3.6</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w w:val="96"/>
              </w:rPr>
            </w:pPr>
            <w:hyperlink r:id="rId90">
              <w:r>
                <w:rPr>
                  <w:rFonts w:ascii="Arial" w:cs="Arial" w:eastAsia="Arial" w:hAnsi="Arial"/>
                  <w:sz w:val="17"/>
                  <w:szCs w:val="17"/>
                  <w:color w:val="0000EE"/>
                  <w:w w:val="96"/>
                </w:rPr>
                <w:t>Amended and Restated Bylaws of Eledon Pharmaceuticals,</w:t>
              </w:r>
            </w:hyperlink>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88"/>
              </w:rPr>
              <w:t>January 5, 2021</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80" w:type="dxa"/>
            <w:vAlign w:val="bottom"/>
            <w:tcBorders>
              <w:top w:val="single" w:sz="8" w:color="0000EE"/>
            </w:tcBorders>
            <w:gridSpan w:val="26"/>
          </w:tcPr>
          <w:p>
            <w:pPr>
              <w:spacing w:after="0" w:line="186" w:lineRule="exact"/>
              <w:rPr>
                <w:rFonts w:ascii="Arial" w:cs="Arial" w:eastAsia="Arial" w:hAnsi="Arial"/>
                <w:sz w:val="17"/>
                <w:szCs w:val="17"/>
                <w:color w:val="0000EE"/>
              </w:rPr>
            </w:pPr>
            <w:hyperlink r:id="rId90">
              <w:r>
                <w:rPr>
                  <w:rFonts w:ascii="Arial" w:cs="Arial" w:eastAsia="Arial" w:hAnsi="Arial"/>
                  <w:sz w:val="17"/>
                  <w:szCs w:val="17"/>
                  <w:color w:val="0000EE"/>
                </w:rPr>
                <w:t>Inc.</w:t>
              </w:r>
            </w:hyperlink>
          </w:p>
        </w:tc>
        <w:tc>
          <w:tcPr>
            <w:tcW w:w="26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3.7</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rPr>
            </w:pPr>
            <w:hyperlink r:id="rId91">
              <w:r>
                <w:rPr>
                  <w:rFonts w:ascii="Arial" w:cs="Arial" w:eastAsia="Arial" w:hAnsi="Arial"/>
                  <w:sz w:val="17"/>
                  <w:szCs w:val="17"/>
                  <w:color w:val="0000EE"/>
                </w:rPr>
                <w:t>Certificate of Designations of Series X Convertible</w:t>
              </w:r>
            </w:hyperlink>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260" w:type="dxa"/>
            <w:vAlign w:val="bottom"/>
          </w:tcPr>
          <w:p>
            <w:pPr>
              <w:spacing w:after="0"/>
              <w:rPr>
                <w:sz w:val="24"/>
                <w:szCs w:val="24"/>
                <w:color w:val="auto"/>
              </w:rPr>
            </w:pPr>
          </w:p>
        </w:tc>
        <w:tc>
          <w:tcPr>
            <w:tcW w:w="1860" w:type="dxa"/>
            <w:vAlign w:val="bottom"/>
          </w:tcPr>
          <w:p>
            <w:pPr>
              <w:jc w:val="center"/>
              <w:ind w:right="35"/>
              <w:spacing w:after="0"/>
              <w:rPr>
                <w:sz w:val="20"/>
                <w:szCs w:val="20"/>
                <w:color w:val="auto"/>
              </w:rPr>
            </w:pPr>
            <w:r>
              <w:rPr>
                <w:rFonts w:ascii="Arial" w:cs="Arial" w:eastAsia="Arial" w:hAnsi="Arial"/>
                <w:sz w:val="17"/>
                <w:szCs w:val="17"/>
                <w:color w:val="auto"/>
                <w:w w:val="90"/>
              </w:rPr>
              <w:t>February 19, 2020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20" w:type="dxa"/>
            <w:vAlign w:val="bottom"/>
            <w:tcBorders>
              <w:top w:val="single" w:sz="8" w:color="0000EE"/>
            </w:tcBorders>
            <w:gridSpan w:val="15"/>
          </w:tcPr>
          <w:p>
            <w:pPr>
              <w:spacing w:after="0" w:line="186" w:lineRule="exact"/>
              <w:rPr>
                <w:rFonts w:ascii="Arial" w:cs="Arial" w:eastAsia="Arial" w:hAnsi="Arial"/>
                <w:sz w:val="17"/>
                <w:szCs w:val="17"/>
                <w:color w:val="0000EE"/>
              </w:rPr>
            </w:pPr>
            <w:hyperlink r:id="rId91">
              <w:r>
                <w:rPr>
                  <w:rFonts w:ascii="Arial" w:cs="Arial" w:eastAsia="Arial" w:hAnsi="Arial"/>
                  <w:sz w:val="17"/>
                  <w:szCs w:val="17"/>
                  <w:color w:val="0000EE"/>
                </w:rPr>
                <w:t>Preferred Stock</w:t>
              </w:r>
            </w:hyperlink>
          </w:p>
        </w:tc>
        <w:tc>
          <w:tcPr>
            <w:tcW w:w="820" w:type="dxa"/>
            <w:vAlign w:val="bottom"/>
            <w:gridSpan w:val="14"/>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jc w:val="right"/>
              <w:spacing w:after="0"/>
              <w:rPr>
                <w:rFonts w:ascii="Arial" w:cs="Arial" w:eastAsia="Arial" w:hAnsi="Arial"/>
                <w:sz w:val="10"/>
                <w:szCs w:val="10"/>
                <w:color w:val="0000EE"/>
                <w:w w:val="71"/>
              </w:rPr>
            </w:pPr>
            <w:hyperlink r:id="rId92">
              <w:r>
                <w:rPr>
                  <w:rFonts w:ascii="Arial" w:cs="Arial" w:eastAsia="Arial" w:hAnsi="Arial"/>
                  <w:sz w:val="10"/>
                  <w:szCs w:val="10"/>
                  <w:color w:val="0000EE"/>
                  <w:w w:val="71"/>
                </w:rPr>
                <w:t>1</w:t>
              </w:r>
            </w:hyperlink>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3.8</w:t>
            </w:r>
          </w:p>
        </w:tc>
        <w:tc>
          <w:tcPr>
            <w:tcW w:w="60" w:type="dxa"/>
            <w:vAlign w:val="bottom"/>
          </w:tcPr>
          <w:p>
            <w:pPr>
              <w:spacing w:after="0"/>
              <w:rPr>
                <w:sz w:val="24"/>
                <w:szCs w:val="24"/>
                <w:color w:val="auto"/>
              </w:rPr>
            </w:pPr>
          </w:p>
        </w:tc>
        <w:tc>
          <w:tcPr>
            <w:tcW w:w="2680" w:type="dxa"/>
            <w:vAlign w:val="bottom"/>
            <w:gridSpan w:val="12"/>
          </w:tcPr>
          <w:p>
            <w:pPr>
              <w:spacing w:after="0"/>
              <w:rPr>
                <w:rFonts w:ascii="Arial" w:cs="Arial" w:eastAsia="Arial" w:hAnsi="Arial"/>
                <w:sz w:val="17"/>
                <w:szCs w:val="17"/>
                <w:color w:val="0000EE"/>
                <w:w w:val="92"/>
              </w:rPr>
            </w:pPr>
            <w:hyperlink r:id="rId92">
              <w:r>
                <w:rPr>
                  <w:rFonts w:ascii="Arial" w:cs="Arial" w:eastAsia="Arial" w:hAnsi="Arial"/>
                  <w:sz w:val="17"/>
                  <w:szCs w:val="17"/>
                  <w:color w:val="0000EE"/>
                  <w:w w:val="92"/>
                </w:rPr>
                <w:t>Certificate of Designations of Series X</w:t>
              </w:r>
            </w:hyperlink>
          </w:p>
        </w:tc>
        <w:tc>
          <w:tcPr>
            <w:tcW w:w="60" w:type="dxa"/>
            <w:vAlign w:val="bottom"/>
            <w:vMerge w:val="continue"/>
          </w:tcPr>
          <w:p>
            <w:pPr>
              <w:spacing w:after="0"/>
              <w:rPr>
                <w:sz w:val="24"/>
                <w:szCs w:val="24"/>
                <w:color w:val="auto"/>
              </w:rPr>
            </w:pPr>
          </w:p>
        </w:tc>
        <w:tc>
          <w:tcPr>
            <w:tcW w:w="1600" w:type="dxa"/>
            <w:vAlign w:val="bottom"/>
            <w:gridSpan w:val="16"/>
          </w:tcPr>
          <w:p>
            <w:pPr>
              <w:ind w:left="60"/>
              <w:spacing w:after="0"/>
              <w:rPr>
                <w:rFonts w:ascii="Arial" w:cs="Arial" w:eastAsia="Arial" w:hAnsi="Arial"/>
                <w:sz w:val="17"/>
                <w:szCs w:val="17"/>
                <w:color w:val="0000EE"/>
              </w:rPr>
            </w:pPr>
            <w:hyperlink r:id="rId92">
              <w:r>
                <w:rPr>
                  <w:rFonts w:ascii="Arial" w:cs="Arial" w:eastAsia="Arial" w:hAnsi="Arial"/>
                  <w:sz w:val="17"/>
                  <w:szCs w:val="17"/>
                  <w:color w:val="0000EE"/>
                </w:rPr>
                <w:t>Convertible</w:t>
              </w:r>
            </w:hyperlink>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260" w:type="dxa"/>
            <w:vAlign w:val="bottom"/>
          </w:tcPr>
          <w:p>
            <w:pPr>
              <w:spacing w:after="0"/>
              <w:rPr>
                <w:sz w:val="24"/>
                <w:szCs w:val="24"/>
                <w:color w:val="auto"/>
              </w:rPr>
            </w:pPr>
          </w:p>
        </w:tc>
        <w:tc>
          <w:tcPr>
            <w:tcW w:w="1860" w:type="dxa"/>
            <w:vAlign w:val="bottom"/>
          </w:tcPr>
          <w:p>
            <w:pPr>
              <w:jc w:val="center"/>
              <w:ind w:right="35"/>
              <w:spacing w:after="0"/>
              <w:rPr>
                <w:sz w:val="20"/>
                <w:szCs w:val="20"/>
                <w:color w:val="auto"/>
              </w:rPr>
            </w:pPr>
            <w:r>
              <w:rPr>
                <w:rFonts w:ascii="Arial" w:cs="Arial" w:eastAsia="Arial" w:hAnsi="Arial"/>
                <w:sz w:val="17"/>
                <w:szCs w:val="17"/>
                <w:color w:val="auto"/>
                <w:w w:val="89"/>
              </w:rPr>
              <w:t>September 15, 2020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gridSpan w:val="2"/>
          </w:tcPr>
          <w:p>
            <w:pPr>
              <w:spacing w:after="0"/>
              <w:rPr>
                <w:sz w:val="2"/>
                <w:szCs w:val="2"/>
                <w:color w:val="auto"/>
              </w:rPr>
            </w:pPr>
          </w:p>
        </w:tc>
        <w:tc>
          <w:tcPr>
            <w:tcW w:w="840" w:type="dxa"/>
            <w:vAlign w:val="bottom"/>
            <w:tcBorders>
              <w:bottom w:val="single" w:sz="8" w:color="0000EE"/>
            </w:tcBorders>
            <w:gridSpan w:val="2"/>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gridSpan w:val="2"/>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40" w:type="dxa"/>
            <w:vAlign w:val="bottom"/>
            <w:gridSpan w:val="29"/>
          </w:tcPr>
          <w:p>
            <w:pPr>
              <w:spacing w:after="0" w:line="186" w:lineRule="exact"/>
              <w:rPr>
                <w:rFonts w:ascii="Arial" w:cs="Arial" w:eastAsia="Arial" w:hAnsi="Arial"/>
                <w:sz w:val="17"/>
                <w:szCs w:val="17"/>
                <w:color w:val="0000EE"/>
              </w:rPr>
            </w:pPr>
            <w:hyperlink r:id="rId92">
              <w:r>
                <w:rPr>
                  <w:rFonts w:ascii="Arial" w:cs="Arial" w:eastAsia="Arial" w:hAnsi="Arial"/>
                  <w:sz w:val="17"/>
                  <w:szCs w:val="17"/>
                  <w:color w:val="0000EE"/>
                </w:rPr>
                <w:t>Preferred Stock</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4.1</w:t>
            </w:r>
          </w:p>
        </w:tc>
        <w:tc>
          <w:tcPr>
            <w:tcW w:w="60" w:type="dxa"/>
            <w:vAlign w:val="bottom"/>
          </w:tcPr>
          <w:p>
            <w:pPr>
              <w:spacing w:after="0"/>
              <w:rPr>
                <w:sz w:val="24"/>
                <w:szCs w:val="24"/>
                <w:color w:val="auto"/>
              </w:rPr>
            </w:pPr>
          </w:p>
        </w:tc>
        <w:tc>
          <w:tcPr>
            <w:tcW w:w="2460" w:type="dxa"/>
            <w:vAlign w:val="bottom"/>
            <w:tcBorders>
              <w:bottom w:val="single" w:sz="8" w:color="0000EE"/>
            </w:tcBorders>
            <w:gridSpan w:val="10"/>
          </w:tcPr>
          <w:p>
            <w:pPr>
              <w:spacing w:after="0"/>
              <w:rPr>
                <w:rFonts w:ascii="Arial" w:cs="Arial" w:eastAsia="Arial" w:hAnsi="Arial"/>
                <w:sz w:val="17"/>
                <w:szCs w:val="17"/>
                <w:color w:val="0000EE"/>
                <w:w w:val="93"/>
              </w:rPr>
            </w:pPr>
            <w:hyperlink r:id="rId93">
              <w:r>
                <w:rPr>
                  <w:rFonts w:ascii="Arial" w:cs="Arial" w:eastAsia="Arial" w:hAnsi="Arial"/>
                  <w:sz w:val="17"/>
                  <w:szCs w:val="17"/>
                  <w:color w:val="0000EE"/>
                  <w:w w:val="93"/>
                </w:rPr>
                <w:t>Form of Common Stock Certificate</w:t>
              </w:r>
            </w:hyperlink>
          </w:p>
        </w:tc>
        <w:tc>
          <w:tcPr>
            <w:tcW w:w="1880" w:type="dxa"/>
            <w:vAlign w:val="bottom"/>
            <w:gridSpan w:val="19"/>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rPr>
              <w:t>8-A/A</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89"/>
              </w:rPr>
              <w:t>June 23, 2017</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4.2</w:t>
            </w:r>
          </w:p>
        </w:tc>
        <w:tc>
          <w:tcPr>
            <w:tcW w:w="6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rFonts w:ascii="Arial" w:cs="Arial" w:eastAsia="Arial" w:hAnsi="Arial"/>
                <w:sz w:val="17"/>
                <w:szCs w:val="17"/>
                <w:color w:val="0000EE"/>
                <w:w w:val="92"/>
              </w:rPr>
            </w:pPr>
            <w:hyperlink r:id="rId94">
              <w:r>
                <w:rPr>
                  <w:rFonts w:ascii="Arial" w:cs="Arial" w:eastAsia="Arial" w:hAnsi="Arial"/>
                  <w:sz w:val="17"/>
                  <w:szCs w:val="17"/>
                  <w:color w:val="0000EE"/>
                  <w:w w:val="92"/>
                </w:rPr>
                <w:t>Form of Warrant</w:t>
              </w:r>
            </w:hyperlink>
          </w:p>
        </w:tc>
        <w:tc>
          <w:tcPr>
            <w:tcW w:w="3180" w:type="dxa"/>
            <w:vAlign w:val="bottom"/>
            <w:gridSpan w:val="25"/>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4"/>
              </w:rPr>
              <w:t>May 2, 2019</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4.3</w:t>
            </w:r>
          </w:p>
        </w:tc>
        <w:tc>
          <w:tcPr>
            <w:tcW w:w="60" w:type="dxa"/>
            <w:vAlign w:val="bottom"/>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7"/>
                <w:szCs w:val="17"/>
                <w:color w:val="0000EE"/>
                <w:w w:val="91"/>
              </w:rPr>
            </w:pPr>
            <w:hyperlink r:id="rId95">
              <w:r>
                <w:rPr>
                  <w:rFonts w:ascii="Arial" w:cs="Arial" w:eastAsia="Arial" w:hAnsi="Arial"/>
                  <w:sz w:val="17"/>
                  <w:szCs w:val="17"/>
                  <w:color w:val="0000EE"/>
                  <w:w w:val="91"/>
                </w:rPr>
                <w:t>Form of Placement Agent Warrant</w:t>
              </w:r>
            </w:hyperlink>
          </w:p>
        </w:tc>
        <w:tc>
          <w:tcPr>
            <w:tcW w:w="1960" w:type="dxa"/>
            <w:vAlign w:val="bottom"/>
            <w:gridSpan w:val="20"/>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4"/>
              </w:rPr>
              <w:t>May 2, 2019</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4.4</w:t>
            </w:r>
          </w:p>
        </w:tc>
        <w:tc>
          <w:tcPr>
            <w:tcW w:w="60" w:type="dxa"/>
            <w:vAlign w:val="bottom"/>
          </w:tcPr>
          <w:p>
            <w:pPr>
              <w:spacing w:after="0"/>
              <w:rPr>
                <w:sz w:val="24"/>
                <w:szCs w:val="24"/>
                <w:color w:val="auto"/>
              </w:rPr>
            </w:pPr>
          </w:p>
        </w:tc>
        <w:tc>
          <w:tcPr>
            <w:tcW w:w="2940" w:type="dxa"/>
            <w:vAlign w:val="bottom"/>
            <w:tcBorders>
              <w:bottom w:val="single" w:sz="8" w:color="0000EE"/>
            </w:tcBorders>
            <w:gridSpan w:val="14"/>
          </w:tcPr>
          <w:p>
            <w:pPr>
              <w:spacing w:after="0"/>
              <w:rPr>
                <w:rFonts w:ascii="Arial" w:cs="Arial" w:eastAsia="Arial" w:hAnsi="Arial"/>
                <w:sz w:val="17"/>
                <w:szCs w:val="17"/>
                <w:color w:val="0000EE"/>
                <w:w w:val="90"/>
              </w:rPr>
            </w:pPr>
            <w:hyperlink r:id="rId96">
              <w:r>
                <w:rPr>
                  <w:rFonts w:ascii="Arial" w:cs="Arial" w:eastAsia="Arial" w:hAnsi="Arial"/>
                  <w:sz w:val="17"/>
                  <w:szCs w:val="17"/>
                  <w:color w:val="0000EE"/>
                  <w:w w:val="90"/>
                </w:rPr>
                <w:t>Form of Common Stock Purchase Warrant</w:t>
              </w:r>
            </w:hyperlink>
          </w:p>
        </w:tc>
        <w:tc>
          <w:tcPr>
            <w:tcW w:w="1400" w:type="dxa"/>
            <w:vAlign w:val="bottom"/>
            <w:gridSpan w:val="15"/>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60" w:type="dxa"/>
            <w:vAlign w:val="bottom"/>
          </w:tcPr>
          <w:p>
            <w:pPr>
              <w:spacing w:after="0"/>
              <w:rPr>
                <w:sz w:val="24"/>
                <w:szCs w:val="24"/>
                <w:color w:val="auto"/>
              </w:rPr>
            </w:pPr>
          </w:p>
        </w:tc>
        <w:tc>
          <w:tcPr>
            <w:tcW w:w="1860" w:type="dxa"/>
            <w:vAlign w:val="bottom"/>
          </w:tcPr>
          <w:p>
            <w:pPr>
              <w:jc w:val="center"/>
              <w:ind w:right="35"/>
              <w:spacing w:after="0"/>
              <w:rPr>
                <w:sz w:val="20"/>
                <w:szCs w:val="20"/>
                <w:color w:val="auto"/>
              </w:rPr>
            </w:pPr>
            <w:r>
              <w:rPr>
                <w:rFonts w:ascii="Arial" w:cs="Arial" w:eastAsia="Arial" w:hAnsi="Arial"/>
                <w:sz w:val="17"/>
                <w:szCs w:val="17"/>
                <w:color w:val="auto"/>
                <w:w w:val="89"/>
              </w:rPr>
              <w:t>January 16, 2020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36"/>
              <w:spacing w:after="0"/>
              <w:rPr>
                <w:sz w:val="20"/>
                <w:szCs w:val="20"/>
                <w:color w:val="auto"/>
              </w:rPr>
            </w:pPr>
            <w:r>
              <w:rPr>
                <w:rFonts w:ascii="Arial" w:cs="Arial" w:eastAsia="Arial" w:hAnsi="Arial"/>
                <w:sz w:val="17"/>
                <w:szCs w:val="17"/>
                <w:color w:val="auto"/>
                <w:w w:val="84"/>
              </w:rPr>
              <w:t>4.5</w:t>
            </w:r>
          </w:p>
        </w:tc>
        <w:tc>
          <w:tcPr>
            <w:tcW w:w="60" w:type="dxa"/>
            <w:vAlign w:val="bottom"/>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35">
              <w:r>
                <w:rPr>
                  <w:rFonts w:ascii="Arial" w:cs="Arial" w:eastAsia="Arial" w:hAnsi="Arial"/>
                  <w:sz w:val="17"/>
                  <w:szCs w:val="17"/>
                  <w:color w:val="0000EE"/>
                  <w:w w:val="92"/>
                </w:rPr>
                <w:t>Description of Securities</w:t>
              </w:r>
            </w:hyperlink>
          </w:p>
        </w:tc>
        <w:tc>
          <w:tcPr>
            <w:tcW w:w="2620" w:type="dxa"/>
            <w:vAlign w:val="bottom"/>
            <w:gridSpan w:val="23"/>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ind w:left="80"/>
              <w:spacing w:after="0"/>
              <w:rPr>
                <w:sz w:val="20"/>
                <w:szCs w:val="20"/>
                <w:color w:val="auto"/>
              </w:rPr>
            </w:pPr>
            <w:r>
              <w:rPr>
                <w:rFonts w:ascii="Arial" w:cs="Arial" w:eastAsia="Arial" w:hAnsi="Arial"/>
                <w:sz w:val="17"/>
                <w:szCs w:val="17"/>
                <w:color w:val="auto"/>
              </w:rPr>
              <w:t>10.2</w:t>
            </w: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2520" w:type="dxa"/>
            <w:vAlign w:val="bottom"/>
            <w:tcBorders>
              <w:bottom w:val="single" w:sz="8" w:color="0000EE"/>
            </w:tcBorders>
            <w:gridSpan w:val="11"/>
          </w:tcPr>
          <w:p>
            <w:pPr>
              <w:spacing w:after="0"/>
              <w:rPr>
                <w:rFonts w:ascii="Arial" w:cs="Arial" w:eastAsia="Arial" w:hAnsi="Arial"/>
                <w:sz w:val="17"/>
                <w:szCs w:val="17"/>
                <w:color w:val="0000EE"/>
                <w:w w:val="94"/>
              </w:rPr>
            </w:pPr>
            <w:hyperlink r:id="rId97">
              <w:r>
                <w:rPr>
                  <w:rFonts w:ascii="Arial" w:cs="Arial" w:eastAsia="Arial" w:hAnsi="Arial"/>
                  <w:sz w:val="17"/>
                  <w:szCs w:val="17"/>
                  <w:color w:val="0000EE"/>
                  <w:w w:val="94"/>
                </w:rPr>
                <w:t>Form of Indemnification Agreement</w:t>
              </w:r>
            </w:hyperlink>
          </w:p>
        </w:tc>
        <w:tc>
          <w:tcPr>
            <w:tcW w:w="1820" w:type="dxa"/>
            <w:vAlign w:val="bottom"/>
            <w:gridSpan w:val="18"/>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260" w:type="dxa"/>
            <w:vAlign w:val="bottom"/>
          </w:tcPr>
          <w:p>
            <w:pPr>
              <w:spacing w:after="0"/>
              <w:rPr>
                <w:sz w:val="24"/>
                <w:szCs w:val="24"/>
                <w:color w:val="auto"/>
              </w:rPr>
            </w:pPr>
          </w:p>
        </w:tc>
        <w:tc>
          <w:tcPr>
            <w:tcW w:w="1860" w:type="dxa"/>
            <w:vAlign w:val="bottom"/>
          </w:tcPr>
          <w:p>
            <w:pPr>
              <w:jc w:val="center"/>
              <w:ind w:right="35"/>
              <w:spacing w:after="0"/>
              <w:rPr>
                <w:sz w:val="20"/>
                <w:szCs w:val="20"/>
                <w:color w:val="auto"/>
              </w:rPr>
            </w:pPr>
            <w:r>
              <w:rPr>
                <w:rFonts w:ascii="Arial" w:cs="Arial" w:eastAsia="Arial" w:hAnsi="Arial"/>
                <w:sz w:val="17"/>
                <w:szCs w:val="17"/>
                <w:color w:val="auto"/>
                <w:w w:val="89"/>
              </w:rPr>
              <w:t>September 15, 2020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10.3</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w w:val="98"/>
              </w:rPr>
            </w:pPr>
            <w:hyperlink r:id="rId98">
              <w:r>
                <w:rPr>
                  <w:rFonts w:ascii="Arial" w:cs="Arial" w:eastAsia="Arial" w:hAnsi="Arial"/>
                  <w:sz w:val="17"/>
                  <w:szCs w:val="17"/>
                  <w:color w:val="0000EE"/>
                  <w:w w:val="98"/>
                </w:rPr>
                <w:t>Lease Agreement, dated as of September 2, 2015, by and</w:t>
              </w:r>
            </w:hyperlink>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0"/>
              </w:rPr>
              <w:t>August 9, 2017</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40" w:type="dxa"/>
            <w:vAlign w:val="bottom"/>
            <w:gridSpan w:val="29"/>
          </w:tcPr>
          <w:p>
            <w:pPr>
              <w:spacing w:after="0" w:line="186" w:lineRule="exact"/>
              <w:rPr>
                <w:rFonts w:ascii="Arial" w:cs="Arial" w:eastAsia="Arial" w:hAnsi="Arial"/>
                <w:sz w:val="17"/>
                <w:szCs w:val="17"/>
                <w:color w:val="0000EE"/>
              </w:rPr>
            </w:pPr>
            <w:hyperlink r:id="rId98">
              <w:r>
                <w:rPr>
                  <w:rFonts w:ascii="Arial" w:cs="Arial" w:eastAsia="Arial" w:hAnsi="Arial"/>
                  <w:sz w:val="17"/>
                  <w:szCs w:val="17"/>
                  <w:color w:val="0000EE"/>
                </w:rPr>
                <w:t>between The Irvine Company LLC and Otic Pharma, Inc.</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10.4</w:t>
            </w:r>
          </w:p>
        </w:tc>
        <w:tc>
          <w:tcPr>
            <w:tcW w:w="60" w:type="dxa"/>
            <w:vAlign w:val="bottom"/>
          </w:tcPr>
          <w:p>
            <w:pPr>
              <w:spacing w:after="0"/>
              <w:rPr>
                <w:sz w:val="24"/>
                <w:szCs w:val="24"/>
                <w:color w:val="auto"/>
              </w:rPr>
            </w:pPr>
          </w:p>
        </w:tc>
        <w:tc>
          <w:tcPr>
            <w:tcW w:w="4200" w:type="dxa"/>
            <w:vAlign w:val="bottom"/>
            <w:tcBorders>
              <w:bottom w:val="single" w:sz="8" w:color="0000EE"/>
            </w:tcBorders>
            <w:gridSpan w:val="27"/>
          </w:tcPr>
          <w:p>
            <w:pPr>
              <w:spacing w:after="0"/>
              <w:rPr>
                <w:rFonts w:ascii="Arial" w:cs="Arial" w:eastAsia="Arial" w:hAnsi="Arial"/>
                <w:sz w:val="17"/>
                <w:szCs w:val="17"/>
                <w:color w:val="0000EE"/>
                <w:w w:val="92"/>
              </w:rPr>
            </w:pPr>
            <w:hyperlink r:id="rId99">
              <w:r>
                <w:rPr>
                  <w:rFonts w:ascii="Arial" w:cs="Arial" w:eastAsia="Arial" w:hAnsi="Arial"/>
                  <w:sz w:val="17"/>
                  <w:szCs w:val="17"/>
                  <w:color w:val="0000EE"/>
                  <w:w w:val="92"/>
                </w:rPr>
                <w:t>First Amendment to Lease Agreement, dated April 19, 2018,</w:t>
              </w:r>
            </w:hyperlink>
          </w:p>
        </w:tc>
        <w:tc>
          <w:tcPr>
            <w:tcW w:w="140" w:type="dxa"/>
            <w:vAlign w:val="bottom"/>
            <w:gridSpan w:val="2"/>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0"/>
              </w:rPr>
              <w:t>August 7, 2018</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40" w:type="dxa"/>
            <w:vAlign w:val="bottom"/>
            <w:gridSpan w:val="29"/>
          </w:tcPr>
          <w:p>
            <w:pPr>
              <w:spacing w:after="0" w:line="186" w:lineRule="exact"/>
              <w:rPr>
                <w:rFonts w:ascii="Arial" w:cs="Arial" w:eastAsia="Arial" w:hAnsi="Arial"/>
                <w:sz w:val="17"/>
                <w:szCs w:val="17"/>
                <w:color w:val="0000EE"/>
              </w:rPr>
            </w:pPr>
            <w:hyperlink r:id="rId99">
              <w:r>
                <w:rPr>
                  <w:rFonts w:ascii="Arial" w:cs="Arial" w:eastAsia="Arial" w:hAnsi="Arial"/>
                  <w:sz w:val="17"/>
                  <w:szCs w:val="17"/>
                  <w:color w:val="0000EE"/>
                </w:rPr>
                <w:t>by and between The Irvine Company LLC and Novus</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00" w:type="dxa"/>
            <w:vAlign w:val="bottom"/>
            <w:tcBorders>
              <w:top w:val="single" w:sz="8" w:color="0000EE"/>
            </w:tcBorders>
            <w:gridSpan w:val="18"/>
          </w:tcPr>
          <w:p>
            <w:pPr>
              <w:spacing w:after="0" w:line="186" w:lineRule="exact"/>
              <w:rPr>
                <w:rFonts w:ascii="Arial" w:cs="Arial" w:eastAsia="Arial" w:hAnsi="Arial"/>
                <w:sz w:val="17"/>
                <w:szCs w:val="17"/>
                <w:color w:val="0000EE"/>
              </w:rPr>
            </w:pPr>
            <w:hyperlink r:id="rId99">
              <w:r>
                <w:rPr>
                  <w:rFonts w:ascii="Arial" w:cs="Arial" w:eastAsia="Arial" w:hAnsi="Arial"/>
                  <w:sz w:val="17"/>
                  <w:szCs w:val="17"/>
                  <w:color w:val="0000EE"/>
                </w:rPr>
                <w:t>Therapeutics, Inc.</w:t>
              </w:r>
            </w:hyperlink>
          </w:p>
        </w:tc>
        <w:tc>
          <w:tcPr>
            <w:tcW w:w="640" w:type="dxa"/>
            <w:vAlign w:val="bottom"/>
            <w:gridSpan w:val="11"/>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10.5</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rPr>
            </w:pPr>
            <w:hyperlink r:id="rId100">
              <w:r>
                <w:rPr>
                  <w:rFonts w:ascii="Arial" w:cs="Arial" w:eastAsia="Arial" w:hAnsi="Arial"/>
                  <w:sz w:val="17"/>
                  <w:szCs w:val="17"/>
                  <w:color w:val="0000EE"/>
                </w:rPr>
                <w:t>Tokai Pharmaceuticals, Inc. 2007 Stock Incentive Plan</w:t>
              </w:r>
            </w:hyperlink>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10.11</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6"/>
              </w:rPr>
              <w:t>April 2, 2018</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10.6</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rPr>
            </w:pPr>
            <w:hyperlink r:id="rId101">
              <w:r>
                <w:rPr>
                  <w:rFonts w:ascii="Arial" w:cs="Arial" w:eastAsia="Arial" w:hAnsi="Arial"/>
                  <w:sz w:val="17"/>
                  <w:szCs w:val="17"/>
                  <w:color w:val="0000EE"/>
                </w:rPr>
                <w:t>Tokai Pharmaceuticals, Inc. 2014 Stock Incentive Plan</w:t>
              </w:r>
            </w:hyperlink>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0"/>
              </w:rPr>
              <w:t>August 7, 2018</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10.7</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w w:val="98"/>
              </w:rPr>
            </w:pPr>
            <w:hyperlink r:id="rId102">
              <w:r>
                <w:rPr>
                  <w:rFonts w:ascii="Arial" w:cs="Arial" w:eastAsia="Arial" w:hAnsi="Arial"/>
                  <w:sz w:val="17"/>
                  <w:szCs w:val="17"/>
                  <w:color w:val="0000EE"/>
                  <w:w w:val="98"/>
                </w:rPr>
                <w:t>Novus Therapeutics, Inc., 2014 Employee Stock Purchase</w:t>
              </w:r>
            </w:hyperlink>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0"/>
              </w:rPr>
              <w:t>August 7, 2018</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88"/>
              </w:rPr>
            </w:pPr>
            <w:hyperlink r:id="rId102">
              <w:r>
                <w:rPr>
                  <w:rFonts w:ascii="Arial" w:cs="Arial" w:eastAsia="Arial" w:hAnsi="Arial"/>
                  <w:sz w:val="17"/>
                  <w:szCs w:val="17"/>
                  <w:color w:val="0000EE"/>
                  <w:w w:val="88"/>
                </w:rPr>
                <w:t>Plan</w:t>
              </w:r>
            </w:hyperlink>
          </w:p>
        </w:tc>
        <w:tc>
          <w:tcPr>
            <w:tcW w:w="3680" w:type="dxa"/>
            <w:vAlign w:val="bottom"/>
            <w:tcBorders>
              <w:top w:val="single" w:sz="8" w:color="0000EE"/>
            </w:tcBorders>
            <w:gridSpan w:val="22"/>
          </w:tcPr>
          <w:p>
            <w:pPr>
              <w:spacing w:after="0"/>
              <w:rPr>
                <w:sz w:val="16"/>
                <w:szCs w:val="16"/>
                <w:color w:val="auto"/>
              </w:rPr>
            </w:pPr>
          </w:p>
        </w:tc>
        <w:tc>
          <w:tcPr>
            <w:tcW w:w="340" w:type="dxa"/>
            <w:vAlign w:val="bottom"/>
            <w:gridSpan w:val="5"/>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00" w:type="dxa"/>
            <w:vAlign w:val="bottom"/>
          </w:tcPr>
          <w:p>
            <w:pPr>
              <w:ind w:left="80"/>
              <w:spacing w:after="0"/>
              <w:rPr>
                <w:sz w:val="20"/>
                <w:szCs w:val="20"/>
                <w:color w:val="auto"/>
              </w:rPr>
            </w:pPr>
            <w:r>
              <w:rPr>
                <w:rFonts w:ascii="Arial" w:cs="Arial" w:eastAsia="Arial" w:hAnsi="Arial"/>
                <w:sz w:val="17"/>
                <w:szCs w:val="17"/>
                <w:color w:val="auto"/>
              </w:rPr>
              <w:t>10.8*</w:t>
            </w:r>
          </w:p>
        </w:tc>
        <w:tc>
          <w:tcPr>
            <w:tcW w:w="60" w:type="dxa"/>
            <w:vAlign w:val="bottom"/>
          </w:tcPr>
          <w:p>
            <w:pPr>
              <w:spacing w:after="0"/>
              <w:rPr>
                <w:sz w:val="24"/>
                <w:szCs w:val="24"/>
                <w:color w:val="auto"/>
              </w:rPr>
            </w:pPr>
          </w:p>
        </w:tc>
        <w:tc>
          <w:tcPr>
            <w:tcW w:w="3840" w:type="dxa"/>
            <w:vAlign w:val="bottom"/>
            <w:tcBorders>
              <w:bottom w:val="single" w:sz="8" w:color="0000EE"/>
            </w:tcBorders>
            <w:gridSpan w:val="20"/>
          </w:tcPr>
          <w:p>
            <w:pPr>
              <w:spacing w:after="0"/>
              <w:rPr>
                <w:rFonts w:ascii="Arial" w:cs="Arial" w:eastAsia="Arial" w:hAnsi="Arial"/>
                <w:sz w:val="17"/>
                <w:szCs w:val="17"/>
                <w:color w:val="0000EE"/>
                <w:w w:val="91"/>
              </w:rPr>
            </w:pPr>
            <w:hyperlink w:anchor="page138">
              <w:r>
                <w:rPr>
                  <w:rFonts w:ascii="Arial" w:cs="Arial" w:eastAsia="Arial" w:hAnsi="Arial"/>
                  <w:sz w:val="17"/>
                  <w:szCs w:val="17"/>
                  <w:color w:val="0000EE"/>
                  <w:w w:val="91"/>
                </w:rPr>
                <w:t>Executive Employment Agreement, dated September 9,</w:t>
              </w:r>
            </w:hyperlink>
          </w:p>
        </w:tc>
        <w:tc>
          <w:tcPr>
            <w:tcW w:w="50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0" w:type="dxa"/>
            <w:vAlign w:val="bottom"/>
            <w:tcBorders>
              <w:bottom w:val="single" w:sz="8" w:color="0000EE"/>
            </w:tcBorders>
            <w:gridSpan w:val="16"/>
          </w:tcPr>
          <w:p>
            <w:pPr>
              <w:spacing w:after="0" w:line="186" w:lineRule="exact"/>
              <w:rPr>
                <w:rFonts w:ascii="Arial" w:cs="Arial" w:eastAsia="Arial" w:hAnsi="Arial"/>
                <w:sz w:val="17"/>
                <w:szCs w:val="17"/>
                <w:color w:val="0000EE"/>
                <w:w w:val="91"/>
              </w:rPr>
            </w:pPr>
            <w:hyperlink w:anchor="page138">
              <w:r>
                <w:rPr>
                  <w:rFonts w:ascii="Arial" w:cs="Arial" w:eastAsia="Arial" w:hAnsi="Arial"/>
                  <w:sz w:val="17"/>
                  <w:szCs w:val="17"/>
                  <w:color w:val="0000EE"/>
                  <w:w w:val="91"/>
                </w:rPr>
                <w:t>2020, between Novus Therapeutics, Inc. and David-</w:t>
              </w:r>
            </w:hyperlink>
          </w:p>
        </w:tc>
        <w:tc>
          <w:tcPr>
            <w:tcW w:w="740" w:type="dxa"/>
            <w:vAlign w:val="bottom"/>
            <w:gridSpan w:val="13"/>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40" w:type="dxa"/>
            <w:vAlign w:val="bottom"/>
            <w:gridSpan w:val="29"/>
          </w:tcPr>
          <w:p>
            <w:pPr>
              <w:spacing w:after="0" w:line="186" w:lineRule="exact"/>
              <w:rPr>
                <w:rFonts w:ascii="Arial" w:cs="Arial" w:eastAsia="Arial" w:hAnsi="Arial"/>
                <w:sz w:val="17"/>
                <w:szCs w:val="17"/>
                <w:color w:val="0000EE"/>
              </w:rPr>
            </w:pPr>
            <w:hyperlink w:anchor="page138">
              <w:r>
                <w:rPr>
                  <w:rFonts w:ascii="Arial" w:cs="Arial" w:eastAsia="Arial" w:hAnsi="Arial"/>
                  <w:sz w:val="17"/>
                  <w:szCs w:val="17"/>
                  <w:color w:val="0000EE"/>
                </w:rPr>
                <w:t>Alexandre C. Gros, M.D.</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10.9</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rPr>
            </w:pPr>
            <w:hyperlink w:anchor="page151">
              <w:r>
                <w:rPr>
                  <w:rFonts w:ascii="Arial" w:cs="Arial" w:eastAsia="Arial" w:hAnsi="Arial"/>
                  <w:sz w:val="17"/>
                  <w:szCs w:val="17"/>
                  <w:color w:val="0000EE"/>
                </w:rPr>
                <w:t>Executive Employment Agreement, dated March 1, 2021,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Borders>
              <w:top w:val="single" w:sz="8" w:color="0000EE"/>
            </w:tcBorders>
            <w:gridSpan w:val="23"/>
          </w:tcPr>
          <w:p>
            <w:pPr>
              <w:spacing w:after="0" w:line="186" w:lineRule="exact"/>
              <w:rPr>
                <w:rFonts w:ascii="Arial" w:cs="Arial" w:eastAsia="Arial" w:hAnsi="Arial"/>
                <w:sz w:val="17"/>
                <w:szCs w:val="17"/>
                <w:color w:val="0000EE"/>
                <w:w w:val="90"/>
              </w:rPr>
            </w:pPr>
            <w:hyperlink w:anchor="page151">
              <w:r>
                <w:rPr>
                  <w:rFonts w:ascii="Arial" w:cs="Arial" w:eastAsia="Arial" w:hAnsi="Arial"/>
                  <w:sz w:val="17"/>
                  <w:szCs w:val="17"/>
                  <w:color w:val="0000EE"/>
                  <w:w w:val="90"/>
                </w:rPr>
                <w:t>between Eledon Pharmaceuticals, Inc. and Jon Kuwahara</w:t>
              </w:r>
            </w:hyperlink>
          </w:p>
        </w:tc>
        <w:tc>
          <w:tcPr>
            <w:tcW w:w="360" w:type="dxa"/>
            <w:vAlign w:val="bottom"/>
            <w:gridSpan w:val="6"/>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1640" w:type="dxa"/>
            <w:vAlign w:val="bottom"/>
            <w:tcBorders>
              <w:right w:val="single" w:sz="8" w:color="0000EE"/>
            </w:tcBorders>
            <w:gridSpan w:val="9"/>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ind w:left="80"/>
              <w:spacing w:after="0"/>
              <w:rPr>
                <w:sz w:val="20"/>
                <w:szCs w:val="20"/>
                <w:color w:val="auto"/>
              </w:rPr>
            </w:pPr>
            <w:r>
              <w:rPr>
                <w:rFonts w:ascii="Arial" w:cs="Arial" w:eastAsia="Arial" w:hAnsi="Arial"/>
                <w:sz w:val="17"/>
                <w:szCs w:val="17"/>
                <w:color w:val="auto"/>
              </w:rPr>
              <w:t>10.10</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w w:val="98"/>
              </w:rPr>
            </w:pPr>
            <w:hyperlink w:anchor="page162">
              <w:r>
                <w:rPr>
                  <w:rFonts w:ascii="Arial" w:cs="Arial" w:eastAsia="Arial" w:hAnsi="Arial"/>
                  <w:sz w:val="17"/>
                  <w:szCs w:val="17"/>
                  <w:color w:val="0000EE"/>
                  <w:w w:val="98"/>
                </w:rPr>
                <w:t>Executive Employment Agreement, dated March 15, 2021,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60" w:type="dxa"/>
            <w:vAlign w:val="bottom"/>
            <w:tcBorders>
              <w:top w:val="single" w:sz="8" w:color="0000EE"/>
            </w:tcBorders>
            <w:gridSpan w:val="25"/>
          </w:tcPr>
          <w:p>
            <w:pPr>
              <w:spacing w:after="0" w:line="186" w:lineRule="exact"/>
              <w:rPr>
                <w:rFonts w:ascii="Arial" w:cs="Arial" w:eastAsia="Arial" w:hAnsi="Arial"/>
                <w:sz w:val="17"/>
                <w:szCs w:val="17"/>
                <w:color w:val="0000EE"/>
              </w:rPr>
            </w:pPr>
            <w:hyperlink w:anchor="page162">
              <w:r>
                <w:rPr>
                  <w:rFonts w:ascii="Arial" w:cs="Arial" w:eastAsia="Arial" w:hAnsi="Arial"/>
                  <w:sz w:val="17"/>
                  <w:szCs w:val="17"/>
                  <w:color w:val="0000EE"/>
                </w:rPr>
                <w:t>between Eledon Pharmaceuticals, Inc. and Paul Little</w:t>
              </w:r>
            </w:hyperlink>
          </w:p>
        </w:tc>
        <w:tc>
          <w:tcPr>
            <w:tcW w:w="280" w:type="dxa"/>
            <w:vAlign w:val="bottom"/>
            <w:gridSpan w:val="4"/>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1640" w:type="dxa"/>
            <w:vAlign w:val="bottom"/>
            <w:tcBorders>
              <w:right w:val="single" w:sz="8" w:color="0000EE"/>
            </w:tcBorders>
            <w:gridSpan w:val="9"/>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00" w:type="dxa"/>
            <w:vAlign w:val="bottom"/>
          </w:tcPr>
          <w:p>
            <w:pPr>
              <w:ind w:left="80"/>
              <w:spacing w:after="0"/>
              <w:rPr>
                <w:sz w:val="20"/>
                <w:szCs w:val="20"/>
                <w:color w:val="auto"/>
              </w:rPr>
            </w:pPr>
            <w:r>
              <w:rPr>
                <w:rFonts w:ascii="Arial" w:cs="Arial" w:eastAsia="Arial" w:hAnsi="Arial"/>
                <w:sz w:val="17"/>
                <w:szCs w:val="17"/>
                <w:color w:val="auto"/>
              </w:rPr>
              <w:t>10.11</w:t>
            </w:r>
          </w:p>
        </w:tc>
        <w:tc>
          <w:tcPr>
            <w:tcW w:w="60" w:type="dxa"/>
            <w:vAlign w:val="bottom"/>
          </w:tcPr>
          <w:p>
            <w:pPr>
              <w:spacing w:after="0"/>
              <w:rPr>
                <w:sz w:val="24"/>
                <w:szCs w:val="24"/>
                <w:color w:val="auto"/>
              </w:rPr>
            </w:pPr>
          </w:p>
        </w:tc>
        <w:tc>
          <w:tcPr>
            <w:tcW w:w="4340" w:type="dxa"/>
            <w:vAlign w:val="bottom"/>
            <w:gridSpan w:val="29"/>
          </w:tcPr>
          <w:p>
            <w:pPr>
              <w:spacing w:after="0"/>
              <w:rPr>
                <w:rFonts w:ascii="Arial" w:cs="Arial" w:eastAsia="Arial" w:hAnsi="Arial"/>
                <w:sz w:val="17"/>
                <w:szCs w:val="17"/>
                <w:color w:val="0000EE"/>
                <w:w w:val="99"/>
              </w:rPr>
            </w:pPr>
            <w:hyperlink w:anchor="page174">
              <w:r>
                <w:rPr>
                  <w:rFonts w:ascii="Arial" w:cs="Arial" w:eastAsia="Arial" w:hAnsi="Arial"/>
                  <w:sz w:val="17"/>
                  <w:szCs w:val="17"/>
                  <w:color w:val="0000EE"/>
                  <w:w w:val="99"/>
                </w:rPr>
                <w:t>Novus Therapeutics, Inc., 2020 Long Term Incentive Plan</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16.1</w:t>
            </w:r>
          </w:p>
        </w:tc>
        <w:tc>
          <w:tcPr>
            <w:tcW w:w="60" w:type="dxa"/>
            <w:vAlign w:val="bottom"/>
          </w:tcPr>
          <w:p>
            <w:pPr>
              <w:spacing w:after="0"/>
              <w:rPr>
                <w:sz w:val="24"/>
                <w:szCs w:val="24"/>
                <w:color w:val="auto"/>
              </w:rPr>
            </w:pPr>
          </w:p>
        </w:tc>
        <w:tc>
          <w:tcPr>
            <w:tcW w:w="4000" w:type="dxa"/>
            <w:vAlign w:val="bottom"/>
            <w:tcBorders>
              <w:top w:val="single" w:sz="8" w:color="0000EE"/>
            </w:tcBorders>
            <w:gridSpan w:val="24"/>
          </w:tcPr>
          <w:p>
            <w:pPr>
              <w:spacing w:after="0"/>
              <w:rPr>
                <w:rFonts w:ascii="Arial" w:cs="Arial" w:eastAsia="Arial" w:hAnsi="Arial"/>
                <w:sz w:val="17"/>
                <w:szCs w:val="17"/>
                <w:color w:val="0000EE"/>
              </w:rPr>
            </w:pPr>
            <w:hyperlink r:id="rId103">
              <w:r>
                <w:rPr>
                  <w:rFonts w:ascii="Arial" w:cs="Arial" w:eastAsia="Arial" w:hAnsi="Arial"/>
                  <w:sz w:val="17"/>
                  <w:szCs w:val="17"/>
                  <w:color w:val="0000EE"/>
                </w:rPr>
                <w:t>Letter from Ernst &amp; Young LLP, dated July 11, 2019</w:t>
              </w:r>
            </w:hyperlink>
          </w:p>
        </w:tc>
        <w:tc>
          <w:tcPr>
            <w:tcW w:w="340" w:type="dxa"/>
            <w:vAlign w:val="bottom"/>
            <w:gridSpan w:val="5"/>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16.1</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0"/>
              </w:rPr>
              <w:t>July 12, 2019</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0" w:type="dxa"/>
            <w:vAlign w:val="bottom"/>
          </w:tcPr>
          <w:p>
            <w:pPr>
              <w:jc w:val="center"/>
              <w:ind w:right="256"/>
              <w:spacing w:after="0"/>
              <w:rPr>
                <w:sz w:val="20"/>
                <w:szCs w:val="20"/>
                <w:color w:val="auto"/>
              </w:rPr>
            </w:pPr>
            <w:r>
              <w:rPr>
                <w:rFonts w:ascii="Arial" w:cs="Arial" w:eastAsia="Arial" w:hAnsi="Arial"/>
                <w:sz w:val="17"/>
                <w:szCs w:val="17"/>
                <w:color w:val="auto"/>
                <w:w w:val="90"/>
              </w:rPr>
              <w:t>21.1</w:t>
            </w:r>
          </w:p>
        </w:tc>
        <w:tc>
          <w:tcPr>
            <w:tcW w:w="60" w:type="dxa"/>
            <w:vAlign w:val="bottom"/>
          </w:tcPr>
          <w:p>
            <w:pPr>
              <w:spacing w:after="0"/>
              <w:rPr>
                <w:sz w:val="24"/>
                <w:szCs w:val="24"/>
                <w:color w:val="auto"/>
              </w:rPr>
            </w:pPr>
          </w:p>
        </w:tc>
        <w:tc>
          <w:tcPr>
            <w:tcW w:w="3680" w:type="dxa"/>
            <w:vAlign w:val="bottom"/>
            <w:tcBorders>
              <w:top w:val="single" w:sz="8" w:color="0000EE"/>
            </w:tcBorders>
            <w:gridSpan w:val="17"/>
          </w:tcPr>
          <w:p>
            <w:pPr>
              <w:spacing w:after="0"/>
              <w:rPr>
                <w:rFonts w:ascii="Arial" w:cs="Arial" w:eastAsia="Arial" w:hAnsi="Arial"/>
                <w:sz w:val="17"/>
                <w:szCs w:val="17"/>
                <w:color w:val="0000EE"/>
              </w:rPr>
            </w:pPr>
            <w:hyperlink r:id="rId104">
              <w:r>
                <w:rPr>
                  <w:rFonts w:ascii="Arial" w:cs="Arial" w:eastAsia="Arial" w:hAnsi="Arial"/>
                  <w:sz w:val="17"/>
                  <w:szCs w:val="17"/>
                  <w:color w:val="0000EE"/>
                </w:rPr>
                <w:t>Subsidiaries of the Registrant</w:t>
              </w:r>
            </w:hyperlink>
          </w:p>
        </w:tc>
        <w:tc>
          <w:tcPr>
            <w:tcW w:w="660" w:type="dxa"/>
            <w:vAlign w:val="bottom"/>
            <w:gridSpan w:val="12"/>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001-36620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21.1</w:t>
            </w:r>
          </w:p>
        </w:tc>
        <w:tc>
          <w:tcPr>
            <w:tcW w:w="260" w:type="dxa"/>
            <w:vAlign w:val="bottom"/>
          </w:tcPr>
          <w:p>
            <w:pPr>
              <w:spacing w:after="0"/>
              <w:rPr>
                <w:sz w:val="24"/>
                <w:szCs w:val="24"/>
                <w:color w:val="auto"/>
              </w:rPr>
            </w:pPr>
          </w:p>
        </w:tc>
        <w:tc>
          <w:tcPr>
            <w:tcW w:w="1860" w:type="dxa"/>
            <w:vAlign w:val="bottom"/>
          </w:tcPr>
          <w:p>
            <w:pPr>
              <w:jc w:val="center"/>
              <w:ind w:right="15"/>
              <w:spacing w:after="0"/>
              <w:rPr>
                <w:sz w:val="20"/>
                <w:szCs w:val="20"/>
                <w:color w:val="auto"/>
              </w:rPr>
            </w:pPr>
            <w:r>
              <w:rPr>
                <w:rFonts w:ascii="Arial" w:cs="Arial" w:eastAsia="Arial" w:hAnsi="Arial"/>
                <w:sz w:val="17"/>
                <w:szCs w:val="17"/>
                <w:color w:val="auto"/>
                <w:w w:val="91"/>
              </w:rPr>
              <w:t>March 17, 2020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1"/>
              </w:rPr>
              <w:t>Incorporated by Reference</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64"/>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4960" w:type="dxa"/>
            <w:vAlign w:val="bottom"/>
            <w:gridSpan w:val="14"/>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7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Form</w:t>
            </w:r>
          </w:p>
        </w:tc>
        <w:tc>
          <w:tcPr>
            <w:tcW w:w="1700" w:type="dxa"/>
            <w:vAlign w:val="bottom"/>
            <w:tcBorders>
              <w:top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File No.</w:t>
            </w: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800" w:type="dxa"/>
            <w:vAlign w:val="bottom"/>
          </w:tcPr>
          <w:p>
            <w:pPr>
              <w:ind w:left="560"/>
              <w:spacing w:after="0" w:line="159" w:lineRule="exact"/>
              <w:rPr>
                <w:sz w:val="20"/>
                <w:szCs w:val="20"/>
                <w:color w:val="auto"/>
              </w:rPr>
            </w:pPr>
            <w:r>
              <w:rPr>
                <w:rFonts w:ascii="Arial" w:cs="Arial" w:eastAsia="Arial" w:hAnsi="Arial"/>
                <w:sz w:val="14"/>
                <w:szCs w:val="14"/>
                <w:b w:val="1"/>
                <w:bCs w:val="1"/>
                <w:color w:val="auto"/>
              </w:rPr>
              <w:t>Filing Date</w:t>
            </w:r>
          </w:p>
        </w:tc>
        <w:tc>
          <w:tcPr>
            <w:tcW w:w="380" w:type="dxa"/>
            <w:vAlign w:val="bottom"/>
          </w:tcPr>
          <w:p>
            <w:pPr>
              <w:spacing w:after="0"/>
              <w:rPr>
                <w:sz w:val="14"/>
                <w:szCs w:val="14"/>
                <w:color w:val="auto"/>
              </w:rPr>
            </w:pPr>
          </w:p>
        </w:tc>
        <w:tc>
          <w:tcPr>
            <w:tcW w:w="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1"/>
        </w:trPr>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23.1</w:t>
            </w:r>
          </w:p>
        </w:tc>
        <w:tc>
          <w:tcPr>
            <w:tcW w:w="60" w:type="dxa"/>
            <w:vAlign w:val="bottom"/>
          </w:tcPr>
          <w:p>
            <w:pPr>
              <w:spacing w:after="0"/>
              <w:rPr>
                <w:sz w:val="3"/>
                <w:szCs w:val="3"/>
                <w:color w:val="auto"/>
              </w:rPr>
            </w:pPr>
          </w:p>
        </w:tc>
        <w:tc>
          <w:tcPr>
            <w:tcW w:w="3800" w:type="dxa"/>
            <w:vAlign w:val="bottom"/>
            <w:gridSpan w:val="6"/>
            <w:vMerge w:val="restart"/>
          </w:tcPr>
          <w:p>
            <w:pPr>
              <w:spacing w:after="0"/>
              <w:rPr>
                <w:rFonts w:ascii="Arial" w:cs="Arial" w:eastAsia="Arial" w:hAnsi="Arial"/>
                <w:sz w:val="17"/>
                <w:szCs w:val="17"/>
                <w:color w:val="0000EE"/>
                <w:w w:val="92"/>
              </w:rPr>
            </w:pPr>
            <w:hyperlink w:anchor="page192">
              <w:r>
                <w:rPr>
                  <w:rFonts w:ascii="Arial" w:cs="Arial" w:eastAsia="Arial" w:hAnsi="Arial"/>
                  <w:sz w:val="17"/>
                  <w:szCs w:val="17"/>
                  <w:color w:val="0000EE"/>
                  <w:w w:val="92"/>
                </w:rPr>
                <w:t>Consent of KMJ Corbin &amp; Company LLP, independent</w:t>
              </w:r>
            </w:hyperlink>
          </w:p>
        </w:tc>
        <w:tc>
          <w:tcPr>
            <w:tcW w:w="460" w:type="dxa"/>
            <w:vAlign w:val="bottom"/>
            <w:gridSpan w:val="6"/>
            <w:vMerge w:val="restart"/>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00" w:type="dxa"/>
            <w:vAlign w:val="bottom"/>
            <w:tcBorders>
              <w:bottom w:val="single" w:sz="8" w:color="0000EE"/>
            </w:tcBorders>
            <w:gridSpan w:val="6"/>
            <w:vMerge w:val="continue"/>
          </w:tcPr>
          <w:p>
            <w:pPr>
              <w:spacing w:after="0"/>
              <w:rPr>
                <w:sz w:val="13"/>
                <w:szCs w:val="13"/>
                <w:color w:val="auto"/>
              </w:rPr>
            </w:pPr>
          </w:p>
        </w:tc>
        <w:tc>
          <w:tcPr>
            <w:tcW w:w="460" w:type="dxa"/>
            <w:vAlign w:val="bottom"/>
            <w:gridSpan w:val="6"/>
            <w:vMerge w:val="continue"/>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gridSpan w:val="14"/>
          </w:tcPr>
          <w:p>
            <w:pPr>
              <w:spacing w:after="0" w:line="186" w:lineRule="exact"/>
              <w:rPr>
                <w:rFonts w:ascii="Arial" w:cs="Arial" w:eastAsia="Arial" w:hAnsi="Arial"/>
                <w:sz w:val="17"/>
                <w:szCs w:val="17"/>
                <w:color w:val="0000EE"/>
              </w:rPr>
            </w:pPr>
            <w:hyperlink w:anchor="page192">
              <w:r>
                <w:rPr>
                  <w:rFonts w:ascii="Arial" w:cs="Arial" w:eastAsia="Arial" w:hAnsi="Arial"/>
                  <w:sz w:val="17"/>
                  <w:szCs w:val="17"/>
                  <w:color w:val="0000EE"/>
                </w:rPr>
                <w:t>registered public accounting firm</w:t>
              </w:r>
            </w:hyperlink>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20" w:type="dxa"/>
            <w:vAlign w:val="bottom"/>
          </w:tcPr>
          <w:p>
            <w:pPr>
              <w:ind w:left="80"/>
              <w:spacing w:after="0"/>
              <w:rPr>
                <w:sz w:val="20"/>
                <w:szCs w:val="20"/>
                <w:color w:val="auto"/>
              </w:rPr>
            </w:pPr>
            <w:r>
              <w:rPr>
                <w:rFonts w:ascii="Arial" w:cs="Arial" w:eastAsia="Arial" w:hAnsi="Arial"/>
                <w:sz w:val="17"/>
                <w:szCs w:val="17"/>
                <w:color w:val="auto"/>
              </w:rPr>
              <w:t>31.1</w:t>
            </w:r>
          </w:p>
        </w:tc>
        <w:tc>
          <w:tcPr>
            <w:tcW w:w="60" w:type="dxa"/>
            <w:vAlign w:val="bottom"/>
          </w:tcPr>
          <w:p>
            <w:pPr>
              <w:spacing w:after="0"/>
              <w:rPr>
                <w:sz w:val="24"/>
                <w:szCs w:val="24"/>
                <w:color w:val="auto"/>
              </w:rPr>
            </w:pPr>
          </w:p>
        </w:tc>
        <w:tc>
          <w:tcPr>
            <w:tcW w:w="4960" w:type="dxa"/>
            <w:vAlign w:val="bottom"/>
            <w:gridSpan w:val="14"/>
          </w:tcPr>
          <w:p>
            <w:pPr>
              <w:spacing w:after="0"/>
              <w:rPr>
                <w:rFonts w:ascii="Arial" w:cs="Arial" w:eastAsia="Arial" w:hAnsi="Arial"/>
                <w:sz w:val="17"/>
                <w:szCs w:val="17"/>
                <w:color w:val="0000EE"/>
              </w:rPr>
            </w:pPr>
            <w:hyperlink w:anchor="page193">
              <w:r>
                <w:rPr>
                  <w:rFonts w:ascii="Arial" w:cs="Arial" w:eastAsia="Arial" w:hAnsi="Arial"/>
                  <w:sz w:val="17"/>
                  <w:szCs w:val="17"/>
                  <w:color w:val="0000EE"/>
                </w:rPr>
                <w:t>Certification of Principal Executive Officer Pursuant to</w:t>
              </w:r>
            </w:hyperlink>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tcBorders>
              <w:top w:val="single" w:sz="8" w:color="0000EE"/>
            </w:tcBorders>
            <w:gridSpan w:val="6"/>
          </w:tcPr>
          <w:p>
            <w:pPr>
              <w:spacing w:after="0" w:line="186" w:lineRule="exact"/>
              <w:rPr>
                <w:rFonts w:ascii="Arial" w:cs="Arial" w:eastAsia="Arial" w:hAnsi="Arial"/>
                <w:sz w:val="17"/>
                <w:szCs w:val="17"/>
                <w:color w:val="0000EE"/>
                <w:w w:val="97"/>
              </w:rPr>
            </w:pPr>
            <w:hyperlink w:anchor="page193">
              <w:r>
                <w:rPr>
                  <w:rFonts w:ascii="Arial" w:cs="Arial" w:eastAsia="Arial" w:hAnsi="Arial"/>
                  <w:sz w:val="17"/>
                  <w:szCs w:val="17"/>
                  <w:color w:val="0000EE"/>
                  <w:w w:val="97"/>
                </w:rPr>
                <w:t>Rules 13a-14(a) and 15d-14(a) under the Securities</w:t>
              </w:r>
            </w:hyperlink>
          </w:p>
        </w:tc>
        <w:tc>
          <w:tcPr>
            <w:tcW w:w="1160" w:type="dxa"/>
            <w:vAlign w:val="bottom"/>
            <w:gridSpan w:val="8"/>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gridSpan w:val="14"/>
          </w:tcPr>
          <w:p>
            <w:pPr>
              <w:spacing w:after="0" w:line="186" w:lineRule="exact"/>
              <w:rPr>
                <w:rFonts w:ascii="Arial" w:cs="Arial" w:eastAsia="Arial" w:hAnsi="Arial"/>
                <w:sz w:val="17"/>
                <w:szCs w:val="17"/>
                <w:color w:val="0000EE"/>
              </w:rPr>
            </w:pPr>
            <w:hyperlink w:anchor="page193">
              <w:r>
                <w:rPr>
                  <w:rFonts w:ascii="Arial" w:cs="Arial" w:eastAsia="Arial" w:hAnsi="Arial"/>
                  <w:sz w:val="17"/>
                  <w:szCs w:val="17"/>
                  <w:color w:val="0000EE"/>
                </w:rPr>
                <w:t>Exchange Act of 1934, as Adopted Pursuant to Section 302</w:t>
              </w:r>
            </w:hyperlink>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91"/>
              </w:rPr>
            </w:pPr>
            <w:hyperlink w:anchor="page193">
              <w:r>
                <w:rPr>
                  <w:rFonts w:ascii="Arial" w:cs="Arial" w:eastAsia="Arial" w:hAnsi="Arial"/>
                  <w:sz w:val="17"/>
                  <w:szCs w:val="17"/>
                  <w:color w:val="0000EE"/>
                  <w:w w:val="91"/>
                </w:rPr>
                <w:t>of the Sarbanes-Oxley Act of 2002</w:t>
              </w:r>
            </w:hyperlink>
          </w:p>
        </w:tc>
        <w:tc>
          <w:tcPr>
            <w:tcW w:w="1680" w:type="dxa"/>
            <w:vAlign w:val="bottom"/>
            <w:tcBorders>
              <w:top w:val="single" w:sz="8" w:color="0000EE"/>
            </w:tcBorders>
            <w:gridSpan w:val="6"/>
          </w:tcPr>
          <w:p>
            <w:pPr>
              <w:spacing w:after="0"/>
              <w:rPr>
                <w:sz w:val="16"/>
                <w:szCs w:val="16"/>
                <w:color w:val="auto"/>
              </w:rPr>
            </w:pPr>
          </w:p>
        </w:tc>
        <w:tc>
          <w:tcPr>
            <w:tcW w:w="880" w:type="dxa"/>
            <w:vAlign w:val="bottom"/>
            <w:gridSpan w:val="5"/>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0" w:type="dxa"/>
            <w:vAlign w:val="bottom"/>
          </w:tcPr>
          <w:p>
            <w:pPr>
              <w:ind w:left="80"/>
              <w:spacing w:after="0"/>
              <w:rPr>
                <w:sz w:val="20"/>
                <w:szCs w:val="20"/>
                <w:color w:val="auto"/>
              </w:rPr>
            </w:pPr>
            <w:r>
              <w:rPr>
                <w:rFonts w:ascii="Arial" w:cs="Arial" w:eastAsia="Arial" w:hAnsi="Arial"/>
                <w:sz w:val="17"/>
                <w:szCs w:val="17"/>
                <w:color w:val="auto"/>
              </w:rPr>
              <w:t>31.2</w:t>
            </w:r>
          </w:p>
        </w:tc>
        <w:tc>
          <w:tcPr>
            <w:tcW w:w="60" w:type="dxa"/>
            <w:vAlign w:val="bottom"/>
          </w:tcPr>
          <w:p>
            <w:pPr>
              <w:spacing w:after="0"/>
              <w:rPr>
                <w:sz w:val="24"/>
                <w:szCs w:val="24"/>
                <w:color w:val="auto"/>
              </w:rPr>
            </w:pPr>
          </w:p>
        </w:tc>
        <w:tc>
          <w:tcPr>
            <w:tcW w:w="3760" w:type="dxa"/>
            <w:vAlign w:val="bottom"/>
            <w:tcBorders>
              <w:bottom w:val="single" w:sz="8" w:color="0000EE"/>
            </w:tcBorders>
            <w:gridSpan w:val="5"/>
          </w:tcPr>
          <w:p>
            <w:pPr>
              <w:spacing w:after="0"/>
              <w:rPr>
                <w:rFonts w:ascii="Arial" w:cs="Arial" w:eastAsia="Arial" w:hAnsi="Arial"/>
                <w:sz w:val="17"/>
                <w:szCs w:val="17"/>
                <w:color w:val="0000EE"/>
                <w:w w:val="94"/>
              </w:rPr>
            </w:pPr>
            <w:hyperlink w:anchor="page194">
              <w:r>
                <w:rPr>
                  <w:rFonts w:ascii="Arial" w:cs="Arial" w:eastAsia="Arial" w:hAnsi="Arial"/>
                  <w:sz w:val="17"/>
                  <w:szCs w:val="17"/>
                  <w:color w:val="0000EE"/>
                  <w:w w:val="94"/>
                </w:rPr>
                <w:t>Certification of Principal Financial Officer Pursuant to</w:t>
              </w:r>
            </w:hyperlink>
          </w:p>
        </w:tc>
        <w:tc>
          <w:tcPr>
            <w:tcW w:w="120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gridSpan w:val="14"/>
          </w:tcPr>
          <w:p>
            <w:pPr>
              <w:spacing w:after="0" w:line="186" w:lineRule="exact"/>
              <w:rPr>
                <w:rFonts w:ascii="Arial" w:cs="Arial" w:eastAsia="Arial" w:hAnsi="Arial"/>
                <w:sz w:val="17"/>
                <w:szCs w:val="17"/>
                <w:color w:val="0000EE"/>
              </w:rPr>
            </w:pPr>
            <w:hyperlink w:anchor="page194">
              <w:r>
                <w:rPr>
                  <w:rFonts w:ascii="Arial" w:cs="Arial" w:eastAsia="Arial" w:hAnsi="Arial"/>
                  <w:sz w:val="17"/>
                  <w:szCs w:val="17"/>
                  <w:color w:val="0000EE"/>
                </w:rPr>
                <w:t>Rules 13a-14(a) and 15d-14(a) under the Securities</w:t>
              </w:r>
            </w:hyperlink>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gridSpan w:val="14"/>
          </w:tcPr>
          <w:p>
            <w:pPr>
              <w:spacing w:after="0" w:line="186" w:lineRule="exact"/>
              <w:rPr>
                <w:rFonts w:ascii="Arial" w:cs="Arial" w:eastAsia="Arial" w:hAnsi="Arial"/>
                <w:sz w:val="17"/>
                <w:szCs w:val="17"/>
                <w:color w:val="0000EE"/>
              </w:rPr>
            </w:pPr>
            <w:hyperlink w:anchor="page194">
              <w:r>
                <w:rPr>
                  <w:rFonts w:ascii="Arial" w:cs="Arial" w:eastAsia="Arial" w:hAnsi="Arial"/>
                  <w:sz w:val="17"/>
                  <w:szCs w:val="17"/>
                  <w:color w:val="0000EE"/>
                </w:rPr>
                <w:t>Exchange Act of 1934, as Adopted Pursuant to Section 302</w:t>
              </w:r>
            </w:hyperlink>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91"/>
              </w:rPr>
            </w:pPr>
            <w:hyperlink w:anchor="page194">
              <w:r>
                <w:rPr>
                  <w:rFonts w:ascii="Arial" w:cs="Arial" w:eastAsia="Arial" w:hAnsi="Arial"/>
                  <w:sz w:val="17"/>
                  <w:szCs w:val="17"/>
                  <w:color w:val="0000EE"/>
                  <w:w w:val="91"/>
                </w:rPr>
                <w:t>of the Sarbanes-Oxley Act of 2002</w:t>
              </w:r>
            </w:hyperlink>
          </w:p>
        </w:tc>
        <w:tc>
          <w:tcPr>
            <w:tcW w:w="1680" w:type="dxa"/>
            <w:vAlign w:val="bottom"/>
            <w:tcBorders>
              <w:top w:val="single" w:sz="8" w:color="0000EE"/>
            </w:tcBorders>
            <w:gridSpan w:val="6"/>
          </w:tcPr>
          <w:p>
            <w:pPr>
              <w:spacing w:after="0"/>
              <w:rPr>
                <w:sz w:val="16"/>
                <w:szCs w:val="16"/>
                <w:color w:val="auto"/>
              </w:rPr>
            </w:pPr>
          </w:p>
        </w:tc>
        <w:tc>
          <w:tcPr>
            <w:tcW w:w="880" w:type="dxa"/>
            <w:vAlign w:val="bottom"/>
            <w:gridSpan w:val="5"/>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0" w:type="dxa"/>
            <w:vAlign w:val="bottom"/>
          </w:tcPr>
          <w:p>
            <w:pPr>
              <w:ind w:left="80"/>
              <w:spacing w:after="0"/>
              <w:rPr>
                <w:sz w:val="20"/>
                <w:szCs w:val="20"/>
                <w:color w:val="auto"/>
              </w:rPr>
            </w:pPr>
            <w:r>
              <w:rPr>
                <w:rFonts w:ascii="Arial" w:cs="Arial" w:eastAsia="Arial" w:hAnsi="Arial"/>
                <w:sz w:val="17"/>
                <w:szCs w:val="17"/>
                <w:color w:val="auto"/>
              </w:rPr>
              <w:t>32.1</w:t>
            </w: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402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195">
              <w:r>
                <w:rPr>
                  <w:rFonts w:ascii="Arial" w:cs="Arial" w:eastAsia="Arial" w:hAnsi="Arial"/>
                  <w:sz w:val="17"/>
                  <w:szCs w:val="17"/>
                  <w:color w:val="0000EE"/>
                  <w:w w:val="93"/>
                </w:rPr>
                <w:t>Certification of Principal Executive Officer Pursuant to 18</w:t>
              </w:r>
            </w:hyperlink>
          </w:p>
        </w:tc>
        <w:tc>
          <w:tcPr>
            <w:tcW w:w="940" w:type="dxa"/>
            <w:vAlign w:val="bottom"/>
            <w:gridSpan w:val="6"/>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tcBorders>
              <w:bottom w:val="single" w:sz="8" w:color="0000EE"/>
            </w:tcBorders>
            <w:gridSpan w:val="10"/>
          </w:tcPr>
          <w:p>
            <w:pPr>
              <w:spacing w:after="0" w:line="186" w:lineRule="exact"/>
              <w:rPr>
                <w:rFonts w:ascii="Arial" w:cs="Arial" w:eastAsia="Arial" w:hAnsi="Arial"/>
                <w:sz w:val="17"/>
                <w:szCs w:val="17"/>
                <w:color w:val="0000EE"/>
                <w:w w:val="90"/>
              </w:rPr>
            </w:pPr>
            <w:hyperlink w:anchor="page195">
              <w:r>
                <w:rPr>
                  <w:rFonts w:ascii="Arial" w:cs="Arial" w:eastAsia="Arial" w:hAnsi="Arial"/>
                  <w:sz w:val="17"/>
                  <w:szCs w:val="17"/>
                  <w:color w:val="0000EE"/>
                  <w:w w:val="90"/>
                </w:rPr>
                <w:t>U.S.C. Section 1350, as Adopted Pursuant to Section 906 of</w:t>
              </w:r>
            </w:hyperlink>
          </w:p>
        </w:tc>
        <w:tc>
          <w:tcPr>
            <w:tcW w:w="820" w:type="dxa"/>
            <w:vAlign w:val="bottom"/>
            <w:gridSpan w:val="4"/>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Borders>
              <w:bottom w:val="single" w:sz="8" w:color="0000EE"/>
            </w:tcBorders>
            <w:gridSpan w:val="2"/>
          </w:tcPr>
          <w:p>
            <w:pPr>
              <w:spacing w:after="0" w:line="186" w:lineRule="exact"/>
              <w:rPr>
                <w:rFonts w:ascii="Arial" w:cs="Arial" w:eastAsia="Arial" w:hAnsi="Arial"/>
                <w:sz w:val="17"/>
                <w:szCs w:val="17"/>
                <w:color w:val="0000EE"/>
                <w:w w:val="92"/>
              </w:rPr>
            </w:pPr>
            <w:hyperlink w:anchor="page195">
              <w:r>
                <w:rPr>
                  <w:rFonts w:ascii="Arial" w:cs="Arial" w:eastAsia="Arial" w:hAnsi="Arial"/>
                  <w:sz w:val="17"/>
                  <w:szCs w:val="17"/>
                  <w:color w:val="0000EE"/>
                  <w:w w:val="92"/>
                </w:rPr>
                <w:t>the Sarbanes-Oxley Act of 2002</w:t>
              </w:r>
            </w:hyperlink>
          </w:p>
        </w:tc>
        <w:tc>
          <w:tcPr>
            <w:tcW w:w="2680" w:type="dxa"/>
            <w:vAlign w:val="bottom"/>
            <w:gridSpan w:val="12"/>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0" w:type="dxa"/>
            <w:vAlign w:val="bottom"/>
          </w:tcPr>
          <w:p>
            <w:pPr>
              <w:ind w:left="80"/>
              <w:spacing w:after="0"/>
              <w:rPr>
                <w:sz w:val="20"/>
                <w:szCs w:val="20"/>
                <w:color w:val="auto"/>
              </w:rPr>
            </w:pPr>
            <w:r>
              <w:rPr>
                <w:rFonts w:ascii="Arial" w:cs="Arial" w:eastAsia="Arial" w:hAnsi="Arial"/>
                <w:sz w:val="17"/>
                <w:szCs w:val="17"/>
                <w:color w:val="auto"/>
              </w:rPr>
              <w:t>32.2</w:t>
            </w: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398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196">
              <w:r>
                <w:rPr>
                  <w:rFonts w:ascii="Arial" w:cs="Arial" w:eastAsia="Arial" w:hAnsi="Arial"/>
                  <w:sz w:val="17"/>
                  <w:szCs w:val="17"/>
                  <w:color w:val="0000EE"/>
                  <w:w w:val="93"/>
                </w:rPr>
                <w:t>Certification of Principal Financial Officer Pursuant to 18</w:t>
              </w:r>
            </w:hyperlink>
          </w:p>
        </w:tc>
        <w:tc>
          <w:tcPr>
            <w:tcW w:w="980" w:type="dxa"/>
            <w:vAlign w:val="bottom"/>
            <w:gridSpan w:val="7"/>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tcBorders>
              <w:bottom w:val="single" w:sz="8" w:color="0000EE"/>
            </w:tcBorders>
            <w:gridSpan w:val="10"/>
          </w:tcPr>
          <w:p>
            <w:pPr>
              <w:spacing w:after="0" w:line="186" w:lineRule="exact"/>
              <w:rPr>
                <w:rFonts w:ascii="Arial" w:cs="Arial" w:eastAsia="Arial" w:hAnsi="Arial"/>
                <w:sz w:val="17"/>
                <w:szCs w:val="17"/>
                <w:color w:val="0000EE"/>
                <w:w w:val="90"/>
              </w:rPr>
            </w:pPr>
            <w:hyperlink w:anchor="page196">
              <w:r>
                <w:rPr>
                  <w:rFonts w:ascii="Arial" w:cs="Arial" w:eastAsia="Arial" w:hAnsi="Arial"/>
                  <w:sz w:val="17"/>
                  <w:szCs w:val="17"/>
                  <w:color w:val="0000EE"/>
                  <w:w w:val="90"/>
                </w:rPr>
                <w:t>U.S.C. Section 1350, as Adopted Pursuant to Section 906 of</w:t>
              </w:r>
            </w:hyperlink>
          </w:p>
        </w:tc>
        <w:tc>
          <w:tcPr>
            <w:tcW w:w="820" w:type="dxa"/>
            <w:vAlign w:val="bottom"/>
            <w:gridSpan w:val="4"/>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Borders>
              <w:bottom w:val="single" w:sz="8" w:color="0000EE"/>
            </w:tcBorders>
          </w:tcPr>
          <w:p>
            <w:pPr>
              <w:spacing w:after="0" w:line="186" w:lineRule="exact"/>
              <w:rPr>
                <w:rFonts w:ascii="Arial" w:cs="Arial" w:eastAsia="Arial" w:hAnsi="Arial"/>
                <w:sz w:val="17"/>
                <w:szCs w:val="17"/>
                <w:color w:val="0000EE"/>
                <w:w w:val="91"/>
              </w:rPr>
            </w:pPr>
            <w:hyperlink w:anchor="page196">
              <w:r>
                <w:rPr>
                  <w:rFonts w:ascii="Arial" w:cs="Arial" w:eastAsia="Arial" w:hAnsi="Arial"/>
                  <w:sz w:val="17"/>
                  <w:szCs w:val="17"/>
                  <w:color w:val="0000EE"/>
                  <w:w w:val="91"/>
                </w:rPr>
                <w:t>the Sarbanes-Oxley Act of 2002</w:t>
              </w:r>
            </w:hyperlink>
          </w:p>
        </w:tc>
        <w:tc>
          <w:tcPr>
            <w:tcW w:w="2740" w:type="dxa"/>
            <w:vAlign w:val="bottom"/>
            <w:gridSpan w:val="13"/>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spacing w:after="0"/>
              <w:rPr>
                <w:sz w:val="20"/>
                <w:szCs w:val="20"/>
                <w:color w:val="auto"/>
              </w:rPr>
            </w:pPr>
            <w:r>
              <w:rPr>
                <w:rFonts w:ascii="Arial" w:cs="Arial" w:eastAsia="Arial" w:hAnsi="Arial"/>
                <w:sz w:val="17"/>
                <w:szCs w:val="17"/>
                <w:color w:val="auto"/>
              </w:rPr>
              <w:t>101.INS</w:t>
            </w:r>
          </w:p>
        </w:tc>
        <w:tc>
          <w:tcPr>
            <w:tcW w:w="4960" w:type="dxa"/>
            <w:vAlign w:val="bottom"/>
            <w:gridSpan w:val="14"/>
          </w:tcPr>
          <w:p>
            <w:pPr>
              <w:spacing w:after="0"/>
              <w:rPr>
                <w:sz w:val="20"/>
                <w:szCs w:val="20"/>
                <w:color w:val="auto"/>
              </w:rPr>
            </w:pPr>
            <w:r>
              <w:rPr>
                <w:rFonts w:ascii="Arial" w:cs="Arial" w:eastAsia="Arial" w:hAnsi="Arial"/>
                <w:sz w:val="17"/>
                <w:szCs w:val="17"/>
                <w:color w:val="auto"/>
              </w:rPr>
              <w:t>XBRL Instance Document</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80" w:type="dxa"/>
            <w:vAlign w:val="bottom"/>
            <w:gridSpan w:val="2"/>
          </w:tcPr>
          <w:p>
            <w:pPr>
              <w:spacing w:after="0"/>
              <w:rPr>
                <w:sz w:val="20"/>
                <w:szCs w:val="20"/>
                <w:color w:val="auto"/>
              </w:rPr>
            </w:pPr>
            <w:r>
              <w:rPr>
                <w:rFonts w:ascii="Arial" w:cs="Arial" w:eastAsia="Arial" w:hAnsi="Arial"/>
                <w:sz w:val="17"/>
                <w:szCs w:val="17"/>
                <w:color w:val="auto"/>
              </w:rPr>
              <w:t>101.SCH</w:t>
            </w:r>
          </w:p>
        </w:tc>
        <w:tc>
          <w:tcPr>
            <w:tcW w:w="4960" w:type="dxa"/>
            <w:vAlign w:val="bottom"/>
            <w:gridSpan w:val="14"/>
          </w:tcPr>
          <w:p>
            <w:pPr>
              <w:spacing w:after="0"/>
              <w:rPr>
                <w:sz w:val="20"/>
                <w:szCs w:val="20"/>
                <w:color w:val="auto"/>
              </w:rPr>
            </w:pPr>
            <w:r>
              <w:rPr>
                <w:rFonts w:ascii="Arial" w:cs="Arial" w:eastAsia="Arial" w:hAnsi="Arial"/>
                <w:sz w:val="17"/>
                <w:szCs w:val="17"/>
                <w:color w:val="auto"/>
              </w:rPr>
              <w:t>XBRL Taxonomy Extension Schema Document</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80" w:type="dxa"/>
            <w:vAlign w:val="bottom"/>
            <w:gridSpan w:val="2"/>
          </w:tcPr>
          <w:p>
            <w:pPr>
              <w:spacing w:after="0"/>
              <w:rPr>
                <w:sz w:val="20"/>
                <w:szCs w:val="20"/>
                <w:color w:val="auto"/>
              </w:rPr>
            </w:pPr>
            <w:r>
              <w:rPr>
                <w:rFonts w:ascii="Arial" w:cs="Arial" w:eastAsia="Arial" w:hAnsi="Arial"/>
                <w:sz w:val="17"/>
                <w:szCs w:val="17"/>
                <w:color w:val="auto"/>
              </w:rPr>
              <w:t>101.CAL</w:t>
            </w:r>
          </w:p>
        </w:tc>
        <w:tc>
          <w:tcPr>
            <w:tcW w:w="4960" w:type="dxa"/>
            <w:vAlign w:val="bottom"/>
            <w:gridSpan w:val="14"/>
          </w:tcPr>
          <w:p>
            <w:pPr>
              <w:spacing w:after="0"/>
              <w:rPr>
                <w:sz w:val="20"/>
                <w:szCs w:val="20"/>
                <w:color w:val="auto"/>
              </w:rPr>
            </w:pPr>
            <w:r>
              <w:rPr>
                <w:rFonts w:ascii="Arial" w:cs="Arial" w:eastAsia="Arial" w:hAnsi="Arial"/>
                <w:sz w:val="17"/>
                <w:szCs w:val="17"/>
                <w:color w:val="auto"/>
              </w:rPr>
              <w:t>XBRL Taxonomy Extension Calculation Linkbase</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6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880" w:type="dxa"/>
            <w:vAlign w:val="bottom"/>
            <w:gridSpan w:val="2"/>
          </w:tcPr>
          <w:p>
            <w:pPr>
              <w:spacing w:after="0"/>
              <w:rPr>
                <w:sz w:val="20"/>
                <w:szCs w:val="20"/>
                <w:color w:val="auto"/>
              </w:rPr>
            </w:pPr>
            <w:r>
              <w:rPr>
                <w:rFonts w:ascii="Arial" w:cs="Arial" w:eastAsia="Arial" w:hAnsi="Arial"/>
                <w:sz w:val="17"/>
                <w:szCs w:val="17"/>
                <w:color w:val="auto"/>
              </w:rPr>
              <w:t>101.DEF</w:t>
            </w:r>
          </w:p>
        </w:tc>
        <w:tc>
          <w:tcPr>
            <w:tcW w:w="4960" w:type="dxa"/>
            <w:vAlign w:val="bottom"/>
            <w:gridSpan w:val="14"/>
          </w:tcPr>
          <w:p>
            <w:pPr>
              <w:spacing w:after="0"/>
              <w:rPr>
                <w:sz w:val="20"/>
                <w:szCs w:val="20"/>
                <w:color w:val="auto"/>
              </w:rPr>
            </w:pPr>
            <w:r>
              <w:rPr>
                <w:rFonts w:ascii="Arial" w:cs="Arial" w:eastAsia="Arial" w:hAnsi="Arial"/>
                <w:sz w:val="17"/>
                <w:szCs w:val="17"/>
                <w:color w:val="auto"/>
              </w:rPr>
              <w:t>XBRL Taxonomy Extension Definition Linkbase</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6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880" w:type="dxa"/>
            <w:vAlign w:val="bottom"/>
            <w:gridSpan w:val="2"/>
          </w:tcPr>
          <w:p>
            <w:pPr>
              <w:spacing w:after="0"/>
              <w:rPr>
                <w:sz w:val="20"/>
                <w:szCs w:val="20"/>
                <w:color w:val="auto"/>
              </w:rPr>
            </w:pPr>
            <w:r>
              <w:rPr>
                <w:rFonts w:ascii="Arial" w:cs="Arial" w:eastAsia="Arial" w:hAnsi="Arial"/>
                <w:sz w:val="17"/>
                <w:szCs w:val="17"/>
                <w:color w:val="auto"/>
              </w:rPr>
              <w:t>101.LAB</w:t>
            </w:r>
          </w:p>
        </w:tc>
        <w:tc>
          <w:tcPr>
            <w:tcW w:w="4960" w:type="dxa"/>
            <w:vAlign w:val="bottom"/>
            <w:gridSpan w:val="14"/>
          </w:tcPr>
          <w:p>
            <w:pPr>
              <w:spacing w:after="0"/>
              <w:rPr>
                <w:sz w:val="20"/>
                <w:szCs w:val="20"/>
                <w:color w:val="auto"/>
              </w:rPr>
            </w:pPr>
            <w:r>
              <w:rPr>
                <w:rFonts w:ascii="Arial" w:cs="Arial" w:eastAsia="Arial" w:hAnsi="Arial"/>
                <w:sz w:val="17"/>
                <w:szCs w:val="17"/>
                <w:color w:val="auto"/>
              </w:rPr>
              <w:t>XBRL Taxonomy Extension Label Linkbase Document</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80" w:type="dxa"/>
            <w:vAlign w:val="bottom"/>
            <w:gridSpan w:val="2"/>
          </w:tcPr>
          <w:p>
            <w:pPr>
              <w:spacing w:after="0"/>
              <w:rPr>
                <w:sz w:val="20"/>
                <w:szCs w:val="20"/>
                <w:color w:val="auto"/>
              </w:rPr>
            </w:pPr>
            <w:r>
              <w:rPr>
                <w:rFonts w:ascii="Arial" w:cs="Arial" w:eastAsia="Arial" w:hAnsi="Arial"/>
                <w:sz w:val="17"/>
                <w:szCs w:val="17"/>
                <w:color w:val="auto"/>
              </w:rPr>
              <w:t>101.PRE</w:t>
            </w:r>
          </w:p>
        </w:tc>
        <w:tc>
          <w:tcPr>
            <w:tcW w:w="4960" w:type="dxa"/>
            <w:vAlign w:val="bottom"/>
            <w:gridSpan w:val="14"/>
          </w:tcPr>
          <w:p>
            <w:pPr>
              <w:spacing w:after="0"/>
              <w:rPr>
                <w:sz w:val="20"/>
                <w:szCs w:val="20"/>
                <w:color w:val="auto"/>
              </w:rPr>
            </w:pPr>
            <w:r>
              <w:rPr>
                <w:rFonts w:ascii="Arial" w:cs="Arial" w:eastAsia="Arial" w:hAnsi="Arial"/>
                <w:sz w:val="17"/>
                <w:szCs w:val="17"/>
                <w:color w:val="auto"/>
              </w:rPr>
              <w:t>XBRL Taxonomy Extension Presentation Linkbase</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6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880" w:hanging="877"/>
        <w:spacing w:after="0"/>
        <w:tabs>
          <w:tab w:leader="none" w:pos="880" w:val="left"/>
        </w:tabs>
        <w:numPr>
          <w:ilvl w:val="0"/>
          <w:numId w:val="40"/>
        </w:numPr>
        <w:rPr>
          <w:rFonts w:ascii="Arial" w:cs="Arial" w:eastAsia="Arial" w:hAnsi="Arial"/>
          <w:sz w:val="27"/>
          <w:szCs w:val="27"/>
          <w:color w:val="auto"/>
          <w:vertAlign w:val="superscript"/>
        </w:rPr>
      </w:pPr>
      <w:r>
        <w:rPr>
          <w:rFonts w:ascii="Arial" w:cs="Arial" w:eastAsia="Arial" w:hAnsi="Arial"/>
          <w:sz w:val="17"/>
          <w:szCs w:val="17"/>
          <w:color w:val="auto"/>
        </w:rPr>
        <w:t>Indicates a management contract or compensatory plan</w:t>
      </w:r>
    </w:p>
    <w:p>
      <w:pPr>
        <w:spacing w:after="0" w:line="135" w:lineRule="exact"/>
        <w:rPr>
          <w:sz w:val="20"/>
          <w:szCs w:val="20"/>
          <w:color w:val="auto"/>
        </w:rPr>
      </w:pPr>
    </w:p>
    <w:p>
      <w:pPr>
        <w:ind w:left="880" w:right="6400" w:hanging="877"/>
        <w:spacing w:after="0" w:line="259" w:lineRule="auto"/>
        <w:tabs>
          <w:tab w:leader="none" w:pos="8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Schedules to and certain portions of these exhibits have been omitted pursuant to Item 601 (b)(2) of Regulation S-K. The omitted information is not material and may cause competitive harm to the Registrant if publicly disclosed.</w:t>
      </w:r>
    </w:p>
    <w:p>
      <w:pPr>
        <w:spacing w:after="0" w:line="119" w:lineRule="exact"/>
        <w:rPr>
          <w:sz w:val="20"/>
          <w:szCs w:val="20"/>
          <w:color w:val="auto"/>
        </w:rPr>
      </w:pPr>
    </w:p>
    <w:p>
      <w:pPr>
        <w:ind w:left="880" w:right="6460" w:hanging="877"/>
        <w:spacing w:after="0" w:line="228" w:lineRule="auto"/>
        <w:tabs>
          <w:tab w:leader="none" w:pos="880" w:val="left"/>
        </w:tabs>
        <w:numPr>
          <w:ilvl w:val="0"/>
          <w:numId w:val="42"/>
        </w:numPr>
        <w:rPr>
          <w:rFonts w:ascii="Arial" w:cs="Arial" w:eastAsia="Arial" w:hAnsi="Arial"/>
          <w:sz w:val="27"/>
          <w:szCs w:val="27"/>
          <w:color w:val="auto"/>
          <w:vertAlign w:val="superscript"/>
        </w:rPr>
      </w:pPr>
      <w:r>
        <w:rPr>
          <w:rFonts w:ascii="Arial" w:cs="Arial" w:eastAsia="Arial" w:hAnsi="Arial"/>
          <w:sz w:val="17"/>
          <w:szCs w:val="17"/>
          <w:color w:val="auto"/>
        </w:rPr>
        <w:t>These certifications are not deemed filed by the SEC and are not to be incorporated by reference in any filing we make under the Securities Act of 1933 or the Securities Exchange Act of 1934, irrespective of any general incorporation language in any filings.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Item 16. Form 10-K Summary.</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139"/>
          </w:cols>
          <w:pgMar w:left="320" w:top="263" w:right="1440"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920" w:firstLine="546"/>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0"/>
              </w:rPr>
              <w:t>Eledon Pharmaceuticals, Inc.</w:t>
            </w:r>
          </w:p>
        </w:tc>
      </w:tr>
      <w:tr>
        <w:trPr>
          <w:trHeight w:val="413"/>
        </w:trPr>
        <w:tc>
          <w:tcPr>
            <w:tcW w:w="3580" w:type="dxa"/>
            <w:vAlign w:val="bottom"/>
          </w:tcPr>
          <w:p>
            <w:pPr>
              <w:spacing w:after="0"/>
              <w:rPr>
                <w:sz w:val="20"/>
                <w:szCs w:val="20"/>
                <w:color w:val="auto"/>
              </w:rPr>
            </w:pPr>
            <w:r>
              <w:rPr>
                <w:rFonts w:ascii="Arial" w:cs="Arial" w:eastAsia="Arial" w:hAnsi="Arial"/>
                <w:sz w:val="17"/>
                <w:szCs w:val="17"/>
                <w:color w:val="auto"/>
              </w:rPr>
              <w:t>Date: March 30, 2021</w:t>
            </w:r>
          </w:p>
        </w:tc>
        <w:tc>
          <w:tcPr>
            <w:tcW w:w="2400" w:type="dxa"/>
            <w:vAlign w:val="bottom"/>
          </w:tcPr>
          <w:p>
            <w:pPr>
              <w:ind w:left="2060"/>
              <w:spacing w:after="0"/>
              <w:rPr>
                <w:sz w:val="20"/>
                <w:szCs w:val="20"/>
                <w:color w:val="auto"/>
              </w:rPr>
            </w:pPr>
            <w:r>
              <w:rPr>
                <w:rFonts w:ascii="Arial" w:cs="Arial" w:eastAsia="Arial" w:hAnsi="Arial"/>
                <w:sz w:val="17"/>
                <w:szCs w:val="17"/>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David-Alexandre C. Gros, M.D.</w:t>
            </w:r>
          </w:p>
        </w:tc>
      </w:tr>
      <w:tr>
        <w:trPr>
          <w:trHeight w:val="182"/>
        </w:trPr>
        <w:tc>
          <w:tcPr>
            <w:tcW w:w="3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60" w:type="dxa"/>
            <w:vAlign w:val="bottom"/>
          </w:tcPr>
          <w:p>
            <w:pPr>
              <w:jc w:val="center"/>
              <w:spacing w:after="0" w:line="181" w:lineRule="exact"/>
              <w:rPr>
                <w:sz w:val="20"/>
                <w:szCs w:val="20"/>
                <w:color w:val="auto"/>
              </w:rPr>
            </w:pPr>
            <w:r>
              <w:rPr>
                <w:rFonts w:ascii="Arial" w:cs="Arial" w:eastAsia="Arial" w:hAnsi="Arial"/>
                <w:sz w:val="17"/>
                <w:szCs w:val="17"/>
                <w:b w:val="1"/>
                <w:bCs w:val="1"/>
                <w:color w:val="auto"/>
                <w:w w:val="95"/>
              </w:rPr>
              <w:t>David-Alexandre C. Gros, M.D.</w:t>
            </w:r>
          </w:p>
        </w:tc>
      </w:tr>
      <w:tr>
        <w:trPr>
          <w:trHeight w:val="206"/>
        </w:trPr>
        <w:tc>
          <w:tcPr>
            <w:tcW w:w="3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3"/>
              </w:rPr>
              <w:t>Chief Executive Officer</w:t>
            </w:r>
          </w:p>
        </w:tc>
      </w:tr>
      <w:tr>
        <w:trPr>
          <w:trHeight w:val="206"/>
        </w:trPr>
        <w:tc>
          <w:tcPr>
            <w:tcW w:w="3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3"/>
              </w:rPr>
              <w:t>and Director (Principal</w:t>
            </w:r>
          </w:p>
        </w:tc>
      </w:tr>
      <w:tr>
        <w:trPr>
          <w:trHeight w:val="223"/>
        </w:trPr>
        <w:tc>
          <w:tcPr>
            <w:tcW w:w="3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2"/>
              </w:rPr>
              <w:t>Executive Officer)</w:t>
            </w:r>
          </w:p>
        </w:tc>
      </w:tr>
      <w:tr>
        <w:trPr>
          <w:trHeight w:val="297"/>
        </w:trPr>
        <w:tc>
          <w:tcPr>
            <w:tcW w:w="3580" w:type="dxa"/>
            <w:vAlign w:val="bottom"/>
          </w:tcPr>
          <w:p>
            <w:pPr>
              <w:spacing w:after="0"/>
              <w:rPr>
                <w:sz w:val="20"/>
                <w:szCs w:val="20"/>
                <w:color w:val="auto"/>
              </w:rPr>
            </w:pPr>
            <w:r>
              <w:rPr>
                <w:rFonts w:ascii="Arial" w:cs="Arial" w:eastAsia="Arial" w:hAnsi="Arial"/>
                <w:sz w:val="17"/>
                <w:szCs w:val="17"/>
                <w:color w:val="auto"/>
              </w:rPr>
              <w:t>Date: March 30, 2021</w:t>
            </w:r>
          </w:p>
        </w:tc>
        <w:tc>
          <w:tcPr>
            <w:tcW w:w="2400" w:type="dxa"/>
            <w:vAlign w:val="bottom"/>
          </w:tcPr>
          <w:p>
            <w:pPr>
              <w:ind w:left="2060"/>
              <w:spacing w:after="0"/>
              <w:rPr>
                <w:sz w:val="20"/>
                <w:szCs w:val="20"/>
                <w:color w:val="auto"/>
              </w:rPr>
            </w:pPr>
            <w:r>
              <w:rPr>
                <w:rFonts w:ascii="Arial" w:cs="Arial" w:eastAsia="Arial" w:hAnsi="Arial"/>
                <w:sz w:val="17"/>
                <w:szCs w:val="17"/>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Paul Little</w:t>
            </w:r>
          </w:p>
        </w:tc>
      </w:tr>
      <w:tr>
        <w:trPr>
          <w:trHeight w:val="182"/>
        </w:trPr>
        <w:tc>
          <w:tcPr>
            <w:tcW w:w="3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60" w:type="dxa"/>
            <w:vAlign w:val="bottom"/>
          </w:tcPr>
          <w:p>
            <w:pPr>
              <w:jc w:val="center"/>
              <w:spacing w:after="0" w:line="181" w:lineRule="exact"/>
              <w:rPr>
                <w:sz w:val="20"/>
                <w:szCs w:val="20"/>
                <w:color w:val="auto"/>
              </w:rPr>
            </w:pPr>
            <w:r>
              <w:rPr>
                <w:rFonts w:ascii="Arial" w:cs="Arial" w:eastAsia="Arial" w:hAnsi="Arial"/>
                <w:sz w:val="17"/>
                <w:szCs w:val="17"/>
                <w:b w:val="1"/>
                <w:bCs w:val="1"/>
                <w:color w:val="auto"/>
                <w:w w:val="95"/>
              </w:rPr>
              <w:t>Paul Little</w:t>
            </w:r>
          </w:p>
        </w:tc>
      </w:tr>
      <w:tr>
        <w:trPr>
          <w:trHeight w:val="206"/>
        </w:trPr>
        <w:tc>
          <w:tcPr>
            <w:tcW w:w="3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4"/>
              </w:rPr>
              <w:t>Chief Financial Officer</w:t>
            </w:r>
          </w:p>
        </w:tc>
      </w:tr>
      <w:tr>
        <w:trPr>
          <w:trHeight w:val="223"/>
        </w:trPr>
        <w:tc>
          <w:tcPr>
            <w:tcW w:w="3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7"/>
                <w:szCs w:val="17"/>
                <w:b w:val="1"/>
                <w:bCs w:val="1"/>
                <w:color w:val="auto"/>
                <w:w w:val="94"/>
              </w:rPr>
              <w:t>(Principal Financial Officer)</w:t>
            </w:r>
          </w:p>
        </w:tc>
      </w:tr>
    </w:tbl>
    <w:p>
      <w:pPr>
        <w:spacing w:after="0" w:line="234" w:lineRule="exact"/>
        <w:rPr>
          <w:sz w:val="20"/>
          <w:szCs w:val="20"/>
          <w:color w:val="auto"/>
        </w:rPr>
      </w:pPr>
    </w:p>
    <w:p>
      <w:pPr>
        <w:ind w:right="60" w:firstLine="546"/>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220" w:type="dxa"/>
            <w:vAlign w:val="bottom"/>
          </w:tcPr>
          <w:p>
            <w:pPr>
              <w:spacing w:after="0"/>
              <w:rPr>
                <w:sz w:val="17"/>
                <w:szCs w:val="17"/>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80" w:type="dxa"/>
            <w:vAlign w:val="bottom"/>
          </w:tcPr>
          <w:p>
            <w:pPr>
              <w:jc w:val="center"/>
              <w:spacing w:after="0"/>
              <w:rPr>
                <w:sz w:val="20"/>
                <w:szCs w:val="20"/>
                <w:color w:val="auto"/>
              </w:rPr>
            </w:pPr>
            <w:r>
              <w:rPr>
                <w:rFonts w:ascii="Arial" w:cs="Arial" w:eastAsia="Arial" w:hAnsi="Arial"/>
                <w:sz w:val="17"/>
                <w:szCs w:val="17"/>
                <w:color w:val="auto"/>
                <w:w w:val="94"/>
              </w:rPr>
              <w:t>/s/ David-Alexandre C. Gros, M.D.</w:t>
            </w:r>
          </w:p>
        </w:tc>
        <w:tc>
          <w:tcPr>
            <w:tcW w:w="220" w:type="dxa"/>
            <w:vAlign w:val="bottom"/>
          </w:tcPr>
          <w:p>
            <w:pPr>
              <w:spacing w:after="0"/>
              <w:rPr>
                <w:sz w:val="19"/>
                <w:szCs w:val="19"/>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Chief Executive Officer and Director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470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5"/>
              </w:rPr>
              <w:t>(</w:t>
            </w:r>
            <w:r>
              <w:rPr>
                <w:rFonts w:ascii="Arial" w:cs="Arial" w:eastAsia="Arial" w:hAnsi="Arial"/>
                <w:sz w:val="17"/>
                <w:szCs w:val="17"/>
                <w:color w:val="auto"/>
                <w:w w:val="95"/>
              </w:rPr>
              <w:t>Principal Executive Officer)</w:t>
            </w:r>
          </w:p>
        </w:tc>
        <w:tc>
          <w:tcPr>
            <w:tcW w:w="3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5"/>
              </w:rPr>
              <w:t>David-Alexandre C. Gros, M.D.</w:t>
            </w:r>
          </w:p>
        </w:tc>
        <w:tc>
          <w:tcPr>
            <w:tcW w:w="220" w:type="dxa"/>
            <w:vAlign w:val="bottom"/>
            <w:vMerge w:val="continue"/>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Paul Little</w:t>
            </w:r>
          </w:p>
        </w:tc>
        <w:tc>
          <w:tcPr>
            <w:tcW w:w="2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Chief Financial Officer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5"/>
              </w:rPr>
              <w:t>Paul Little</w:t>
            </w:r>
          </w:p>
        </w:tc>
        <w:tc>
          <w:tcPr>
            <w:tcW w:w="220" w:type="dxa"/>
            <w:vAlign w:val="bottom"/>
          </w:tcPr>
          <w:p>
            <w:pPr>
              <w:spacing w:after="0"/>
              <w:rPr>
                <w:sz w:val="18"/>
                <w:szCs w:val="18"/>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(Principal Financial Officer)</w:t>
            </w: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Jon S. Kuwahara</w:t>
            </w:r>
          </w:p>
        </w:tc>
        <w:tc>
          <w:tcPr>
            <w:tcW w:w="220" w:type="dxa"/>
            <w:vAlign w:val="bottom"/>
          </w:tcPr>
          <w:p>
            <w:pPr>
              <w:spacing w:after="0"/>
              <w:rPr>
                <w:sz w:val="24"/>
                <w:szCs w:val="24"/>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Senior Vice President Finance &amp; Administration</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1"/>
              </w:rPr>
              <w:t>Jon S. Kuwahara</w:t>
            </w:r>
          </w:p>
        </w:tc>
        <w:tc>
          <w:tcPr>
            <w:tcW w:w="220" w:type="dxa"/>
            <w:vAlign w:val="bottom"/>
          </w:tcPr>
          <w:p>
            <w:pPr>
              <w:spacing w:after="0"/>
              <w:rPr>
                <w:sz w:val="18"/>
                <w:szCs w:val="18"/>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(Principal Accounting Officer)</w:t>
            </w: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Keith A. Katkin</w:t>
            </w:r>
          </w:p>
        </w:tc>
        <w:tc>
          <w:tcPr>
            <w:tcW w:w="2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Chairman of the Board of Directors</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7"/>
              </w:rPr>
              <w:t>Keith A. Katkin</w:t>
            </w: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Gary A. Lyons</w:t>
            </w:r>
          </w:p>
        </w:tc>
        <w:tc>
          <w:tcPr>
            <w:tcW w:w="2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1"/>
              </w:rPr>
              <w:t>Gary A. Lyons</w:t>
            </w: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John S. McBride</w:t>
            </w:r>
          </w:p>
        </w:tc>
        <w:tc>
          <w:tcPr>
            <w:tcW w:w="2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1"/>
              </w:rPr>
              <w:t>John S. McBride</w:t>
            </w: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Walter Ogier</w:t>
            </w:r>
          </w:p>
        </w:tc>
        <w:tc>
          <w:tcPr>
            <w:tcW w:w="2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6"/>
              </w:rPr>
              <w:t>Walter Ogier</w:t>
            </w: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June Lee, M.D.</w:t>
            </w:r>
          </w:p>
        </w:tc>
        <w:tc>
          <w:tcPr>
            <w:tcW w:w="2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4"/>
              </w:rPr>
              <w:t>June Lee, M.D.</w:t>
            </w: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Steven Perrin</w:t>
            </w:r>
          </w:p>
        </w:tc>
        <w:tc>
          <w:tcPr>
            <w:tcW w:w="220" w:type="dxa"/>
            <w:vAlign w:val="bottom"/>
          </w:tcPr>
          <w:p>
            <w:pPr>
              <w:spacing w:after="0"/>
              <w:rPr>
                <w:sz w:val="24"/>
                <w:szCs w:val="24"/>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President, Director</w:t>
            </w:r>
          </w:p>
        </w:tc>
        <w:tc>
          <w:tcPr>
            <w:tcW w:w="314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3"/>
              </w:rPr>
              <w:t>Steven Perrin</w:t>
            </w: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3"/>
        </w:trPr>
        <w:tc>
          <w:tcPr>
            <w:tcW w:w="3180" w:type="dxa"/>
            <w:vAlign w:val="bottom"/>
          </w:tcPr>
          <w:p>
            <w:pPr>
              <w:spacing w:after="0"/>
              <w:rPr>
                <w:sz w:val="24"/>
                <w:szCs w:val="24"/>
                <w:color w:val="auto"/>
              </w:rPr>
            </w:pPr>
          </w:p>
        </w:tc>
        <w:tc>
          <w:tcPr>
            <w:tcW w:w="4720" w:type="dxa"/>
            <w:vAlign w:val="bottom"/>
            <w:gridSpan w:val="2"/>
          </w:tcPr>
          <w:p>
            <w:pPr>
              <w:jc w:val="center"/>
              <w:ind w:left="74"/>
              <w:spacing w:after="0"/>
              <w:rPr>
                <w:sz w:val="20"/>
                <w:szCs w:val="20"/>
                <w:color w:val="auto"/>
              </w:rPr>
            </w:pPr>
            <w:r>
              <w:rPr>
                <w:rFonts w:ascii="Arial" w:cs="Arial" w:eastAsia="Arial" w:hAnsi="Arial"/>
                <w:sz w:val="17"/>
                <w:szCs w:val="17"/>
                <w:color w:val="auto"/>
                <w:w w:val="84"/>
              </w:rPr>
              <w:t>63</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40" w:type="dxa"/>
            <w:vAlign w:val="bottom"/>
            <w:gridSpan w:val="2"/>
            <w:vMerge w:val="restart"/>
          </w:tcPr>
          <w:p>
            <w:pPr>
              <w:spacing w:after="0"/>
              <w:rPr>
                <w:rFonts w:ascii="Arial" w:cs="Arial" w:eastAsia="Arial" w:hAnsi="Arial"/>
                <w:sz w:val="17"/>
                <w:szCs w:val="17"/>
                <w:color w:val="0000EE"/>
                <w:w w:val="92"/>
              </w:rPr>
            </w:pPr>
            <w:hyperlink w:anchor="page65">
              <w:r>
                <w:rPr>
                  <w:rFonts w:ascii="Arial" w:cs="Arial" w:eastAsia="Arial" w:hAnsi="Arial"/>
                  <w:sz w:val="17"/>
                  <w:szCs w:val="17"/>
                  <w:color w:val="0000EE"/>
                  <w:w w:val="92"/>
                </w:rPr>
                <w:t>Report of Independent Registered Public Accounting Firm</w:t>
              </w:r>
            </w:hyperlink>
          </w:p>
        </w:tc>
        <w:tc>
          <w:tcPr>
            <w:tcW w:w="6360" w:type="dxa"/>
            <w:vAlign w:val="bottom"/>
            <w:gridSpan w:val="5"/>
            <w:vMerge w:val="restart"/>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5"/>
        </w:trPr>
        <w:tc>
          <w:tcPr>
            <w:tcW w:w="4040" w:type="dxa"/>
            <w:vAlign w:val="bottom"/>
            <w:tcBorders>
              <w:bottom w:val="single" w:sz="8" w:color="0000EE"/>
            </w:tcBorders>
            <w:gridSpan w:val="2"/>
            <w:vMerge w:val="continue"/>
          </w:tcPr>
          <w:p>
            <w:pPr>
              <w:spacing w:after="0"/>
              <w:rPr>
                <w:sz w:val="13"/>
                <w:szCs w:val="13"/>
                <w:color w:val="auto"/>
              </w:rPr>
            </w:pPr>
          </w:p>
        </w:tc>
        <w:tc>
          <w:tcPr>
            <w:tcW w:w="6360" w:type="dxa"/>
            <w:vAlign w:val="bottom"/>
            <w:gridSpan w:val="5"/>
            <w:vMerge w:val="continue"/>
          </w:tcPr>
          <w:p>
            <w:pPr>
              <w:spacing w:after="0"/>
              <w:rPr>
                <w:sz w:val="13"/>
                <w:szCs w:val="13"/>
                <w:color w:val="auto"/>
              </w:rPr>
            </w:pPr>
          </w:p>
        </w:tc>
        <w:tc>
          <w:tcPr>
            <w:tcW w:w="840" w:type="dxa"/>
            <w:vAlign w:val="bottom"/>
            <w:tcBorders>
              <w:top w:val="single" w:sz="8" w:color="auto"/>
            </w:tcBorders>
          </w:tcPr>
          <w:p>
            <w:pPr>
              <w:ind w:left="600"/>
              <w:spacing w:after="0" w:line="161" w:lineRule="exact"/>
              <w:rPr>
                <w:sz w:val="20"/>
                <w:szCs w:val="20"/>
                <w:color w:val="auto"/>
              </w:rPr>
            </w:pPr>
            <w:r>
              <w:rPr>
                <w:rFonts w:ascii="Arial" w:cs="Arial" w:eastAsia="Arial" w:hAnsi="Arial"/>
                <w:sz w:val="17"/>
                <w:szCs w:val="17"/>
                <w:color w:val="auto"/>
                <w:w w:val="86"/>
              </w:rPr>
              <w:t>F-2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0400" w:type="dxa"/>
            <w:vAlign w:val="bottom"/>
            <w:gridSpan w:val="7"/>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Consolidated Balance Sheets as of December 31, 2020 and 2019</w:t>
              </w:r>
            </w:hyperlink>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30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0400" w:type="dxa"/>
            <w:vAlign w:val="bottom"/>
            <w:gridSpan w:val="7"/>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Consolidated Statements of Operations and Comprehensive Loss for the Years Ended December 31, 2020 and 2019</w:t>
              </w:r>
            </w:hyperlink>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302"/>
        </w:trPr>
        <w:tc>
          <w:tcPr>
            <w:tcW w:w="7660" w:type="dxa"/>
            <w:vAlign w:val="bottom"/>
            <w:tcBorders>
              <w:top w:val="single" w:sz="8" w:color="0000EE"/>
            </w:tcBorders>
            <w:gridSpan w:val="6"/>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Consolidated Statements of Stockholders’ Equity for the Years Ended December 31, 2020 and 2019</w:t>
              </w:r>
            </w:hyperlink>
          </w:p>
        </w:tc>
        <w:tc>
          <w:tcPr>
            <w:tcW w:w="274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302"/>
        </w:trPr>
        <w:tc>
          <w:tcPr>
            <w:tcW w:w="62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0"/>
              </w:rPr>
            </w:pPr>
            <w:hyperlink w:anchor="page70">
              <w:r>
                <w:rPr>
                  <w:rFonts w:ascii="Arial" w:cs="Arial" w:eastAsia="Arial" w:hAnsi="Arial"/>
                  <w:sz w:val="17"/>
                  <w:szCs w:val="17"/>
                  <w:color w:val="0000EE"/>
                  <w:w w:val="90"/>
                </w:rPr>
                <w:t>Consolidated Statements of Cash Flows for the Years Ended December 31, 2020 and 2019</w:t>
              </w:r>
            </w:hyperlink>
          </w:p>
        </w:tc>
        <w:tc>
          <w:tcPr>
            <w:tcW w:w="400" w:type="dxa"/>
            <w:vAlign w:val="bottom"/>
            <w:tcBorders>
              <w:top w:val="single" w:sz="8" w:color="0000EE"/>
            </w:tcBorders>
          </w:tcPr>
          <w:p>
            <w:pPr>
              <w:spacing w:after="0"/>
              <w:rPr>
                <w:sz w:val="24"/>
                <w:szCs w:val="24"/>
                <w:color w:val="auto"/>
              </w:rPr>
            </w:pPr>
          </w:p>
        </w:tc>
        <w:tc>
          <w:tcPr>
            <w:tcW w:w="3780" w:type="dxa"/>
            <w:vAlign w:val="bottom"/>
            <w:gridSpan w:val="2"/>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02"/>
        </w:trPr>
        <w:tc>
          <w:tcPr>
            <w:tcW w:w="10400" w:type="dxa"/>
            <w:vAlign w:val="bottom"/>
            <w:gridSpan w:val="7"/>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Notes to Consolidated Financial Statements</w:t>
              </w:r>
            </w:hyperlink>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842"/>
        </w:trPr>
        <w:tc>
          <w:tcPr>
            <w:tcW w:w="30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gridSpan w:val="4"/>
          </w:tcPr>
          <w:p>
            <w:pPr>
              <w:ind w:left="1060"/>
              <w:spacing w:after="0"/>
              <w:rPr>
                <w:sz w:val="20"/>
                <w:szCs w:val="20"/>
                <w:color w:val="auto"/>
              </w:rPr>
            </w:pPr>
            <w:r>
              <w:rPr>
                <w:rFonts w:ascii="Arial" w:cs="Arial" w:eastAsia="Arial" w:hAnsi="Arial"/>
                <w:sz w:val="17"/>
                <w:szCs w:val="17"/>
                <w:color w:val="auto"/>
              </w:rPr>
              <w:t>F-1</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40" w:right="299" w:bottom="1440" w:gutter="0" w:footer="0" w:header="0"/>
        </w:sectPr>
      </w:pPr>
    </w:p>
    <w:bookmarkStart w:id="64" w:name="page65"/>
    <w:bookmarkEnd w:id="64"/>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Eledon Pharmaceuticals, Inc.</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audited the accompanying consolidated balance sheets of Eledon Pharmaceuticals, Inc. (the “Company”) as of December 31, 2020 and 2019, the related consolidated statements of operations and comprehensive loss, stockholders’ equity and cash flows for the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firstLine="3"/>
        <w:spacing w:after="0" w:line="259" w:lineRule="auto"/>
        <w:tabs>
          <w:tab w:leader="none" w:pos="249"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it relates.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Anelixis Therapeutics, Inc. Business Combination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described in Notes 1, 2, 4, 7 and 10 to the consolidated financial statements, on September 14, 2020, the Company acquired Anelixis Therapeutics, Inc. (“Anelixis”) pursuant to a merger agreement. The Company issued to the stockholders of Anelixis 175,488 shares of common stock and 140,026 shares of Series X</w:t>
      </w:r>
      <w:r>
        <w:rPr>
          <w:rFonts w:ascii="Arial" w:cs="Arial" w:eastAsia="Arial" w:hAnsi="Arial"/>
          <w:sz w:val="14"/>
          <w:szCs w:val="14"/>
          <w:color w:val="auto"/>
        </w:rPr>
        <w:t>1</w:t>
      </w:r>
      <w:r>
        <w:rPr>
          <w:rFonts w:ascii="Arial" w:cs="Arial" w:eastAsia="Arial" w:hAnsi="Arial"/>
          <w:sz w:val="17"/>
          <w:szCs w:val="17"/>
          <w:color w:val="auto"/>
        </w:rPr>
        <w:t xml:space="preserve"> Non-Voting Convertible Preferred Stock (“Preferred Stock”). In addition, the Company assumed outstanding Anelixis stock options and warrants and replaced them with the Company’s warrants and stock options. The Company applied the acquisition method of accounting to the acquired assets and assumed liabilities of Anelixis. The allocation of the purchase price included an identified intangible asset that consisted of in-process research and development (“IPR&amp;D”) with an estimated fair value of $32.4 million related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5" w:name="page66"/>
    <w:bookmarkEnd w:id="65"/>
    <w:p>
      <w:pPr>
        <w:jc w:val="both"/>
        <w:spacing w:after="0" w:line="279" w:lineRule="auto"/>
        <w:rPr>
          <w:sz w:val="20"/>
          <w:szCs w:val="20"/>
          <w:color w:val="auto"/>
        </w:rPr>
      </w:pPr>
      <w:r>
        <w:rPr>
          <w:rFonts w:ascii="Arial" w:cs="Arial" w:eastAsia="Arial" w:hAnsi="Arial"/>
          <w:sz w:val="17"/>
          <w:szCs w:val="17"/>
          <w:color w:val="auto"/>
        </w:rPr>
        <w:t>Anelixis’ clinical development program of AT-1501. The estimated fair value of the IPR&amp;D was determined by management based on an external valuation specialists’ analysis of replacement costs to recreate AT-1501 in its current clinical stage.</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Given that the accounting for the transaction required management to make significant judgments in (1) assessing whether the acquisition should be accounted for as a business combination or asset acquisition, (2) determining the accounting acquirer, and (3) estimating the fair value of the acquired IPR&amp;D intangible asset, auditing the transaction was challenging and complex as it required a high degree of auditor judgment and an increased extent of effort, including the need to involve a valuation specialist.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audit procedures related to the accounting for the transaction included the following, among others, obtaining an understanding of management’s assessment of the accounting treatment for the transaction through inspection of the merger agreement and evaluation of the Company’s analysis which considered the significant terms of the merger agreement and the relevant accounting guidance. To test the estimated fair value of the acquired IPR&amp;D intangible asset, we evaluated the reasonableness of the valuation methodology, with the assistance of a valuation specialist, and tested the completeness and accuracy of the underlying data used by management to develop the assumptions. In addition, we assessed the appropriateness of management’s disclosures of the Anelixis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and Presentation of Series X</w:t>
      </w:r>
      <w:r>
        <w:rPr>
          <w:rFonts w:ascii="Arial" w:cs="Arial" w:eastAsia="Arial" w:hAnsi="Arial"/>
          <w:sz w:val="14"/>
          <w:szCs w:val="14"/>
          <w:b w:val="1"/>
          <w:bCs w:val="1"/>
          <w:i w:val="1"/>
          <w:iCs w:val="1"/>
          <w:color w:val="auto"/>
        </w:rPr>
        <w:t>1</w:t>
      </w:r>
      <w:r>
        <w:rPr>
          <w:rFonts w:ascii="Arial" w:cs="Arial" w:eastAsia="Arial" w:hAnsi="Arial"/>
          <w:sz w:val="17"/>
          <w:szCs w:val="17"/>
          <w:b w:val="1"/>
          <w:bCs w:val="1"/>
          <w:i w:val="1"/>
          <w:iCs w:val="1"/>
          <w:color w:val="auto"/>
        </w:rPr>
        <w:t xml:space="preserve"> Non-Voting Convertible Preferred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described in Notes 2, 7 and 10 to the consolidated financial statements, on September 14, 2020, the Company sold 199,112 shares of Preferred Stock for gross proceeds of $99.1 million and issued 140,026 shares of Preferred Stock in connection with the acquisition of Anelixis. The Preferred Stock was contingently convertible upon shareholder approval of the conversion of the Preferred Stock into 55.5556 shares of common stock and was redeemable if there was no shareholder approval.</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Auditing management’s accounting for the Preferred Stock and its appropriate classification was challenging due to the complex nature of the relevant accounting guidance, as well as the extent of management’s judgements in the application of the guidance. Management determined that the Preferred Stock was neither mandatorily redeemable nor did it require settlement into a variable number of shares of common stock. Management also evaluated the embedded conversion features for bifurcation as embedded derivative instruments. This evaluation included determining if the economic characteristics and risks of the embedded conversion features were clearly and closely related to the economic characteristics of the Preferred Stock. Based on its terms, the Company determined that the Preferred Stock was akin to an equity-like host. As a result, the Company concluded that the embedded conversion features were clearly and closely related to the Preferred Stock. Management also analyzed the conversion provision and determined there was no beneficial conversion feature. In addition, management classified the Preferred Stock outside of stockholders’ equity for the period prior to the shareholder approval of the conversion to common stock because the approval was outside of the control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17"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obtained an understanding of management’s assessment of the accounting treatment of the transaction through inspection of the Certificate of Designations of the Preferred Stock and evaluation of the Company’s analysis of the significant terms of the Preferred Stock, the related accounting guidance and its conclusions.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audit procedures related to the accounting for the transaction included, among others, the following: we evaluated management’s conclusions regarding the classification and valuation of the Preferred Stock, tested the Company’s determination of the fair value of the Preferred Stock, and assessed the appropriateness of management’s disclosures of the Preferred Stock and related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KMJ Corbin &amp; Company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Irvine,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March 30, 2021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5"/>
              <w:spacing w:after="0" w:line="14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ind w:left="3480"/>
              <w:spacing w:after="0"/>
              <w:rPr>
                <w:sz w:val="20"/>
                <w:szCs w:val="20"/>
                <w:color w:val="auto"/>
              </w:rPr>
            </w:pPr>
            <w:r>
              <w:rPr>
                <w:rFonts w:ascii="Arial" w:cs="Arial" w:eastAsia="Arial" w:hAnsi="Arial"/>
                <w:sz w:val="17"/>
                <w:szCs w:val="17"/>
                <w:b w:val="1"/>
                <w:bCs w:val="1"/>
                <w:color w:val="auto"/>
              </w:rPr>
              <w:t>ASSETS</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7"/>
                <w:szCs w:val="17"/>
                <w:color w:val="auto"/>
              </w:rPr>
              <w:t>Current assets: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200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114,195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115,630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asset, net</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7"/>
                <w:szCs w:val="17"/>
                <w:color w:val="auto"/>
              </w:rPr>
              <w:t>Goodwill</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48,648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In-process research and development</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32,386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assets</w:t>
            </w: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200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197,185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bottom w:val="single" w:sz="8" w:color="CFF0FC"/>
            </w:tcBorders>
            <w:vMerge w:val="restart"/>
          </w:tcPr>
          <w:p>
            <w:pPr>
              <w:ind w:left="1940"/>
              <w:spacing w:after="0"/>
              <w:rPr>
                <w:sz w:val="20"/>
                <w:szCs w:val="20"/>
                <w:color w:val="auto"/>
              </w:rPr>
            </w:pPr>
            <w:r>
              <w:rPr>
                <w:rFonts w:ascii="Arial" w:cs="Arial" w:eastAsia="Arial" w:hAnsi="Arial"/>
                <w:sz w:val="17"/>
                <w:szCs w:val="17"/>
                <w:b w:val="1"/>
                <w:bCs w:val="1"/>
                <w:color w:val="auto"/>
              </w:rPr>
              <w:t>LIABILITIES AND STOCKHOLDERS’ EQUITY</w:t>
            </w:r>
          </w:p>
        </w:tc>
        <w:tc>
          <w:tcPr>
            <w:tcW w:w="10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2000" w:type="dxa"/>
            <w:vAlign w:val="bottom"/>
            <w:gridSpan w:val="2"/>
          </w:tcPr>
          <w:p>
            <w:pPr>
              <w:jc w:val="right"/>
              <w:ind w:right="771"/>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1,366</w:t>
            </w:r>
          </w:p>
        </w:tc>
        <w:tc>
          <w:tcPr>
            <w:tcW w:w="28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operating lease liability</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240"/>
              <w:spacing w:after="0"/>
              <w:rPr>
                <w:sz w:val="20"/>
                <w:szCs w:val="20"/>
                <w:color w:val="auto"/>
              </w:rPr>
            </w:pPr>
            <w:r>
              <w:rPr>
                <w:rFonts w:ascii="Arial" w:cs="Arial" w:eastAsia="Arial" w:hAnsi="Arial"/>
                <w:sz w:val="17"/>
                <w:szCs w:val="17"/>
                <w:color w:val="auto"/>
              </w:rPr>
              <w:t>Accrued severance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liabilities</w:t>
            </w:r>
          </w:p>
        </w:tc>
        <w:tc>
          <w:tcPr>
            <w:tcW w:w="10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961</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2,483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liability</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7"/>
                <w:szCs w:val="17"/>
                <w:color w:val="auto"/>
              </w:rPr>
              <w:t>Non-current operating lease liability</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6,589</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5)</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20" w:type="dxa"/>
            <w:vAlign w:val="bottom"/>
          </w:tcPr>
          <w:p>
            <w:pPr>
              <w:spacing w:after="0"/>
              <w:rPr>
                <w:sz w:val="20"/>
                <w:szCs w:val="20"/>
                <w:color w:val="auto"/>
              </w:rPr>
            </w:pPr>
            <w:r>
              <w:rPr>
                <w:rFonts w:ascii="Arial" w:cs="Arial" w:eastAsia="Arial" w:hAnsi="Arial"/>
                <w:sz w:val="17"/>
                <w:szCs w:val="17"/>
                <w:color w:val="auto"/>
              </w:rPr>
              <w:t>Series X</w:t>
            </w:r>
            <w:r>
              <w:rPr>
                <w:rFonts w:ascii="Arial" w:cs="Arial" w:eastAsia="Arial" w:hAnsi="Arial"/>
                <w:sz w:val="14"/>
                <w:szCs w:val="14"/>
                <w:color w:val="auto"/>
              </w:rPr>
              <w:t>1</w:t>
            </w:r>
            <w:r>
              <w:rPr>
                <w:rFonts w:ascii="Arial" w:cs="Arial" w:eastAsia="Arial" w:hAnsi="Arial"/>
                <w:sz w:val="17"/>
                <w:szCs w:val="17"/>
                <w:color w:val="auto"/>
              </w:rPr>
              <w:t xml:space="preserve"> non-voting convertible preferred stock, $0.001 par value,</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20" w:type="dxa"/>
            <w:vAlign w:val="bottom"/>
          </w:tcPr>
          <w:p>
            <w:pPr>
              <w:ind w:left="140"/>
              <w:spacing w:after="0"/>
              <w:rPr>
                <w:sz w:val="20"/>
                <w:szCs w:val="20"/>
                <w:color w:val="auto"/>
              </w:rPr>
            </w:pPr>
            <w:r>
              <w:rPr>
                <w:rFonts w:ascii="Arial" w:cs="Arial" w:eastAsia="Arial" w:hAnsi="Arial"/>
                <w:sz w:val="17"/>
                <w:szCs w:val="17"/>
                <w:color w:val="auto"/>
              </w:rPr>
              <w:t>515,000 shares authorized; 108,070 and no shares issued and</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140"/>
              <w:spacing w:after="0"/>
              <w:rPr>
                <w:sz w:val="20"/>
                <w:szCs w:val="20"/>
                <w:color w:val="auto"/>
              </w:rPr>
            </w:pPr>
            <w:r>
              <w:rPr>
                <w:rFonts w:ascii="Arial" w:cs="Arial" w:eastAsia="Arial" w:hAnsi="Arial"/>
                <w:sz w:val="17"/>
                <w:szCs w:val="17"/>
                <w:color w:val="auto"/>
              </w:rPr>
              <w:t>outstanding at December 31, 2020 and 2019, respectively</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Series X preferred stock, $0.001 par value, 10,000 shares authorized; no shares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December 31, 2020 and 2019</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720" w:type="dxa"/>
            <w:vAlign w:val="bottom"/>
          </w:tcPr>
          <w:p>
            <w:pPr>
              <w:spacing w:after="0"/>
              <w:rPr>
                <w:sz w:val="20"/>
                <w:szCs w:val="20"/>
                <w:color w:val="auto"/>
              </w:rPr>
            </w:pPr>
            <w:r>
              <w:rPr>
                <w:rFonts w:ascii="Arial" w:cs="Arial" w:eastAsia="Arial" w:hAnsi="Arial"/>
                <w:sz w:val="17"/>
                <w:szCs w:val="17"/>
                <w:color w:val="auto"/>
              </w:rPr>
              <w:t>Common stock, $0.001 par value, 200,000,000 shares authorized at</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20" w:type="dxa"/>
            <w:vAlign w:val="bottom"/>
          </w:tcPr>
          <w:p>
            <w:pPr>
              <w:ind w:left="80"/>
              <w:spacing w:after="0"/>
              <w:rPr>
                <w:sz w:val="20"/>
                <w:szCs w:val="20"/>
                <w:color w:val="auto"/>
              </w:rPr>
            </w:pPr>
            <w:r>
              <w:rPr>
                <w:rFonts w:ascii="Arial" w:cs="Arial" w:eastAsia="Arial" w:hAnsi="Arial"/>
                <w:sz w:val="17"/>
                <w:szCs w:val="17"/>
                <w:color w:val="auto"/>
              </w:rPr>
              <w:t>December 31, 2020 and 2019; 15,160,397 and 720,408 shares issued</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80"/>
              <w:spacing w:after="0"/>
              <w:rPr>
                <w:sz w:val="20"/>
                <w:szCs w:val="20"/>
                <w:color w:val="auto"/>
              </w:rPr>
            </w:pPr>
            <w:r>
              <w:rPr>
                <w:rFonts w:ascii="Arial" w:cs="Arial" w:eastAsia="Arial" w:hAnsi="Arial"/>
                <w:sz w:val="17"/>
                <w:szCs w:val="17"/>
                <w:color w:val="auto"/>
              </w:rPr>
              <w:t>and outstanding at December 31, 2020 and 2019, respectively</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270,974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7"/>
                <w:szCs w:val="17"/>
                <w:color w:val="auto"/>
              </w:rPr>
              <w:t>Accumulated deficit</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(80,393)</w:t>
            </w:r>
          </w:p>
        </w:tc>
        <w:tc>
          <w:tcPr>
            <w:tcW w:w="4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(57,582)</w:t>
            </w:r>
          </w:p>
        </w:tc>
        <w:tc>
          <w:tcPr>
            <w:tcW w:w="0" w:type="dxa"/>
            <w:vAlign w:val="bottom"/>
          </w:tcPr>
          <w:p>
            <w:pPr>
              <w:spacing w:after="0"/>
              <w:rPr>
                <w:sz w:val="1"/>
                <w:szCs w:val="1"/>
                <w:color w:val="auto"/>
              </w:rPr>
            </w:pPr>
          </w:p>
        </w:tc>
      </w:tr>
      <w:tr>
        <w:trPr>
          <w:trHeight w:val="21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190,596</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9,465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2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000" w:type="dxa"/>
            <w:vAlign w:val="bottom"/>
            <w:gridSpan w:val="2"/>
          </w:tcPr>
          <w:p>
            <w:pPr>
              <w:jc w:val="right"/>
              <w:ind w:right="771"/>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197,185</w:t>
            </w:r>
          </w:p>
        </w:tc>
        <w:tc>
          <w:tcPr>
            <w:tcW w:w="28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6"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Year Ended</w:t>
      </w:r>
    </w:p>
    <w:p>
      <w:pPr>
        <w:jc w:val="center"/>
        <w:ind w:left="760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00" w:type="dxa"/>
            <w:vAlign w:val="bottom"/>
            <w:tcBorders>
              <w:bottom w:val="single" w:sz="8" w:color="CFF0FC"/>
            </w:tcBorders>
          </w:tcPr>
          <w:p>
            <w:pPr>
              <w:spacing w:after="0"/>
              <w:rPr>
                <w:sz w:val="12"/>
                <w:szCs w:val="12"/>
                <w:color w:val="auto"/>
              </w:rPr>
            </w:pPr>
          </w:p>
        </w:tc>
        <w:tc>
          <w:tcPr>
            <w:tcW w:w="164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8"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6,131</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00" w:type="dxa"/>
            <w:vAlign w:val="bottom"/>
          </w:tcPr>
          <w:p>
            <w:pPr>
              <w:spacing w:after="0"/>
              <w:rPr>
                <w:sz w:val="20"/>
                <w:szCs w:val="20"/>
                <w:color w:val="auto"/>
              </w:rPr>
            </w:pPr>
            <w:r>
              <w:rPr>
                <w:rFonts w:ascii="Arial" w:cs="Arial" w:eastAsia="Arial" w:hAnsi="Arial"/>
                <w:sz w:val="17"/>
                <w:szCs w:val="17"/>
                <w:color w:val="auto"/>
              </w:rPr>
              <w:t>Restructuring expense</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Goodwill impairment</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operating expenses</w:t>
            </w:r>
          </w:p>
        </w:tc>
        <w:tc>
          <w:tcPr>
            <w:tcW w:w="164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18,465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(18,465)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(16,051)</w:t>
            </w:r>
          </w:p>
        </w:tc>
        <w:tc>
          <w:tcPr>
            <w:tcW w:w="0" w:type="dxa"/>
            <w:vAlign w:val="bottom"/>
          </w:tcPr>
          <w:p>
            <w:pPr>
              <w:spacing w:after="0"/>
              <w:rPr>
                <w:sz w:val="1"/>
                <w:szCs w:val="1"/>
                <w:color w:val="auto"/>
              </w:rPr>
            </w:pPr>
          </w:p>
        </w:tc>
      </w:tr>
      <w:tr>
        <w:trPr>
          <w:trHeight w:val="218"/>
        </w:trPr>
        <w:tc>
          <w:tcPr>
            <w:tcW w:w="6100" w:type="dxa"/>
            <w:vAlign w:val="bottom"/>
          </w:tcPr>
          <w:p>
            <w:pPr>
              <w:spacing w:after="0"/>
              <w:rPr>
                <w:sz w:val="20"/>
                <w:szCs w:val="20"/>
                <w:color w:val="auto"/>
              </w:rPr>
            </w:pPr>
            <w:r>
              <w:rPr>
                <w:rFonts w:ascii="Arial" w:cs="Arial" w:eastAsia="Arial" w:hAnsi="Arial"/>
                <w:sz w:val="17"/>
                <w:szCs w:val="17"/>
                <w:color w:val="auto"/>
              </w:rPr>
              <w:t>Other income, net</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Warrant inducement expense</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(4,829)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7"/>
                <w:szCs w:val="17"/>
                <w:color w:val="auto"/>
              </w:rPr>
              <w:t>Loss before income tax benefit</w:t>
            </w: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(23,215)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(16,011)</w:t>
            </w:r>
          </w:p>
        </w:tc>
        <w:tc>
          <w:tcPr>
            <w:tcW w:w="0" w:type="dxa"/>
            <w:vAlign w:val="bottom"/>
          </w:tcPr>
          <w:p>
            <w:pPr>
              <w:spacing w:after="0"/>
              <w:rPr>
                <w:sz w:val="1"/>
                <w:szCs w:val="1"/>
                <w:color w:val="auto"/>
              </w:rPr>
            </w:pPr>
          </w:p>
        </w:tc>
      </w:tr>
      <w:tr>
        <w:trPr>
          <w:trHeight w:val="220"/>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w:t>
            </w:r>
          </w:p>
        </w:tc>
        <w:tc>
          <w:tcPr>
            <w:tcW w:w="16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00" w:type="dxa"/>
            <w:vAlign w:val="bottom"/>
          </w:tcPr>
          <w:p>
            <w:pPr>
              <w:spacing w:after="0"/>
              <w:rPr>
                <w:sz w:val="20"/>
                <w:szCs w:val="20"/>
                <w:color w:val="auto"/>
              </w:rPr>
            </w:pPr>
            <w:r>
              <w:rPr>
                <w:rFonts w:ascii="Arial" w:cs="Arial" w:eastAsia="Arial" w:hAnsi="Arial"/>
                <w:sz w:val="17"/>
                <w:szCs w:val="17"/>
                <w:color w:val="auto"/>
              </w:rPr>
              <w:t>Net loss and other comprehensive loss</w:t>
            </w:r>
          </w:p>
        </w:tc>
        <w:tc>
          <w:tcPr>
            <w:tcW w:w="2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(22,811)</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(16,011)</w:t>
            </w: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loss per share, basic and diluted</w:t>
            </w: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100" w:type="dxa"/>
            <w:vAlign w:val="bottom"/>
            <w:vMerge w:val="continue"/>
            <w:shd w:val="clear" w:color="auto" w:fill="CFF0FC"/>
          </w:tcPr>
          <w:p>
            <w:pPr>
              <w:spacing w:after="0"/>
              <w:rPr>
                <w:sz w:val="17"/>
                <w:szCs w:val="17"/>
                <w:color w:val="auto"/>
              </w:rPr>
            </w:pPr>
          </w:p>
        </w:tc>
        <w:tc>
          <w:tcPr>
            <w:tcW w:w="20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(15.72)</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(24.42)</w:t>
            </w: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Weighted-average common shares outstanding, basic and diluted</w:t>
            </w:r>
          </w:p>
        </w:tc>
        <w:tc>
          <w:tcPr>
            <w:tcW w:w="16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1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1,451,432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900" w:type="dxa"/>
            <w:vAlign w:val="bottom"/>
          </w:tcPr>
          <w:p>
            <w:pPr>
              <w:spacing w:after="0"/>
              <w:rPr>
                <w:sz w:val="10"/>
                <w:szCs w:val="10"/>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4"/>
              </w:rPr>
              <w:t>Series X</w:t>
            </w:r>
            <w:r>
              <w:rPr>
                <w:rFonts w:ascii="Arial" w:cs="Arial" w:eastAsia="Arial" w:hAnsi="Arial"/>
                <w:sz w:val="8"/>
                <w:szCs w:val="8"/>
                <w:b w:val="1"/>
                <w:bCs w:val="1"/>
                <w:color w:val="auto"/>
                <w:w w:val="94"/>
              </w:rPr>
              <w:t>1</w:t>
            </w:r>
            <w:r>
              <w:rPr>
                <w:rFonts w:ascii="Arial" w:cs="Arial" w:eastAsia="Arial" w:hAnsi="Arial"/>
                <w:sz w:val="10"/>
                <w:szCs w:val="10"/>
                <w:b w:val="1"/>
                <w:bCs w:val="1"/>
                <w:color w:val="auto"/>
                <w:w w:val="94"/>
              </w:rPr>
              <w:t xml:space="preserve"> Non-Voting Convertible</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ind w:left="2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30"/>
        </w:trPr>
        <w:tc>
          <w:tcPr>
            <w:tcW w:w="3900" w:type="dxa"/>
            <w:vAlign w:val="bottom"/>
          </w:tcPr>
          <w:p>
            <w:pPr>
              <w:spacing w:after="0"/>
              <w:rPr>
                <w:sz w:val="11"/>
                <w:szCs w:val="11"/>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3"/>
              </w:rPr>
              <w:t>Preferred Stock</w:t>
            </w:r>
          </w:p>
        </w:tc>
        <w:tc>
          <w:tcPr>
            <w:tcW w:w="1680" w:type="dxa"/>
            <w:vAlign w:val="bottom"/>
            <w:gridSpan w:val="3"/>
          </w:tcPr>
          <w:p>
            <w:pPr>
              <w:jc w:val="right"/>
              <w:ind w:right="172"/>
              <w:spacing w:after="0"/>
              <w:rPr>
                <w:sz w:val="20"/>
                <w:szCs w:val="20"/>
                <w:color w:val="auto"/>
              </w:rPr>
            </w:pPr>
            <w:r>
              <w:rPr>
                <w:rFonts w:ascii="Arial" w:cs="Arial" w:eastAsia="Arial" w:hAnsi="Arial"/>
                <w:sz w:val="10"/>
                <w:szCs w:val="10"/>
                <w:b w:val="1"/>
                <w:bCs w:val="1"/>
                <w:color w:val="auto"/>
              </w:rPr>
              <w:t>Series X Preferred Stock</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Paid-In</w:t>
            </w:r>
          </w:p>
        </w:tc>
        <w:tc>
          <w:tcPr>
            <w:tcW w:w="760" w:type="dxa"/>
            <w:vAlign w:val="bottom"/>
            <w:gridSpan w:val="3"/>
          </w:tcPr>
          <w:p>
            <w:pPr>
              <w:spacing w:after="0"/>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22"/>
        </w:trPr>
        <w:tc>
          <w:tcPr>
            <w:tcW w:w="390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Amount</w:t>
            </w:r>
          </w:p>
        </w:tc>
        <w:tc>
          <w:tcPr>
            <w:tcW w:w="180" w:type="dxa"/>
            <w:vAlign w:val="bottom"/>
            <w:tcBorders>
              <w:top w:val="single" w:sz="8" w:color="auto"/>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95"/>
              </w:rPr>
              <w:t>Capital</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Deficit</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Total</w:t>
            </w:r>
          </w:p>
        </w:tc>
      </w:tr>
      <w:tr>
        <w:trPr>
          <w:trHeight w:val="135"/>
        </w:trPr>
        <w:tc>
          <w:tcPr>
            <w:tcW w:w="3900" w:type="dxa"/>
            <w:vAlign w:val="bottom"/>
          </w:tcPr>
          <w:p>
            <w:pPr>
              <w:spacing w:after="0"/>
              <w:rPr>
                <w:sz w:val="20"/>
                <w:szCs w:val="20"/>
                <w:color w:val="auto"/>
              </w:rPr>
            </w:pPr>
            <w:r>
              <w:rPr>
                <w:rFonts w:ascii="Arial" w:cs="Arial" w:eastAsia="Arial" w:hAnsi="Arial"/>
                <w:sz w:val="11"/>
                <w:szCs w:val="11"/>
                <w:color w:val="auto"/>
              </w:rPr>
              <w:t>Balance as of December 31, 2019</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92"/>
              <w:spacing w:after="0"/>
              <w:rPr>
                <w:sz w:val="20"/>
                <w:szCs w:val="20"/>
                <w:color w:val="auto"/>
              </w:rPr>
            </w:pPr>
            <w:r>
              <w:rPr>
                <w:rFonts w:ascii="Arial" w:cs="Arial" w:eastAsia="Arial" w:hAnsi="Arial"/>
                <w:sz w:val="4"/>
                <w:szCs w:val="4"/>
                <w:color w:val="auto"/>
                <w:w w:val="87"/>
              </w:rPr>
              <w:t>$</w:t>
            </w: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720,408</w:t>
            </w:r>
          </w:p>
        </w:tc>
        <w:tc>
          <w:tcPr>
            <w:tcW w:w="180" w:type="dxa"/>
            <w:vAlign w:val="bottom"/>
          </w:tcPr>
          <w:p>
            <w:pPr>
              <w:spacing w:after="0"/>
              <w:rPr>
                <w:sz w:val="11"/>
                <w:szCs w:val="11"/>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67,046</w:t>
            </w:r>
          </w:p>
        </w:tc>
        <w:tc>
          <w:tcPr>
            <w:tcW w:w="24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(57,582)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9,4</w:t>
            </w:r>
          </w:p>
        </w:tc>
      </w:tr>
      <w:tr>
        <w:trPr>
          <w:trHeight w:val="135"/>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stock in connection with PIPE transaction, net of</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1,004,111</w:t>
            </w:r>
          </w:p>
        </w:tc>
        <w:tc>
          <w:tcPr>
            <w:tcW w:w="1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8,549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w:t>
            </w:r>
          </w:p>
        </w:tc>
      </w:tr>
      <w:tr>
        <w:trPr>
          <w:trHeight w:val="135"/>
        </w:trPr>
        <w:tc>
          <w:tcPr>
            <w:tcW w:w="3900" w:type="dxa"/>
            <w:vAlign w:val="bottom"/>
            <w:shd w:val="clear" w:color="auto" w:fill="CFF0FC"/>
          </w:tcPr>
          <w:p>
            <w:pPr>
              <w:ind w:left="80"/>
              <w:spacing w:after="0"/>
              <w:rPr>
                <w:sz w:val="20"/>
                <w:szCs w:val="20"/>
                <w:color w:val="auto"/>
              </w:rPr>
            </w:pPr>
            <w:r>
              <w:rPr>
                <w:rFonts w:ascii="Arial" w:cs="Arial" w:eastAsia="Arial" w:hAnsi="Arial"/>
                <w:sz w:val="11"/>
                <w:szCs w:val="11"/>
                <w:color w:val="auto"/>
              </w:rPr>
              <w:t>issuance costs</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r>
      <w:tr>
        <w:trPr>
          <w:trHeight w:val="135"/>
        </w:trPr>
        <w:tc>
          <w:tcPr>
            <w:tcW w:w="3900" w:type="dxa"/>
            <w:vAlign w:val="bottom"/>
          </w:tcPr>
          <w:p>
            <w:pPr>
              <w:spacing w:after="0"/>
              <w:rPr>
                <w:sz w:val="20"/>
                <w:szCs w:val="20"/>
                <w:color w:val="auto"/>
              </w:rPr>
            </w:pPr>
            <w:r>
              <w:rPr>
                <w:rFonts w:ascii="Arial" w:cs="Arial" w:eastAsia="Arial" w:hAnsi="Arial"/>
                <w:sz w:val="11"/>
                <w:szCs w:val="11"/>
                <w:color w:val="auto"/>
              </w:rPr>
              <w:t>Issuance of common stock in connection with exercise of warrants, net of</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421,772</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5,380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5,3</w:t>
            </w:r>
          </w:p>
        </w:tc>
      </w:tr>
      <w:tr>
        <w:trPr>
          <w:trHeight w:val="135"/>
        </w:trPr>
        <w:tc>
          <w:tcPr>
            <w:tcW w:w="3900" w:type="dxa"/>
            <w:vAlign w:val="bottom"/>
          </w:tcPr>
          <w:p>
            <w:pPr>
              <w:ind w:left="80"/>
              <w:spacing w:after="0"/>
              <w:rPr>
                <w:sz w:val="20"/>
                <w:szCs w:val="20"/>
                <w:color w:val="auto"/>
              </w:rPr>
            </w:pPr>
            <w:r>
              <w:rPr>
                <w:rFonts w:ascii="Arial" w:cs="Arial" w:eastAsia="Arial" w:hAnsi="Arial"/>
                <w:sz w:val="11"/>
                <w:szCs w:val="11"/>
                <w:color w:val="auto"/>
              </w:rPr>
              <w:t>issuance costs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w w:val="94"/>
              </w:rPr>
              <w:t>Issuance of common stock in connection with conversion of Series X preferred stock</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(3,796)</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210,888</w:t>
            </w:r>
          </w:p>
        </w:tc>
        <w:tc>
          <w:tcPr>
            <w:tcW w:w="18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r>
      <w:tr>
        <w:trPr>
          <w:trHeight w:val="135"/>
        </w:trPr>
        <w:tc>
          <w:tcPr>
            <w:tcW w:w="3900" w:type="dxa"/>
            <w:vAlign w:val="bottom"/>
          </w:tcPr>
          <w:p>
            <w:pPr>
              <w:spacing w:after="0" w:line="136" w:lineRule="exact"/>
              <w:rPr>
                <w:sz w:val="20"/>
                <w:szCs w:val="20"/>
                <w:color w:val="auto"/>
              </w:rPr>
            </w:pPr>
            <w:r>
              <w:rPr>
                <w:rFonts w:ascii="Arial" w:cs="Arial" w:eastAsia="Arial" w:hAnsi="Arial"/>
                <w:sz w:val="10"/>
                <w:szCs w:val="10"/>
                <w:color w:val="auto"/>
              </w:rPr>
              <w:t>Issuance of common stock in connection with conversion of Series X</w:t>
            </w:r>
            <w:r>
              <w:rPr>
                <w:rFonts w:ascii="Arial" w:cs="Arial" w:eastAsia="Arial" w:hAnsi="Arial"/>
                <w:sz w:val="15"/>
                <w:szCs w:val="15"/>
                <w:color w:val="auto"/>
                <w:vertAlign w:val="superscript"/>
              </w:rPr>
              <w:t>1</w:t>
            </w:r>
            <w:r>
              <w:rPr>
                <w:rFonts w:ascii="Arial" w:cs="Arial" w:eastAsia="Arial" w:hAnsi="Arial"/>
                <w:sz w:val="10"/>
                <w:szCs w:val="10"/>
                <w:color w:val="auto"/>
              </w:rPr>
              <w:t xml:space="preserve"> preferred</w:t>
            </w: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(231,068)</w:t>
            </w:r>
          </w:p>
        </w:tc>
        <w:tc>
          <w:tcPr>
            <w:tcW w:w="140" w:type="dxa"/>
            <w:vAlign w:val="bottom"/>
          </w:tcPr>
          <w:p>
            <w:pPr>
              <w:spacing w:after="0"/>
              <w:rPr>
                <w:sz w:val="11"/>
                <w:szCs w:val="1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12,837,056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5"/>
        </w:trPr>
        <w:tc>
          <w:tcPr>
            <w:tcW w:w="3900" w:type="dxa"/>
            <w:vAlign w:val="bottom"/>
          </w:tcPr>
          <w:p>
            <w:pPr>
              <w:spacing w:after="0"/>
              <w:rPr>
                <w:sz w:val="20"/>
                <w:szCs w:val="20"/>
                <w:color w:val="auto"/>
              </w:rPr>
            </w:pPr>
            <w:r>
              <w:rPr>
                <w:rFonts w:ascii="Arial" w:cs="Arial" w:eastAsia="Arial" w:hAnsi="Arial"/>
                <w:sz w:val="11"/>
                <w:szCs w:val="11"/>
                <w:color w:val="auto"/>
              </w:rPr>
              <w:t>stock</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stock in connection with vesting of restricted stock units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3,056</w:t>
            </w:r>
          </w:p>
        </w:tc>
        <w:tc>
          <w:tcPr>
            <w:tcW w:w="18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Issuance of common stock in connection with acquisition</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175,488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Cancellation of common stock in connection with exchange for preferred stock</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3,796</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(210,889)</w:t>
            </w: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Cancellation of common stock in connection with reverse split</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(1,493)</w:t>
            </w: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Issuance of preferred stock in connection with acquisition</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140,026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69,723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69,7</w:t>
            </w:r>
          </w:p>
        </w:tc>
      </w:tr>
      <w:tr>
        <w:trPr>
          <w:trHeight w:val="135"/>
        </w:trPr>
        <w:tc>
          <w:tcPr>
            <w:tcW w:w="3900" w:type="dxa"/>
            <w:vAlign w:val="bottom"/>
          </w:tcPr>
          <w:p>
            <w:pPr>
              <w:spacing w:after="0"/>
              <w:rPr>
                <w:sz w:val="20"/>
                <w:szCs w:val="20"/>
                <w:color w:val="auto"/>
              </w:rPr>
            </w:pPr>
            <w:r>
              <w:rPr>
                <w:rFonts w:ascii="Arial" w:cs="Arial" w:eastAsia="Arial" w:hAnsi="Arial"/>
                <w:sz w:val="11"/>
                <w:szCs w:val="11"/>
                <w:color w:val="auto"/>
              </w:rPr>
              <w:t>Issuance of preferred stock in connection with PIPE transaction, net of</w:t>
            </w:r>
          </w:p>
        </w:tc>
        <w:tc>
          <w:tcPr>
            <w:tcW w:w="840" w:type="dxa"/>
            <w:vAlign w:val="bottom"/>
          </w:tcPr>
          <w:p>
            <w:pPr>
              <w:jc w:val="right"/>
              <w:spacing w:after="0"/>
              <w:rPr>
                <w:sz w:val="20"/>
                <w:szCs w:val="20"/>
                <w:color w:val="auto"/>
              </w:rPr>
            </w:pPr>
            <w:r>
              <w:rPr>
                <w:rFonts w:ascii="Arial" w:cs="Arial" w:eastAsia="Arial" w:hAnsi="Arial"/>
                <w:sz w:val="11"/>
                <w:szCs w:val="11"/>
                <w:color w:val="auto"/>
              </w:rPr>
              <w:t>199,112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95,226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95,2</w:t>
            </w:r>
          </w:p>
        </w:tc>
      </w:tr>
      <w:tr>
        <w:trPr>
          <w:trHeight w:val="135"/>
        </w:trPr>
        <w:tc>
          <w:tcPr>
            <w:tcW w:w="3900" w:type="dxa"/>
            <w:vAlign w:val="bottom"/>
          </w:tcPr>
          <w:p>
            <w:pPr>
              <w:ind w:left="80"/>
              <w:spacing w:after="0"/>
              <w:rPr>
                <w:sz w:val="20"/>
                <w:szCs w:val="20"/>
                <w:color w:val="auto"/>
              </w:rPr>
            </w:pPr>
            <w:r>
              <w:rPr>
                <w:rFonts w:ascii="Arial" w:cs="Arial" w:eastAsia="Arial" w:hAnsi="Arial"/>
                <w:sz w:val="11"/>
                <w:szCs w:val="11"/>
                <w:color w:val="auto"/>
              </w:rPr>
              <w:t>issuance costs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Fair value of options assumed in acquisition</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2,950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w:t>
            </w: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Fair value of warrants assumed in acquisition</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12,944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12,9</w:t>
            </w: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Warrant inducement expense</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w:t>
            </w: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3,171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Net loss and other comprehensive loss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(22,811)</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w:t>
            </w:r>
          </w:p>
        </w:tc>
      </w:tr>
      <w:tr>
        <w:trPr>
          <w:trHeight w:val="20"/>
        </w:trPr>
        <w:tc>
          <w:tcPr>
            <w:tcW w:w="3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1"/>
                <w:szCs w:val="11"/>
                <w:color w:val="auto"/>
              </w:rPr>
              <w:t>Balance as of December 31, 2020</w:t>
            </w:r>
          </w:p>
        </w:tc>
        <w:tc>
          <w:tcPr>
            <w:tcW w:w="840" w:type="dxa"/>
            <w:vAlign w:val="bottom"/>
          </w:tcPr>
          <w:p>
            <w:pPr>
              <w:jc w:val="right"/>
              <w:spacing w:after="0"/>
              <w:rPr>
                <w:sz w:val="20"/>
                <w:szCs w:val="20"/>
                <w:color w:val="auto"/>
              </w:rPr>
            </w:pPr>
            <w:r>
              <w:rPr>
                <w:rFonts w:ascii="Arial" w:cs="Arial" w:eastAsia="Arial" w:hAnsi="Arial"/>
                <w:sz w:val="11"/>
                <w:szCs w:val="11"/>
                <w:color w:val="auto"/>
              </w:rPr>
              <w:t>108,070</w:t>
            </w:r>
          </w:p>
        </w:tc>
        <w:tc>
          <w:tcPr>
            <w:tcW w:w="200" w:type="dxa"/>
            <w:vAlign w:val="bottom"/>
          </w:tcPr>
          <w:p>
            <w:pPr>
              <w:spacing w:after="0"/>
              <w:rPr>
                <w:sz w:val="15"/>
                <w:szCs w:val="15"/>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60" w:type="dxa"/>
            <w:vAlign w:val="bottom"/>
          </w:tcPr>
          <w:p>
            <w:pPr>
              <w:jc w:val="right"/>
              <w:ind w:right="592"/>
              <w:spacing w:after="0"/>
              <w:rPr>
                <w:sz w:val="20"/>
                <w:szCs w:val="20"/>
                <w:color w:val="auto"/>
              </w:rPr>
            </w:pPr>
            <w:r>
              <w:rPr>
                <w:rFonts w:ascii="Arial" w:cs="Arial" w:eastAsia="Arial" w:hAnsi="Arial"/>
                <w:sz w:val="4"/>
                <w:szCs w:val="4"/>
                <w:color w:val="auto"/>
                <w:w w:val="87"/>
              </w:rPr>
              <w:t>$</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15,160,397</w:t>
            </w:r>
          </w:p>
        </w:tc>
        <w:tc>
          <w:tcPr>
            <w:tcW w:w="180" w:type="dxa"/>
            <w:vAlign w:val="bottom"/>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270,974</w:t>
            </w:r>
          </w:p>
        </w:tc>
        <w:tc>
          <w:tcPr>
            <w:tcW w:w="2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(80,393 )</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190,5</w:t>
            </w:r>
          </w:p>
        </w:tc>
      </w:tr>
      <w:tr>
        <w:trPr>
          <w:trHeight w:val="120"/>
        </w:trPr>
        <w:tc>
          <w:tcPr>
            <w:tcW w:w="390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Balance as of December 31, 2018</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92"/>
              <w:spacing w:after="0"/>
              <w:rPr>
                <w:sz w:val="20"/>
                <w:szCs w:val="20"/>
                <w:color w:val="auto"/>
              </w:rPr>
            </w:pPr>
            <w:r>
              <w:rPr>
                <w:rFonts w:ascii="Arial" w:cs="Arial" w:eastAsia="Arial" w:hAnsi="Arial"/>
                <w:sz w:val="4"/>
                <w:szCs w:val="4"/>
                <w:color w:val="auto"/>
                <w:w w:val="87"/>
              </w:rPr>
              <w:t>$</w:t>
            </w: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523,452</w:t>
            </w:r>
          </w:p>
        </w:tc>
        <w:tc>
          <w:tcPr>
            <w:tcW w:w="18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56,062</w:t>
            </w:r>
          </w:p>
        </w:tc>
        <w:tc>
          <w:tcPr>
            <w:tcW w:w="2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(41,571)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14,4</w:t>
            </w: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stock at-the-market, net of issuance costs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1,401</w:t>
            </w:r>
          </w:p>
        </w:tc>
        <w:tc>
          <w:tcPr>
            <w:tcW w:w="18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r>
      <w:tr>
        <w:trPr>
          <w:trHeight w:val="135"/>
        </w:trPr>
        <w:tc>
          <w:tcPr>
            <w:tcW w:w="3900" w:type="dxa"/>
            <w:vAlign w:val="bottom"/>
          </w:tcPr>
          <w:p>
            <w:pPr>
              <w:spacing w:after="0"/>
              <w:rPr>
                <w:sz w:val="20"/>
                <w:szCs w:val="20"/>
                <w:color w:val="auto"/>
              </w:rPr>
            </w:pPr>
            <w:r>
              <w:rPr>
                <w:rFonts w:ascii="Arial" w:cs="Arial" w:eastAsia="Arial" w:hAnsi="Arial"/>
                <w:sz w:val="11"/>
                <w:szCs w:val="11"/>
                <w:color w:val="auto"/>
              </w:rPr>
              <w:t>Issuance of common stock and warrants in registered direct offering, net of</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191,617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9,569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9,5</w:t>
            </w:r>
          </w:p>
        </w:tc>
      </w:tr>
      <w:tr>
        <w:trPr>
          <w:trHeight w:val="135"/>
        </w:trPr>
        <w:tc>
          <w:tcPr>
            <w:tcW w:w="3900" w:type="dxa"/>
            <w:vAlign w:val="bottom"/>
          </w:tcPr>
          <w:p>
            <w:pPr>
              <w:ind w:left="80"/>
              <w:spacing w:after="0"/>
              <w:rPr>
                <w:sz w:val="20"/>
                <w:szCs w:val="20"/>
                <w:color w:val="auto"/>
              </w:rPr>
            </w:pPr>
            <w:r>
              <w:rPr>
                <w:rFonts w:ascii="Arial" w:cs="Arial" w:eastAsia="Arial" w:hAnsi="Arial"/>
                <w:sz w:val="11"/>
                <w:szCs w:val="11"/>
                <w:color w:val="auto"/>
              </w:rPr>
              <w:t>issuance costs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stock in connection with vesting of restricted stock units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4,359</w:t>
            </w:r>
          </w:p>
        </w:tc>
        <w:tc>
          <w:tcPr>
            <w:tcW w:w="18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Cancellation of common stock</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(421)</w:t>
            </w: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5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1,308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r>
      <w:tr>
        <w:trPr>
          <w:trHeight w:val="142"/>
        </w:trPr>
        <w:tc>
          <w:tcPr>
            <w:tcW w:w="3900" w:type="dxa"/>
            <w:vAlign w:val="bottom"/>
          </w:tcPr>
          <w:p>
            <w:pPr>
              <w:spacing w:after="0"/>
              <w:rPr>
                <w:sz w:val="20"/>
                <w:szCs w:val="20"/>
                <w:color w:val="auto"/>
              </w:rPr>
            </w:pPr>
            <w:r>
              <w:rPr>
                <w:rFonts w:ascii="Arial" w:cs="Arial" w:eastAsia="Arial" w:hAnsi="Arial"/>
                <w:sz w:val="11"/>
                <w:szCs w:val="11"/>
                <w:color w:val="auto"/>
              </w:rPr>
              <w:t>Net loss and other comprehensive loss</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(16,011)</w:t>
            </w: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(16,0</w:t>
            </w:r>
          </w:p>
        </w:tc>
      </w:tr>
      <w:tr>
        <w:trPr>
          <w:trHeight w:val="20"/>
        </w:trPr>
        <w:tc>
          <w:tcPr>
            <w:tcW w:w="3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135"/>
        </w:trPr>
        <w:tc>
          <w:tcPr>
            <w:tcW w:w="3900" w:type="dxa"/>
            <w:vAlign w:val="bottom"/>
            <w:shd w:val="clear" w:color="auto" w:fill="CFF0FC"/>
          </w:tcPr>
          <w:p>
            <w:pPr>
              <w:spacing w:after="0"/>
              <w:rPr>
                <w:sz w:val="20"/>
                <w:szCs w:val="20"/>
                <w:color w:val="auto"/>
              </w:rPr>
            </w:pPr>
            <w:r>
              <w:rPr>
                <w:rFonts w:ascii="Arial" w:cs="Arial" w:eastAsia="Arial" w:hAnsi="Arial"/>
                <w:sz w:val="11"/>
                <w:szCs w:val="11"/>
                <w:color w:val="auto"/>
              </w:rPr>
              <w:t>Balance as of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92"/>
              <w:spacing w:after="0"/>
              <w:rPr>
                <w:sz w:val="20"/>
                <w:szCs w:val="20"/>
                <w:color w:val="auto"/>
              </w:rPr>
            </w:pPr>
            <w:r>
              <w:rPr>
                <w:rFonts w:ascii="Arial" w:cs="Arial" w:eastAsia="Arial" w:hAnsi="Arial"/>
                <w:sz w:val="4"/>
                <w:szCs w:val="4"/>
                <w:color w:val="auto"/>
                <w:w w:val="87"/>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720,408</w:t>
            </w:r>
          </w:p>
        </w:tc>
        <w:tc>
          <w:tcPr>
            <w:tcW w:w="1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67,046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(57,582 )</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w:t>
            </w: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340"/>
          </w:cols>
          <w:pgMar w:left="320" w:top="572" w:right="239" w:bottom="1440" w:gutter="0" w:footer="0" w:header="0"/>
        </w:sectPr>
      </w:pPr>
    </w:p>
    <w:bookmarkStart w:id="69" w:name="page70"/>
    <w:bookmarkEnd w:id="69"/>
    <w:p>
      <w:pPr>
        <w:jc w:val="center"/>
        <w:ind w:right="100"/>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206"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Year Ended</w:t>
      </w:r>
    </w:p>
    <w:p>
      <w:pPr>
        <w:jc w:val="center"/>
        <w:ind w:left="914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8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8"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7"/>
              <w:spacing w:after="0" w:line="14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Net loss</w:t>
            </w:r>
          </w:p>
        </w:tc>
        <w:tc>
          <w:tcPr>
            <w:tcW w:w="140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(22,811)</w:t>
            </w:r>
          </w:p>
        </w:tc>
        <w:tc>
          <w:tcPr>
            <w:tcW w:w="44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operating lease asset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Goodwill impairment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Warrant inducement expense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(404)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Prepaid expenses and other assets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ind w:left="240"/>
              <w:spacing w:after="0"/>
              <w:rPr>
                <w:sz w:val="20"/>
                <w:szCs w:val="20"/>
                <w:color w:val="auto"/>
              </w:rPr>
            </w:pPr>
            <w:r>
              <w:rPr>
                <w:rFonts w:ascii="Arial" w:cs="Arial" w:eastAsia="Arial" w:hAnsi="Arial"/>
                <w:sz w:val="17"/>
                <w:szCs w:val="17"/>
                <w:color w:val="auto"/>
              </w:rPr>
              <w:t>Accounts payable and accrued expenses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lease liability</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480"/>
              <w:spacing w:after="0"/>
              <w:rPr>
                <w:sz w:val="20"/>
                <w:szCs w:val="20"/>
                <w:color w:val="auto"/>
              </w:rPr>
            </w:pPr>
            <w:r>
              <w:rPr>
                <w:rFonts w:ascii="Arial" w:cs="Arial" w:eastAsia="Arial" w:hAnsi="Arial"/>
                <w:sz w:val="17"/>
                <w:szCs w:val="17"/>
                <w:color w:val="auto"/>
              </w:rPr>
              <w:t>Net cash used in operating activities</w:t>
            </w: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(15,212)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Investing activities</w:t>
            </w:r>
          </w:p>
        </w:tc>
        <w:tc>
          <w:tcPr>
            <w:tcW w:w="10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received from acquisition</w:t>
            </w:r>
          </w:p>
        </w:tc>
        <w:tc>
          <w:tcPr>
            <w:tcW w:w="10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Net cash provided by investing activities</w:t>
            </w:r>
          </w:p>
        </w:tc>
        <w:tc>
          <w:tcPr>
            <w:tcW w:w="10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common stock, net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Proceeds from issuance of non-voting preferred stock in connection with PIPE transaction, net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 of warrants, net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Cash paid for cancellation of common stock in connection with reverse split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Net cash provided by financing activities</w:t>
            </w:r>
          </w:p>
        </w:tc>
        <w:tc>
          <w:tcPr>
            <w:tcW w:w="10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109,581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year</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1"/>
        </w:trPr>
        <w:tc>
          <w:tcPr>
            <w:tcW w:w="7580" w:type="dxa"/>
            <w:vAlign w:val="bottom"/>
          </w:tcPr>
          <w:p>
            <w:pPr>
              <w:spacing w:after="0"/>
              <w:rPr>
                <w:sz w:val="20"/>
                <w:szCs w:val="20"/>
                <w:color w:val="auto"/>
              </w:rPr>
            </w:pPr>
            <w:r>
              <w:rPr>
                <w:rFonts w:ascii="Arial" w:cs="Arial" w:eastAsia="Arial" w:hAnsi="Arial"/>
                <w:sz w:val="17"/>
                <w:szCs w:val="17"/>
                <w:color w:val="auto"/>
              </w:rPr>
              <w:t>Cash and cash equivalents at end of year</w:t>
            </w:r>
          </w:p>
        </w:tc>
        <w:tc>
          <w:tcPr>
            <w:tcW w:w="140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114,195</w:t>
            </w:r>
          </w:p>
        </w:tc>
        <w:tc>
          <w:tcPr>
            <w:tcW w:w="160" w:type="dxa"/>
            <w:vAlign w:val="bottom"/>
          </w:tcPr>
          <w:p>
            <w:pPr>
              <w:spacing w:after="0"/>
              <w:rPr>
                <w:sz w:val="21"/>
                <w:szCs w:val="21"/>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Conversion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into common stock</w:t>
            </w:r>
          </w:p>
        </w:tc>
        <w:tc>
          <w:tcPr>
            <w:tcW w:w="10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Issuance of common stock in acquisition</w:t>
            </w:r>
          </w:p>
        </w:tc>
        <w:tc>
          <w:tcPr>
            <w:tcW w:w="10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Issuance of non-voting convertible preferred stock in acquisition</w:t>
            </w: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580" w:type="dxa"/>
            <w:vAlign w:val="bottom"/>
            <w:tcBorders>
              <w:bottom w:val="single" w:sz="8" w:color="CFF0FC"/>
            </w:tcBorders>
            <w:vMerge w:val="continue"/>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69,723</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Fair value of options assumed in acquisition</w:t>
            </w:r>
          </w:p>
        </w:tc>
        <w:tc>
          <w:tcPr>
            <w:tcW w:w="10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Fair value of warrants assumed in acquisition</w:t>
            </w: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580" w:type="dxa"/>
            <w:vAlign w:val="bottom"/>
            <w:tcBorders>
              <w:bottom w:val="single" w:sz="8" w:color="CFF0FC"/>
            </w:tcBorders>
            <w:vMerge w:val="continue"/>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12,944</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Accrued offering costs</w:t>
            </w:r>
          </w:p>
        </w:tc>
        <w:tc>
          <w:tcPr>
            <w:tcW w:w="1400" w:type="dxa"/>
            <w:vAlign w:val="bottom"/>
            <w:gridSpan w:val="2"/>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340"/>
          </w:cols>
          <w:pgMar w:left="320" w:top="572"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Business</w:t>
      </w:r>
    </w:p>
    <w:p>
      <w:pPr>
        <w:spacing w:after="0" w:line="120" w:lineRule="exact"/>
        <w:rPr>
          <w:sz w:val="20"/>
          <w:szCs w:val="20"/>
          <w:color w:val="auto"/>
        </w:rPr>
      </w:pPr>
    </w:p>
    <w:p>
      <w:pPr>
        <w:ind w:right="240" w:firstLine="602"/>
        <w:spacing w:after="0" w:line="258" w:lineRule="auto"/>
        <w:rPr>
          <w:sz w:val="20"/>
          <w:szCs w:val="20"/>
          <w:color w:val="auto"/>
        </w:rPr>
      </w:pPr>
      <w:r>
        <w:rPr>
          <w:rFonts w:ascii="Arial" w:cs="Arial" w:eastAsia="Arial" w:hAnsi="Arial"/>
          <w:sz w:val="17"/>
          <w:szCs w:val="17"/>
          <w:color w:val="auto"/>
        </w:rPr>
        <w:t>Eledon Pharmaceuticals, Inc. (formerly Novus Therapeutics, Inc.) is a clinical stage biopharmaceutical company focused on developing life-changing, targeted medicines for persons living with an autoimmune disease, requiring an organ or cell-based transplant, or living with amyotrophic lateral sclerosis (“ALS”). We believe that this approach has the potential to allow us to: develop more precise therapies with a resulting potential for both increased efficacy and safety; identify patients and indications more likely to respond to our treatment approaches; and pursue multiple indications for product candidates. Unless otherwise indicated, references to the terms “Eledon,” “our,” “us,” “we”, or the “Company” refer to Eledon Pharmaceuticals, Inc. and its wholly-owned subsidiaries, on a consolidated basis.</w:t>
      </w:r>
    </w:p>
    <w:p>
      <w:pPr>
        <w:spacing w:after="0" w:line="80" w:lineRule="exact"/>
        <w:rPr>
          <w:sz w:val="20"/>
          <w:szCs w:val="20"/>
          <w:color w:val="auto"/>
        </w:rPr>
      </w:pPr>
    </w:p>
    <w:p>
      <w:pPr>
        <w:ind w:right="160" w:firstLine="546"/>
        <w:spacing w:after="0" w:line="307" w:lineRule="auto"/>
        <w:rPr>
          <w:sz w:val="20"/>
          <w:szCs w:val="20"/>
          <w:color w:val="auto"/>
        </w:rPr>
      </w:pPr>
      <w:r>
        <w:rPr>
          <w:rFonts w:ascii="Arial" w:cs="Arial" w:eastAsia="Arial" w:hAnsi="Arial"/>
          <w:sz w:val="15"/>
          <w:szCs w:val="15"/>
          <w:color w:val="auto"/>
        </w:rPr>
        <w:t>On September 14, 2020, Novus Therapeutics, Inc. (“Novus”) acquired Anelixis Therapeutics, Inc. (“Anelixis”), a privately held clinical stage biotechnology company developing a next generation anti-CD40L antibody as a potential treatment for organ and cellular transplantation, autoimmune diseases, and neurodegenerative diseases (see Note 10). Following the acquisition of Anelixis, Novus changed its name to Eledon Pharmaceuticals, Inc. The Company has continued to maintain its corporate headquarters in Southern California and has research and development facilities in the Boston, Massachusetts area.</w:t>
      </w:r>
    </w:p>
    <w:p>
      <w:pPr>
        <w:spacing w:after="0" w:line="46" w:lineRule="exact"/>
        <w:rPr>
          <w:sz w:val="20"/>
          <w:szCs w:val="20"/>
          <w:color w:val="auto"/>
        </w:rPr>
      </w:pPr>
    </w:p>
    <w:p>
      <w:pPr>
        <w:ind w:right="280" w:firstLine="546"/>
        <w:spacing w:after="0" w:line="290" w:lineRule="auto"/>
        <w:rPr>
          <w:sz w:val="20"/>
          <w:szCs w:val="20"/>
          <w:color w:val="auto"/>
        </w:rPr>
      </w:pPr>
      <w:r>
        <w:rPr>
          <w:rFonts w:ascii="Arial" w:cs="Arial" w:eastAsia="Arial" w:hAnsi="Arial"/>
          <w:sz w:val="16"/>
          <w:szCs w:val="16"/>
          <w:color w:val="auto"/>
        </w:rPr>
        <w:t>In 2017, Otic Pharma, Ltd. (“Otic”) consummated a reverse merger with Tokai Pharmaceuticals, Inc. (“Tokai”), pursuant to which, among other things, Tokai purchased from Otic and its stockholders all of the common and preferred shares of Otic in exchange for the issuance of a certain number of shares of common stock of Tokai (the “Reverse Merger”). Following the Reverse Merger, Tokai changed its name to Novus Therapeutics, Inc.</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14" w:lineRule="exact"/>
        <w:rPr>
          <w:sz w:val="20"/>
          <w:szCs w:val="20"/>
          <w:color w:val="auto"/>
        </w:rPr>
      </w:pPr>
    </w:p>
    <w:p>
      <w:pPr>
        <w:ind w:right="40" w:firstLine="546"/>
        <w:spacing w:after="0" w:line="257" w:lineRule="auto"/>
        <w:rPr>
          <w:sz w:val="20"/>
          <w:szCs w:val="20"/>
          <w:color w:val="auto"/>
        </w:rPr>
      </w:pPr>
      <w:r>
        <w:rPr>
          <w:rFonts w:ascii="Arial" w:cs="Arial" w:eastAsia="Arial" w:hAnsi="Arial"/>
          <w:sz w:val="17"/>
          <w:szCs w:val="17"/>
          <w:color w:val="auto"/>
        </w:rPr>
        <w:t>The consolidated financial statements are prepared in accordance with accounting principles generally accepted in the United States (“GAAP”). Eledon, a Delaware corporation, owns 100% of the issued and outstanding common stock or other ownership interest in Anelixis Therapeutics, LLC, a Delaware corporation, and Otic Pharma, Ltd., a private limited company organized under the laws of the State of Israel (“Otic”). Otic owns 100% of the issued and outstanding common stock or other ownership interest in its U.S. subsidiary, Otic Pharma, Inc. The functional currency of the Company’s foreign subsidiary is the U.S. Dollar; however, certain expenses, assets and liabilities are transacted at the local currency. These transactions are translated from the local currency into U.S. Dollars at exchange rates during or at the end of the reporting period. The activities of the Company’s foreign subsidiary are not significant to the consolidated financial statements.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All significant intercompany accounts and transactions among the entities have been eliminated in consolidation.</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Financial Condition</w:t>
      </w:r>
    </w:p>
    <w:p>
      <w:pPr>
        <w:spacing w:after="0" w:line="114" w:lineRule="exact"/>
        <w:rPr>
          <w:sz w:val="20"/>
          <w:szCs w:val="20"/>
          <w:color w:val="auto"/>
        </w:rPr>
      </w:pPr>
    </w:p>
    <w:p>
      <w:pPr>
        <w:ind w:firstLine="546"/>
        <w:spacing w:after="0" w:line="272" w:lineRule="auto"/>
        <w:rPr>
          <w:sz w:val="20"/>
          <w:szCs w:val="20"/>
          <w:color w:val="auto"/>
        </w:rPr>
      </w:pPr>
      <w:r>
        <w:rPr>
          <w:rFonts w:ascii="Arial" w:cs="Arial" w:eastAsia="Arial" w:hAnsi="Arial"/>
          <w:sz w:val="16"/>
          <w:szCs w:val="16"/>
          <w:color w:val="auto"/>
        </w:rPr>
        <w:t>The Company has experienced recurring net losses and negative cash flows from operating activities since its inception. The Company recorded a net loss of $22.8 million and used $15.2 million of cash in operating activities for the year ended December 31, 2020. As of December 31, 2020, the Company had cash and cash equivalents of $114.2 million, working capital of $113.1 million and an accumulated deficit of $80.4 million. Due to continuing research and development activities, the Company expects to continue to incur net losses into the foreseeable future. In order to continue these activities, the Company will need to raise additional funds through public or private debt and equity financings or strategic collaboration and licensing arrangements. The Company’s ability to raise additional capital in the equity and debt markets is dependent on a number of factors, including, but not limited to, the market demand for the Company’s common stock, which itself is subject to a number of development and business risks and uncertainties, as well as the uncertainty that the Company would be able to raise such additional capital at a price or on terms that are favorable to the Company.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1" w:name="page72"/>
    <w:bookmarkEnd w:id="71"/>
    <w:p>
      <w:pPr>
        <w:jc w:val="both"/>
        <w:ind w:right="420" w:firstLine="782"/>
        <w:spacing w:after="0" w:line="266" w:lineRule="auto"/>
        <w:rPr>
          <w:sz w:val="20"/>
          <w:szCs w:val="20"/>
          <w:color w:val="auto"/>
        </w:rPr>
      </w:pPr>
      <w:r>
        <w:rPr>
          <w:rFonts w:ascii="Arial" w:cs="Arial" w:eastAsia="Arial" w:hAnsi="Arial"/>
          <w:sz w:val="17"/>
          <w:szCs w:val="17"/>
          <w:color w:val="auto"/>
        </w:rPr>
        <w:t>At the time of issuance of the consolidated financial statements for the year ended December 31, 2020, the Company’s management performed an analysis and concluded that the Company had sufficient cash resources to meet its anticipated cash needs through at least the next 12 months from the date of issuance of the accompanying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September 2020 Stock Purchase Agreement</w:t>
      </w:r>
    </w:p>
    <w:p>
      <w:pPr>
        <w:spacing w:after="0" w:line="217" w:lineRule="exact"/>
        <w:rPr>
          <w:sz w:val="20"/>
          <w:szCs w:val="20"/>
          <w:color w:val="auto"/>
        </w:rPr>
      </w:pPr>
    </w:p>
    <w:p>
      <w:pPr>
        <w:ind w:right="20" w:firstLine="546"/>
        <w:spacing w:after="0" w:line="249" w:lineRule="auto"/>
        <w:rPr>
          <w:sz w:val="20"/>
          <w:szCs w:val="20"/>
          <w:color w:val="auto"/>
        </w:rPr>
      </w:pPr>
      <w:r>
        <w:rPr>
          <w:rFonts w:ascii="Arial" w:cs="Arial" w:eastAsia="Arial" w:hAnsi="Arial"/>
          <w:sz w:val="16"/>
          <w:szCs w:val="16"/>
          <w:color w:val="auto"/>
        </w:rPr>
        <w:t>On September 14, 2020, Eledon entered into a Stock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certain institutional and accredited investors (the “</w:t>
      </w:r>
      <w:r>
        <w:rPr>
          <w:rFonts w:ascii="Arial" w:cs="Arial" w:eastAsia="Arial" w:hAnsi="Arial"/>
          <w:sz w:val="16"/>
          <w:szCs w:val="16"/>
          <w:u w:val="single" w:color="auto"/>
          <w:color w:val="auto"/>
        </w:rPr>
        <w:t>Investors</w:t>
      </w:r>
      <w:r>
        <w:rPr>
          <w:rFonts w:ascii="Arial" w:cs="Arial" w:eastAsia="Arial" w:hAnsi="Arial"/>
          <w:sz w:val="16"/>
          <w:szCs w:val="16"/>
          <w:color w:val="auto"/>
        </w:rPr>
        <w:t>”). Pursuant to the Purchase Agreement, Eledon agreed to sell an aggregate of approximately 199,112 shares of Series X</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non-voting Preferred Stock (“Series X</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Preferred Stock”) for an aggregate purchase price of approximately $99.1 million (collectively, the “</w:t>
      </w:r>
      <w:r>
        <w:rPr>
          <w:rFonts w:ascii="Arial" w:cs="Arial" w:eastAsia="Arial" w:hAnsi="Arial"/>
          <w:sz w:val="16"/>
          <w:szCs w:val="16"/>
          <w:u w:val="single" w:color="auto"/>
          <w:color w:val="auto"/>
        </w:rPr>
        <w:t>Financing</w:t>
      </w:r>
      <w:r>
        <w:rPr>
          <w:rFonts w:ascii="Arial" w:cs="Arial" w:eastAsia="Arial" w:hAnsi="Arial"/>
          <w:sz w:val="16"/>
          <w:szCs w:val="16"/>
          <w:color w:val="auto"/>
        </w:rPr>
        <w:t>”). Eledon had commitments for an additional $9.0 million in equity financing that was contingent upon the satisfaction of certain incremental closing conditions, including stockholder approval of the issuance of the Company’s common stock upon the conversion of the Company’s Series X</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Preferred Stock and the effective registration of its common stock. Subject to stockholder approval, each share of Series X</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Preferred Stock was convertible into 55.5556 shares of common stock, as described within this document. The preferences, rights and limitations applicable to the Series X</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Preferred Stock are set forth in the Certificate of Designation, as filed with the SEC. The Financing was 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90" w:lineRule="exact"/>
        <w:rPr>
          <w:sz w:val="20"/>
          <w:szCs w:val="20"/>
          <w:color w:val="auto"/>
        </w:rPr>
      </w:pPr>
    </w:p>
    <w:p>
      <w:pPr>
        <w:ind w:right="20" w:firstLine="546"/>
        <w:spacing w:after="0" w:line="266" w:lineRule="auto"/>
        <w:rPr>
          <w:sz w:val="20"/>
          <w:szCs w:val="20"/>
          <w:color w:val="auto"/>
        </w:rPr>
      </w:pPr>
      <w:r>
        <w:rPr>
          <w:rFonts w:ascii="Arial" w:cs="Arial" w:eastAsia="Arial" w:hAnsi="Arial"/>
          <w:sz w:val="17"/>
          <w:szCs w:val="17"/>
          <w:color w:val="auto"/>
        </w:rPr>
        <w:t>On December 18, 2020, the Company held a special meeting of stockholders (the “Special Meeting”). At the Special Meeting, the Company’s stockholders approved the issuance of the Company’s common stock, upon conversion of the Company’s Series X</w:t>
      </w:r>
      <w:r>
        <w:rPr>
          <w:rFonts w:ascii="Arial" w:cs="Arial" w:eastAsia="Arial" w:hAnsi="Arial"/>
          <w:sz w:val="14"/>
          <w:szCs w:val="14"/>
          <w:color w:val="auto"/>
        </w:rPr>
        <w:t>1</w:t>
      </w:r>
      <w:r>
        <w:rPr>
          <w:rFonts w:ascii="Arial" w:cs="Arial" w:eastAsia="Arial" w:hAnsi="Arial"/>
          <w:sz w:val="17"/>
          <w:szCs w:val="17"/>
          <w:color w:val="auto"/>
        </w:rPr>
        <w:t xml:space="preserve"> Preferred Stock, par value $0.001 per share, issued in September 2020.</w:t>
      </w:r>
    </w:p>
    <w:p>
      <w:pPr>
        <w:spacing w:after="0" w:line="72" w:lineRule="exact"/>
        <w:rPr>
          <w:sz w:val="20"/>
          <w:szCs w:val="20"/>
          <w:color w:val="auto"/>
        </w:rPr>
      </w:pPr>
    </w:p>
    <w:p>
      <w:pPr>
        <w:ind w:right="720" w:firstLine="546"/>
        <w:spacing w:after="0" w:line="279" w:lineRule="auto"/>
        <w:rPr>
          <w:sz w:val="20"/>
          <w:szCs w:val="20"/>
          <w:color w:val="auto"/>
        </w:rPr>
      </w:pPr>
      <w:r>
        <w:rPr>
          <w:rFonts w:ascii="Arial" w:cs="Arial" w:eastAsia="Arial" w:hAnsi="Arial"/>
          <w:sz w:val="17"/>
          <w:szCs w:val="17"/>
          <w:color w:val="auto"/>
        </w:rPr>
        <w:t>On December 23, 2020, the Company sold 1,004,111 shares of its common stock for gross proceeds of $9.0 million that was contingent upon the satisfaction of certain incremental closing conditions, as described above.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Nasdaq Matters</w:t>
      </w:r>
    </w:p>
    <w:p>
      <w:pPr>
        <w:spacing w:after="0" w:line="217"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On August 8, 2019, the Company received written notice (the “Notification Letter”) from The Nasdaq Stock Market LLC (“Nasdaq”) notifying the Company that it was not in compliance with the minimum bid price requirements set forth in Nasdaq Listing Rule 5550(a)(2)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common stock for the 30 consecutive business days prior to the date of the Notification Letter, the Company did not meet the minimum closing bid price requirement.</w:t>
      </w:r>
    </w:p>
    <w:p>
      <w:pPr>
        <w:spacing w:after="0" w:line="209" w:lineRule="exact"/>
        <w:rPr>
          <w:sz w:val="20"/>
          <w:szCs w:val="20"/>
          <w:color w:val="auto"/>
        </w:rPr>
      </w:pPr>
    </w:p>
    <w:p>
      <w:pPr>
        <w:jc w:val="both"/>
        <w:ind w:right="280" w:firstLine="649"/>
        <w:spacing w:after="0" w:line="266" w:lineRule="auto"/>
        <w:rPr>
          <w:sz w:val="20"/>
          <w:szCs w:val="20"/>
          <w:color w:val="auto"/>
        </w:rPr>
      </w:pPr>
      <w:r>
        <w:rPr>
          <w:rFonts w:ascii="Arial" w:cs="Arial" w:eastAsia="Arial" w:hAnsi="Arial"/>
          <w:sz w:val="17"/>
          <w:szCs w:val="17"/>
          <w:color w:val="auto"/>
        </w:rPr>
        <w:t>On October 19, 2020, the Company received written notice from Nasdaq notifying the Company that the closing bid price of the Company’s common stock had been at $1.00 per share or greater for a period of ten consecutive trading days. Accordingly, the Company has regained compliance with Listing Rule 5550(a)(2) and this matter is now closed.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Stock-Split</w:t>
      </w:r>
    </w:p>
    <w:p>
      <w:pPr>
        <w:spacing w:after="0" w:line="114" w:lineRule="exact"/>
        <w:rPr>
          <w:sz w:val="20"/>
          <w:szCs w:val="20"/>
          <w:color w:val="auto"/>
        </w:rPr>
      </w:pPr>
    </w:p>
    <w:p>
      <w:pPr>
        <w:ind w:right="120" w:firstLine="546"/>
        <w:spacing w:after="0" w:line="262" w:lineRule="auto"/>
        <w:rPr>
          <w:sz w:val="20"/>
          <w:szCs w:val="20"/>
          <w:color w:val="auto"/>
        </w:rPr>
      </w:pPr>
      <w:r>
        <w:rPr>
          <w:rFonts w:ascii="Arial" w:cs="Arial" w:eastAsia="Arial" w:hAnsi="Arial"/>
          <w:sz w:val="17"/>
          <w:szCs w:val="17"/>
          <w:color w:val="auto"/>
        </w:rPr>
        <w:t>On October 5, 2020, Eledon effected a reverse stock-split of its issued and outstanding common stock and options for common stock at a ratio of one-for-eighteen. The Company filed an Amended and Restated Certificate of Incorporation with the Secretary of State of the State of Delaware effecting the reverse stock-split. The accompanying consolidated financial statements and notes, as well as other share and per-share data herein, give retroactive effect to the reverse stock-split for all periods presented.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ind w:right="40" w:firstLine="546"/>
        <w:spacing w:after="0" w:line="27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informed estimates and assumptions that affect the reported amounts of assets, liabilities and expenses and the disclosure of contingent assets and liabilities in the Company’s consolidated financial statements and accompanying notes. The most significant estimates in the Company’s consolidated financial statements relate to stock-based compensation, accruals for liabilities, fair value of assets acquired and liabilities assumed in a business combination, impairment of long lived assets, including goodwill, and other matters that affect the consolidated financial statements and related disclosures.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2" w:name="page73"/>
    <w:bookmarkEnd w:id="72"/>
    <w:p>
      <w:pPr>
        <w:ind w:right="420"/>
        <w:spacing w:after="0" w:line="279" w:lineRule="auto"/>
        <w:rPr>
          <w:sz w:val="20"/>
          <w:szCs w:val="20"/>
          <w:color w:val="auto"/>
        </w:rPr>
      </w:pPr>
      <w:r>
        <w:rPr>
          <w:rFonts w:ascii="Arial" w:cs="Arial" w:eastAsia="Arial" w:hAnsi="Arial"/>
          <w:sz w:val="17"/>
          <w:szCs w:val="17"/>
          <w:color w:val="auto"/>
        </w:rPr>
        <w:t>Actual results could differ materially from those estimates under different assumptions or conditions and the differences may be material to the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4" w:lineRule="exact"/>
        <w:rPr>
          <w:sz w:val="20"/>
          <w:szCs w:val="20"/>
          <w:color w:val="auto"/>
        </w:rPr>
      </w:pPr>
    </w:p>
    <w:p>
      <w:pPr>
        <w:ind w:right="40" w:firstLine="546"/>
        <w:spacing w:after="0" w:line="283" w:lineRule="auto"/>
        <w:rPr>
          <w:sz w:val="20"/>
          <w:szCs w:val="20"/>
          <w:color w:val="auto"/>
        </w:rPr>
      </w:pPr>
      <w:r>
        <w:rPr>
          <w:rFonts w:ascii="Arial" w:cs="Arial" w:eastAsia="Arial" w:hAnsi="Arial"/>
          <w:sz w:val="16"/>
          <w:szCs w:val="16"/>
          <w:color w:val="auto"/>
        </w:rPr>
        <w:t>Cash represents cash deposits held at financial institutions. The Company considers all liquid investments purchased with an original maturity of three months or less and that can be liquidated without prior notice or penalty to be cash equivalents. The carrying value of cash equivalents approximates their fair value due to the short-term maturities of these instruments. Cash equivalents are held for the purpose of meeting short-term liquidity requirements, rather than for investment purposes. The Company had $9.2 million and $0 cash equivalents at December 31,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Financial assets and liabilities are recorded at fair value.</w:t>
      </w:r>
    </w:p>
    <w:p>
      <w:pPr>
        <w:spacing w:after="0" w:line="217" w:lineRule="exact"/>
        <w:rPr>
          <w:sz w:val="20"/>
          <w:szCs w:val="20"/>
          <w:color w:val="auto"/>
        </w:rPr>
      </w:pPr>
    </w:p>
    <w:p>
      <w:pPr>
        <w:ind w:right="320" w:firstLine="546"/>
        <w:spacing w:after="0" w:line="266" w:lineRule="auto"/>
        <w:rPr>
          <w:sz w:val="20"/>
          <w:szCs w:val="20"/>
          <w:color w:val="auto"/>
        </w:rPr>
      </w:pPr>
      <w:r>
        <w:rPr>
          <w:rFonts w:ascii="Arial" w:cs="Arial" w:eastAsia="Arial" w:hAnsi="Arial"/>
          <w:sz w:val="17"/>
          <w:szCs w:val="17"/>
          <w:color w:val="auto"/>
        </w:rPr>
        <w:t>The Company measures the fair value of certain of its financial instruments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Level 1—Quoted prices (unadjusted) in active markets for identical assets and liabilities.</w:t>
      </w:r>
    </w:p>
    <w:p>
      <w:pPr>
        <w:spacing w:after="0" w:line="114" w:lineRule="exact"/>
        <w:rPr>
          <w:sz w:val="20"/>
          <w:szCs w:val="20"/>
          <w:color w:val="auto"/>
        </w:rPr>
      </w:pPr>
    </w:p>
    <w:p>
      <w:pPr>
        <w:ind w:left="540" w:right="360"/>
        <w:spacing w:after="0" w:line="266" w:lineRule="auto"/>
        <w:rPr>
          <w:sz w:val="20"/>
          <w:szCs w:val="20"/>
          <w:color w:val="auto"/>
        </w:rPr>
      </w:pPr>
      <w:r>
        <w:rPr>
          <w:rFonts w:ascii="Arial" w:cs="Arial" w:eastAsia="Arial" w:hAnsi="Arial"/>
          <w:sz w:val="17"/>
          <w:szCs w:val="17"/>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There have been no transfers of assets for liabilities between these fair value measurement classifications during the periods presented.</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 had no financial instruments, assets or liabilities measured at fair value on a recurring basis at December 31, 2020 and 2019.</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December 31, 2020 and 2019, all of the Company’s long-lived assets were located in the United States.</w:t>
      </w:r>
    </w:p>
    <w:p>
      <w:pPr>
        <w:spacing w:after="0" w:line="217" w:lineRule="exact"/>
        <w:rPr>
          <w:sz w:val="20"/>
          <w:szCs w:val="20"/>
          <w:color w:val="auto"/>
        </w:rPr>
      </w:pPr>
    </w:p>
    <w:p>
      <w:pPr>
        <w:ind w:firstLine="546"/>
        <w:spacing w:after="0" w:line="210" w:lineRule="exact"/>
        <w:rPr>
          <w:sz w:val="20"/>
          <w:szCs w:val="20"/>
          <w:color w:val="auto"/>
        </w:rPr>
      </w:pPr>
      <w:r>
        <w:rPr>
          <w:rFonts w:ascii="Arial" w:cs="Arial" w:eastAsia="Arial" w:hAnsi="Arial"/>
          <w:sz w:val="17"/>
          <w:szCs w:val="17"/>
          <w:color w:val="auto"/>
        </w:rPr>
        <w:t>Financial instruments that are subject to concentration of credit risk consist primarily of cash equivalents. The Company’s policy is to invest cash in institutional money market funds to limit the amount of credit exposure. At times, the Company maintains cash equivalents in short</w:t>
      </w:r>
      <w:r>
        <w:rPr>
          <w:rFonts w:ascii="MS PGothic" w:cs="MS PGothic" w:eastAsia="MS PGothic" w:hAnsi="MS PGothic"/>
          <w:sz w:val="17"/>
          <w:szCs w:val="17"/>
          <w:color w:val="auto"/>
        </w:rPr>
        <w:t>‑</w:t>
      </w:r>
      <w:r>
        <w:rPr>
          <w:rFonts w:ascii="Arial" w:cs="Arial" w:eastAsia="Arial" w:hAnsi="Arial"/>
          <w:sz w:val="17"/>
          <w:szCs w:val="17"/>
          <w:color w:val="auto"/>
        </w:rPr>
        <w:t>term money market funds and it has not experienced any losses on its cash equivalents.</w:t>
      </w:r>
    </w:p>
    <w:p>
      <w:pPr>
        <w:spacing w:after="0" w:line="197" w:lineRule="exact"/>
        <w:rPr>
          <w:sz w:val="20"/>
          <w:szCs w:val="20"/>
          <w:color w:val="auto"/>
        </w:rPr>
      </w:pPr>
    </w:p>
    <w:p>
      <w:pPr>
        <w:ind w:right="60" w:firstLine="546"/>
        <w:spacing w:after="0" w:line="262" w:lineRule="auto"/>
        <w:rPr>
          <w:sz w:val="20"/>
          <w:szCs w:val="20"/>
          <w:color w:val="auto"/>
        </w:rPr>
      </w:pPr>
      <w:r>
        <w:rPr>
          <w:rFonts w:ascii="Arial" w:cs="Arial" w:eastAsia="Arial" w:hAnsi="Arial"/>
          <w:sz w:val="17"/>
          <w:szCs w:val="17"/>
          <w:color w:val="auto"/>
        </w:rPr>
        <w:t>The Company’s products will require approval from the U.S. Food and Drug Administration (“FDA”) and foreign regulatory agencies before commercial sales can commence. There can be no assurance that its products will receive any of these required approvals. The denial or delay of such approvals may impact the Company’s business in the future. In addition, after the approval by the FDA, there is still an ongoing risk of adverse events that did not appear during the product approval process.</w:t>
      </w:r>
    </w:p>
    <w:p>
      <w:pPr>
        <w:spacing w:after="0" w:line="178" w:lineRule="exact"/>
        <w:rPr>
          <w:sz w:val="20"/>
          <w:szCs w:val="20"/>
          <w:color w:val="auto"/>
        </w:rPr>
      </w:pPr>
    </w:p>
    <w:p>
      <w:pPr>
        <w:ind w:right="440" w:firstLine="546"/>
        <w:spacing w:after="0" w:line="262" w:lineRule="auto"/>
        <w:rPr>
          <w:sz w:val="20"/>
          <w:szCs w:val="20"/>
          <w:color w:val="auto"/>
        </w:rPr>
      </w:pPr>
      <w:r>
        <w:rPr>
          <w:rFonts w:ascii="Arial" w:cs="Arial" w:eastAsia="Arial" w:hAnsi="Arial"/>
          <w:sz w:val="17"/>
          <w:szCs w:val="17"/>
          <w:color w:val="auto"/>
        </w:rPr>
        <w:t>The Company is subject to risks common to companies in the pharmaceutical industry, including, but not limited to, new technological innovations, clinical development risk, establishment of appropriate commercial partnerships, protection of proprietary technology, compliance with government and environmental regulations, uncertainty of market acceptance of products, product liability, the volatility of its stock price and the need to obtain additional financing.</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60"/>
          </w:cols>
          <w:pgMar w:left="320" w:top="462" w:right="419" w:bottom="1440" w:gutter="0" w:footer="0" w:header="0"/>
        </w:sectPr>
      </w:pPr>
    </w:p>
    <w:bookmarkStart w:id="73" w:name="page74"/>
    <w:bookmarkEnd w:id="73"/>
    <w:p>
      <w:pPr>
        <w:ind w:right="100" w:firstLine="546"/>
        <w:spacing w:after="0" w:line="275" w:lineRule="auto"/>
        <w:rPr>
          <w:sz w:val="20"/>
          <w:szCs w:val="20"/>
          <w:color w:val="auto"/>
        </w:rPr>
      </w:pPr>
      <w:r>
        <w:rPr>
          <w:rFonts w:ascii="Arial" w:cs="Arial" w:eastAsia="Arial" w:hAnsi="Arial"/>
          <w:sz w:val="16"/>
          <w:szCs w:val="16"/>
          <w:color w:val="auto"/>
        </w:rPr>
        <w:t>Our facilities and equipment, including those of our suppliers and vendors, may be affected by natural or man-made disasters. Our administrative office is based in Irvine, California and we manage all our research and development activities through third parties that are located throughout the world. We have taken precautions to safeguard our facilities, equipment and systems, including insurance, health and safety protocols, and off-site storage of computer data. However, our facilities and systems, as well as those of our third-party suppliers and vendors, may be vulnerable to earthquakes, fire, storm, health emergencies, including the ongoing COVID-19 pandemic, power loss, telecommunications failures, physical and software break-ins, software viruses and similar events which could cause substantial delays in our operations, damage or destroy our equipment or inventory, and cause us to incur additional expenses and delay research and development activities. In addition, the insurance coverage we maintain may not be adequate to cover our losses in any circumstance and may not continue to be available to use on acceptable terms, or at all.</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4" w:lineRule="exact"/>
        <w:rPr>
          <w:sz w:val="20"/>
          <w:szCs w:val="20"/>
          <w:color w:val="auto"/>
        </w:rPr>
      </w:pPr>
    </w:p>
    <w:p>
      <w:pPr>
        <w:ind w:right="40" w:firstLine="546"/>
        <w:spacing w:after="0" w:line="256" w:lineRule="auto"/>
        <w:rPr>
          <w:sz w:val="20"/>
          <w:szCs w:val="20"/>
          <w:color w:val="auto"/>
        </w:rPr>
      </w:pPr>
      <w:r>
        <w:rPr>
          <w:rFonts w:ascii="Arial" w:cs="Arial" w:eastAsia="Arial" w:hAnsi="Arial"/>
          <w:sz w:val="17"/>
          <w:szCs w:val="17"/>
          <w:color w:val="auto"/>
        </w:rPr>
        <w:t>Accounting for acquisitions requires extensive use of estimates and judgment to measure the fair value of the identifiable tangible and intangible assets acquired, including in-process research and development (“IPR&amp;D”) and liabilities assumed. Additionally, the Company must determine whether an acquired entity is considered a business or a set of net assets because the excess of the purchase price over the fair value of net assets acquired can only be recognized as goodwill in a business combination. The Company accounted for the acquisition of Anelixis as a business combination under the acquisition method of accounting. Consideration paid to acquire Anelixis was measured at fair value and included the exchange of Anelixis’ common stock. The allocation of the purchase price resulted in recognition of intangible assets related to goodwill and IPR&amp;D. Acquired IPR&amp;D is recognized at fair value and initially characterized as an indefinite-lived intangible asset, irrespective of whether the acquired IPR&amp;D has an alternative future use. The operating activity for Anelixis, the acquiree for accounting purposes, was immediately integrated with Eledon post-acquisition, therefore it is not practical to segregate results of operations related specifically to Anelixis since the date of acquisition.</w:t>
      </w:r>
    </w:p>
    <w:p>
      <w:pPr>
        <w:spacing w:after="0" w:line="83" w:lineRule="exact"/>
        <w:rPr>
          <w:sz w:val="20"/>
          <w:szCs w:val="20"/>
          <w:color w:val="auto"/>
        </w:rPr>
      </w:pPr>
    </w:p>
    <w:p>
      <w:pPr>
        <w:ind w:right="80" w:firstLine="546"/>
        <w:spacing w:after="0" w:line="266" w:lineRule="auto"/>
        <w:rPr>
          <w:sz w:val="20"/>
          <w:szCs w:val="20"/>
          <w:color w:val="auto"/>
        </w:rPr>
      </w:pPr>
      <w:r>
        <w:rPr>
          <w:rFonts w:ascii="Arial" w:cs="Arial" w:eastAsia="Arial" w:hAnsi="Arial"/>
          <w:sz w:val="17"/>
          <w:szCs w:val="17"/>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114" w:lineRule="exact"/>
        <w:rPr>
          <w:sz w:val="20"/>
          <w:szCs w:val="20"/>
          <w:color w:val="auto"/>
        </w:rPr>
      </w:pPr>
    </w:p>
    <w:p>
      <w:pPr>
        <w:ind w:right="20" w:firstLine="546"/>
        <w:spacing w:after="0" w:line="259" w:lineRule="auto"/>
        <w:rPr>
          <w:sz w:val="20"/>
          <w:szCs w:val="20"/>
          <w:color w:val="auto"/>
        </w:rPr>
      </w:pPr>
      <w:r>
        <w:rPr>
          <w:rFonts w:ascii="Arial" w:cs="Arial" w:eastAsia="Arial" w:hAnsi="Arial"/>
          <w:sz w:val="17"/>
          <w:szCs w:val="17"/>
          <w:color w:val="auto"/>
        </w:rPr>
        <w:t>Operating segments under GAAP are defined as components of an enterprise about which separate financial information is available that is evaluated regularly by the Chief Operating Decision Maker (“CODM”), or decision-making group, in deciding how to allocate resources and in assessing performance. The CODM is the Company’s Chief Executive Officer and the Company has determined that it operates in one business segment, which is the development of products for therapeutic medicines selectively targeting critical pathways associated with the underlying molecular pathogenesis for patients with severe inflammation and autoimmune diseases.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ind w:right="20" w:firstLine="546"/>
        <w:spacing w:after="0" w:line="266" w:lineRule="auto"/>
        <w:rPr>
          <w:sz w:val="20"/>
          <w:szCs w:val="20"/>
          <w:color w:val="auto"/>
        </w:rPr>
      </w:pPr>
      <w:r>
        <w:rPr>
          <w:rFonts w:ascii="Arial" w:cs="Arial" w:eastAsia="Arial" w:hAnsi="Arial"/>
          <w:sz w:val="17"/>
          <w:szCs w:val="17"/>
          <w:color w:val="auto"/>
        </w:rPr>
        <w:t>Goodwill represents the difference between the consideration transferred and the fair value of the net assets acquired under the acquisition method of accounting. Goodwill is not amortized but is evaluated for impairment as of October 1 of each year or if indicators of impairment exist that would, more likely than not, reduce the fair value from its carrying amount.</w:t>
      </w:r>
    </w:p>
    <w:p>
      <w:pPr>
        <w:spacing w:after="0" w:line="175" w:lineRule="exact"/>
        <w:rPr>
          <w:sz w:val="20"/>
          <w:szCs w:val="20"/>
          <w:color w:val="auto"/>
        </w:rPr>
      </w:pPr>
    </w:p>
    <w:p>
      <w:pPr>
        <w:ind w:firstLine="546"/>
        <w:spacing w:after="0" w:line="293" w:lineRule="auto"/>
        <w:rPr>
          <w:sz w:val="20"/>
          <w:szCs w:val="20"/>
          <w:color w:val="auto"/>
        </w:rPr>
      </w:pPr>
      <w:r>
        <w:rPr>
          <w:rFonts w:ascii="Arial" w:cs="Arial" w:eastAsia="Arial" w:hAnsi="Arial"/>
          <w:sz w:val="15"/>
          <w:szCs w:val="15"/>
          <w:color w:val="auto"/>
        </w:rPr>
        <w:t>The Company performs its goodwill impairment analysis at the reporting unit level, which aligns with the Company’s reporting structure and availability of discrete financial information. The Company performs its annual impairment analysis by either comparing the reporting unit’s estimated fair value to its carrying amount or doing a qualitative assessment of a reporting unit’s fair value from the last quantitative assessment to determine if there is potential impairment. The Company may do a qualitative assessment when the results of the previous quantitative test indicated the reporting unit’s estimated fair value was significantly in excess of the carrying value of its net assets and it does not believe there have been significant changes in the reporting unit’s operations that would significantly decrease its estimated fair value or significantly increase its net assets. If a quantitative assessment is performed the evaluation includes management estimates of cash flow projections based on internal future projections and/or use of a market approach by looking at market values of comparable companies. Key assumptions for these projections include revenue growth, future gross and operating margin growth, and its weighted cost of capital and terminal growth rates. The revenue and margin growth is based on increased sales of new products as the Company maintains investments in research and development. Additional assumed value creators may include increased efficiencies from capital spending. The resulting cash flows are discounted using a weighted average cost of capital. Operating mechanisms and requirements to ensure that growth and efficiency assumptions will ultimately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74" w:name="page75"/>
    <w:bookmarkEnd w:id="74"/>
    <w:p>
      <w:pPr>
        <w:ind w:right="700"/>
        <w:spacing w:after="0" w:line="279" w:lineRule="auto"/>
        <w:rPr>
          <w:sz w:val="20"/>
          <w:szCs w:val="20"/>
          <w:color w:val="auto"/>
        </w:rPr>
      </w:pPr>
      <w:r>
        <w:rPr>
          <w:rFonts w:ascii="Arial" w:cs="Arial" w:eastAsia="Arial" w:hAnsi="Arial"/>
          <w:sz w:val="17"/>
          <w:szCs w:val="17"/>
          <w:color w:val="auto"/>
        </w:rPr>
        <w:t>realized are also considered in the evaluation, including timing and probability of regulatory approvals for Company products to be commercialized. The Company’s market capitalization is also considered as a part of its analysis.</w:t>
      </w:r>
    </w:p>
    <w:p>
      <w:pPr>
        <w:spacing w:after="0" w:line="164" w:lineRule="exact"/>
        <w:rPr>
          <w:sz w:val="20"/>
          <w:szCs w:val="20"/>
          <w:color w:val="auto"/>
        </w:rPr>
      </w:pPr>
    </w:p>
    <w:p>
      <w:pPr>
        <w:ind w:right="40" w:firstLine="546"/>
        <w:spacing w:after="0" w:line="277" w:lineRule="auto"/>
        <w:rPr>
          <w:sz w:val="20"/>
          <w:szCs w:val="20"/>
          <w:color w:val="auto"/>
        </w:rPr>
      </w:pPr>
      <w:r>
        <w:rPr>
          <w:rFonts w:ascii="Arial" w:cs="Arial" w:eastAsia="Arial" w:hAnsi="Arial"/>
          <w:sz w:val="16"/>
          <w:szCs w:val="16"/>
          <w:color w:val="auto"/>
        </w:rPr>
        <w:t>The Company’s annual evaluation for impairment of goodwill consists of one reporting unit. In accordance with the Company’s policy, the Company completed its annual evaluation for impairment as of October 1, 2020 using the qualitative assessment and determined that no impairment existed. However, since the acquisition of Anelixis was only 16 days prior to the goodwill impairment test date, the Company did not expect, and did not observe, any indicators of impairment of goodwill at September 30, 2020 and deemed it appropriate to update its analysis as of December 31, 2020 to ensure that the status had not changed over the three month period. It was determined that no impairment existed as of December 31, 2020</w:t>
      </w:r>
      <w:r>
        <w:rPr>
          <w:rFonts w:ascii="Arial" w:cs="Arial" w:eastAsia="Arial" w:hAnsi="Arial"/>
          <w:sz w:val="14"/>
          <w:szCs w:val="14"/>
          <w:color w:val="auto"/>
        </w:rPr>
        <w:t>.</w:t>
      </w:r>
      <w:r>
        <w:rPr>
          <w:rFonts w:ascii="Arial" w:cs="Arial" w:eastAsia="Arial" w:hAnsi="Arial"/>
          <w:sz w:val="16"/>
          <w:szCs w:val="16"/>
          <w:color w:val="auto"/>
        </w:rPr>
        <w:t xml:space="preserve"> Due to declining market conditions in 2019, the Company performed an additional goodwill impairment test as of December 31, 2019 and determined that the fair value of its goodwill was below its carrying value. As a result, the Company recognized $1.9 million of goodwill impairment which was included in the consolidated statement of operations for the year ended December 31, 2019. No impairment was recorded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14"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Property and equipment are recorded at cost. Depreciation is computed using the straight-line method over the estimated useful lives of the respective assets. Additions, major renewals and improvements are capitalized and repair and maintenance costs are charged to expense as incurred. Leasehold improvements are amortized over the remaining life of the initial lease term or the estimated useful lives of the assets, whichever is shorter.</w:t>
      </w:r>
    </w:p>
    <w:p>
      <w:pPr>
        <w:spacing w:after="0" w:line="158" w:lineRule="exact"/>
        <w:rPr>
          <w:sz w:val="20"/>
          <w:szCs w:val="20"/>
          <w:color w:val="auto"/>
        </w:rPr>
      </w:pPr>
    </w:p>
    <w:p>
      <w:pPr>
        <w:ind w:right="20" w:firstLine="546"/>
        <w:spacing w:after="0" w:line="259"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value of an asset may not be recoverable. An impairment loss would be recognized when estimated future undiscounted cash flows relating to the asset are less than its carrying amount. An impairment loss is measured as the amount by which the carrying amount of an asset exceeds its fair value. Significant management judgment is required in the forecast of future operating results that are used in the preparation of expected cash flows. No impairments of long-lived assets have been identified during the years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In-Process Research and Development</w:t>
      </w:r>
    </w:p>
    <w:p>
      <w:pPr>
        <w:spacing w:after="0" w:line="22" w:lineRule="exact"/>
        <w:rPr>
          <w:sz w:val="20"/>
          <w:szCs w:val="20"/>
          <w:color w:val="auto"/>
        </w:rPr>
      </w:pPr>
    </w:p>
    <w:p>
      <w:pPr>
        <w:ind w:right="160" w:firstLine="546"/>
        <w:spacing w:after="0" w:line="259" w:lineRule="auto"/>
        <w:rPr>
          <w:sz w:val="20"/>
          <w:szCs w:val="20"/>
          <w:color w:val="auto"/>
        </w:rPr>
      </w:pPr>
      <w:r>
        <w:rPr>
          <w:rFonts w:ascii="Arial" w:cs="Arial" w:eastAsia="Arial" w:hAnsi="Arial"/>
          <w:sz w:val="17"/>
          <w:szCs w:val="17"/>
          <w:color w:val="auto"/>
        </w:rPr>
        <w:t>The fair value of IPR&amp;D acquired through a business combination is capitalized as an indefinite-lived intangible asset until the completion or abandonment of the related research and development activities. When the related research and development is completed, the asset will be assigned a useful life and amortized.</w:t>
      </w:r>
    </w:p>
    <w:p>
      <w:pPr>
        <w:spacing w:after="0" w:line="181" w:lineRule="exact"/>
        <w:rPr>
          <w:sz w:val="20"/>
          <w:szCs w:val="20"/>
          <w:color w:val="auto"/>
        </w:rPr>
      </w:pPr>
    </w:p>
    <w:p>
      <w:pPr>
        <w:ind w:right="580" w:firstLine="546"/>
        <w:spacing w:after="0" w:line="312" w:lineRule="auto"/>
        <w:rPr>
          <w:sz w:val="20"/>
          <w:szCs w:val="20"/>
          <w:color w:val="auto"/>
        </w:rPr>
      </w:pPr>
      <w:r>
        <w:rPr>
          <w:rFonts w:ascii="Arial" w:cs="Arial" w:eastAsia="Arial" w:hAnsi="Arial"/>
          <w:sz w:val="16"/>
          <w:szCs w:val="16"/>
          <w:color w:val="auto"/>
        </w:rPr>
        <w:t>The fair value of an IPR&amp;D intangible asset is determined using the replacement cost method. This method involves arriving at an asset’s value by reference to the present-day cost, in an arms-length transaction, of replacing that asset with a similar asset in a similar condition.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4" w:lineRule="exact"/>
        <w:rPr>
          <w:sz w:val="20"/>
          <w:szCs w:val="20"/>
          <w:color w:val="auto"/>
        </w:rPr>
      </w:pPr>
    </w:p>
    <w:p>
      <w:pPr>
        <w:ind w:firstLine="546"/>
        <w:spacing w:after="0" w:line="259" w:lineRule="auto"/>
        <w:rPr>
          <w:sz w:val="20"/>
          <w:szCs w:val="20"/>
          <w:color w:val="auto"/>
        </w:rPr>
      </w:pPr>
      <w:r>
        <w:rPr>
          <w:rFonts w:ascii="Arial" w:cs="Arial" w:eastAsia="Arial" w:hAnsi="Arial"/>
          <w:sz w:val="17"/>
          <w:szCs w:val="17"/>
          <w:color w:val="auto"/>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spacing w:after="0" w:line="183" w:lineRule="exact"/>
        <w:rPr>
          <w:sz w:val="20"/>
          <w:szCs w:val="20"/>
          <w:color w:val="auto"/>
        </w:rPr>
      </w:pPr>
    </w:p>
    <w:p>
      <w:pPr>
        <w:ind w:right="140" w:firstLine="546"/>
        <w:spacing w:after="0" w:line="297" w:lineRule="auto"/>
        <w:rPr>
          <w:sz w:val="20"/>
          <w:szCs w:val="20"/>
          <w:color w:val="auto"/>
        </w:rPr>
      </w:pPr>
      <w:r>
        <w:rPr>
          <w:rFonts w:ascii="Arial" w:cs="Arial" w:eastAsia="Arial" w:hAnsi="Arial"/>
          <w:sz w:val="15"/>
          <w:szCs w:val="15"/>
          <w:color w:val="auto"/>
        </w:rPr>
        <w:t>The Company’s contracts with third parties to perform various clinical trial activities in the on-going development of potential products. The financial terms of these agreements are subject to negotiation, vary from contract to contract and may 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The Company estimates its research and development expenses and the related accrual as of each balance sheet date based on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75" w:name="page76"/>
    <w:bookmarkEnd w:id="75"/>
    <w:p>
      <w:pPr>
        <w:spacing w:after="0" w:line="279" w:lineRule="auto"/>
        <w:rPr>
          <w:sz w:val="20"/>
          <w:szCs w:val="20"/>
          <w:color w:val="auto"/>
        </w:rPr>
      </w:pPr>
      <w:r>
        <w:rPr>
          <w:rFonts w:ascii="Arial" w:cs="Arial" w:eastAsia="Arial" w:hAnsi="Arial"/>
          <w:sz w:val="17"/>
          <w:szCs w:val="17"/>
          <w:color w:val="auto"/>
        </w:rPr>
        <w:t>facts and circumstances known to the Company at that time. There have been no material adjustments to the Company’s prior period accrued estimates for clinical trial activities through December 31, 2020.</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14" w:lineRule="exact"/>
        <w:rPr>
          <w:sz w:val="20"/>
          <w:szCs w:val="20"/>
          <w:color w:val="auto"/>
        </w:rPr>
      </w:pPr>
    </w:p>
    <w:p>
      <w:pPr>
        <w:ind w:right="100" w:firstLine="546"/>
        <w:spacing w:after="0" w:line="277"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and stock options and warrants are considered to be potentially dilutive securities and are excluded from the calculation of diluted net loss per share because their effect would be anti-dilutive. Therefore, basic and diluted net loss per share was the same for the periods presented due to the Company’s net loss position.</w:t>
      </w:r>
    </w:p>
    <w:p>
      <w:pPr>
        <w:spacing w:after="0" w:line="169"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48"/>
        </w:trPr>
        <w:tc>
          <w:tcPr>
            <w:tcW w:w="5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3"/>
              <w:spacing w:after="0" w:line="148"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8"/>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25"/>
        </w:trPr>
        <w:tc>
          <w:tcPr>
            <w:tcW w:w="5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4"/>
          </w:tcPr>
          <w:p>
            <w:pPr>
              <w:jc w:val="right"/>
              <w:ind w:right="98"/>
              <w:spacing w:after="0" w:line="125" w:lineRule="exact"/>
              <w:rPr>
                <w:sz w:val="20"/>
                <w:szCs w:val="20"/>
                <w:color w:val="auto"/>
              </w:rPr>
            </w:pPr>
            <w:r>
              <w:rPr>
                <w:rFonts w:ascii="Arial" w:cs="Arial" w:eastAsia="Arial" w:hAnsi="Arial"/>
                <w:sz w:val="14"/>
                <w:szCs w:val="14"/>
                <w:b w:val="1"/>
                <w:bCs w:val="1"/>
                <w:color w:val="auto"/>
                <w:w w:val="87"/>
              </w:rPr>
              <w:t>(In thousands, except share and per</w:t>
            </w:r>
          </w:p>
        </w:tc>
        <w:tc>
          <w:tcPr>
            <w:tcW w:w="80" w:type="dxa"/>
            <w:vAlign w:val="bottom"/>
          </w:tcPr>
          <w:p>
            <w:pPr>
              <w:spacing w:after="0"/>
              <w:rPr>
                <w:sz w:val="10"/>
                <w:szCs w:val="10"/>
                <w:color w:val="auto"/>
              </w:rPr>
            </w:pPr>
          </w:p>
        </w:tc>
      </w:tr>
      <w:tr>
        <w:trPr>
          <w:trHeight w:val="164"/>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share data)</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(22,811)</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(16,011)</w:t>
            </w:r>
          </w:p>
        </w:tc>
      </w:tr>
      <w:tr>
        <w:trPr>
          <w:trHeight w:val="258"/>
        </w:trPr>
        <w:tc>
          <w:tcPr>
            <w:tcW w:w="5360" w:type="dxa"/>
            <w:vAlign w:val="bottom"/>
          </w:tcPr>
          <w:p>
            <w:pPr>
              <w:spacing w:after="0"/>
              <w:rPr>
                <w:sz w:val="20"/>
                <w:szCs w:val="20"/>
                <w:color w:val="auto"/>
              </w:rPr>
            </w:pPr>
            <w:r>
              <w:rPr>
                <w:rFonts w:ascii="Arial" w:cs="Arial" w:eastAsia="Arial" w:hAnsi="Arial"/>
                <w:sz w:val="17"/>
                <w:szCs w:val="17"/>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(15.72)</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(24.42)</w:t>
            </w:r>
          </w:p>
        </w:tc>
      </w:tr>
      <w:tr>
        <w:trPr>
          <w:trHeight w:val="198"/>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Weighted-average number of common shares</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1,451,432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655,526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00" w:firstLine="546"/>
        <w:spacing w:after="0" w:line="266" w:lineRule="auto"/>
        <w:rPr>
          <w:sz w:val="20"/>
          <w:szCs w:val="20"/>
          <w:color w:val="auto"/>
        </w:rPr>
      </w:pPr>
      <w:r>
        <w:rPr>
          <w:rFonts w:ascii="Arial" w:cs="Arial" w:eastAsia="Arial" w:hAnsi="Arial"/>
          <w:sz w:val="17"/>
          <w:szCs w:val="17"/>
          <w:color w:val="auto"/>
        </w:rPr>
        <w:t>The computation of diluted earnings per share excludes stock options, warrants, and restricted stock units that are anti-dilutive. For the year ended December 31, 2020, common share equivalents of 3,959,302 shares were anti-dilutive. For the year ended December 31, 2019, common share equivalents of 487,275 shares were anti-dilutive.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right="100" w:firstLine="546"/>
        <w:spacing w:after="0" w:line="292" w:lineRule="auto"/>
        <w:rPr>
          <w:sz w:val="20"/>
          <w:szCs w:val="20"/>
          <w:color w:val="auto"/>
        </w:rPr>
      </w:pPr>
      <w:r>
        <w:rPr>
          <w:rFonts w:ascii="Arial" w:cs="Arial" w:eastAsia="Arial" w:hAnsi="Arial"/>
          <w:sz w:val="15"/>
          <w:szCs w:val="15"/>
          <w:color w:val="auto"/>
        </w:rPr>
        <w:t>For stock options granted to employees and directors, the Company recognizes compensation expense for all stock-based awards based on the grant-date estimated fair value. 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For stock options granted to the board of directors, the Company determined the expected life assumption using the simplified method as the starting point with an average period of twelve (12) months added to take into account for the extended range of time of 12 to 18 months vested stock options granted to board of directors may be exercised upon termination.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163" w:lineRule="exact"/>
        <w:rPr>
          <w:sz w:val="20"/>
          <w:szCs w:val="20"/>
          <w:color w:val="auto"/>
        </w:rPr>
      </w:pPr>
    </w:p>
    <w:p>
      <w:pPr>
        <w:ind w:right="60" w:firstLine="546"/>
        <w:spacing w:after="0" w:line="279" w:lineRule="auto"/>
        <w:rPr>
          <w:sz w:val="20"/>
          <w:szCs w:val="20"/>
          <w:color w:val="auto"/>
        </w:rPr>
      </w:pPr>
      <w:r>
        <w:rPr>
          <w:rFonts w:ascii="Arial" w:cs="Arial" w:eastAsia="Arial" w:hAnsi="Arial"/>
          <w:sz w:val="17"/>
          <w:szCs w:val="17"/>
          <w:color w:val="auto"/>
        </w:rPr>
        <w:t>Restricted Stock Units (“RSU”) and Performance-Based Restricted Stock Units (“PRSU”) are measured and recognized based on the quoted market price of our common stock on the date of grant.</w:t>
      </w:r>
    </w:p>
    <w:p>
      <w:pPr>
        <w:spacing w:after="0" w:line="164"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In March 2020, the board of directors approved an increase of 28,816 shares issuable under the 2014 Stock Incentive Plan (the “2014 Plan”) and 7,204 shares issuable under the 2014 Employee Stock Purchase Plan (the “ESPP”).</w:t>
      </w:r>
    </w:p>
    <w:p>
      <w:pPr>
        <w:spacing w:after="0" w:line="164" w:lineRule="exact"/>
        <w:rPr>
          <w:sz w:val="20"/>
          <w:szCs w:val="20"/>
          <w:color w:val="auto"/>
        </w:rPr>
      </w:pPr>
    </w:p>
    <w:p>
      <w:pPr>
        <w:ind w:right="60" w:firstLine="546"/>
        <w:spacing w:after="0" w:line="279" w:lineRule="auto"/>
        <w:rPr>
          <w:sz w:val="20"/>
          <w:szCs w:val="20"/>
          <w:color w:val="auto"/>
        </w:rPr>
      </w:pPr>
      <w:r>
        <w:rPr>
          <w:rFonts w:ascii="Arial" w:cs="Arial" w:eastAsia="Arial" w:hAnsi="Arial"/>
          <w:sz w:val="16"/>
          <w:szCs w:val="16"/>
          <w:color w:val="auto"/>
        </w:rPr>
        <w:t>On December 18, 2020, the Company held the Special Meeting, whereby the Company’s stockholders approved the 2020 Long Term Incentive Plan (the “2020 Plan”). The aggregate number of shares of stock available for issuance under the 2020 Plan will initially be 4,860,000 shares of Common Stock, which represents approximately 15% of the total issued and outstanding shares of the Company’s common stock as of the record date of the Special Meeting (calculated on an as-converted basis and without regard to the potential application of beneficial ownership conversion limitations on the Preferred Stock) and may be increased by the number of shares under the 2014 Plan that expire, terminate or are otherwise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565" w:right="399" w:bottom="1440" w:gutter="0" w:footer="0" w:header="0"/>
        </w:sectPr>
      </w:pPr>
    </w:p>
    <w:bookmarkStart w:id="76" w:name="page77"/>
    <w:bookmarkEnd w:id="76"/>
    <w:p>
      <w:pPr>
        <w:ind w:right="440"/>
        <w:spacing w:after="0" w:line="279" w:lineRule="auto"/>
        <w:rPr>
          <w:sz w:val="20"/>
          <w:szCs w:val="20"/>
          <w:color w:val="auto"/>
        </w:rPr>
      </w:pPr>
      <w:r>
        <w:rPr>
          <w:rFonts w:ascii="Arial" w:cs="Arial" w:eastAsia="Arial" w:hAnsi="Arial"/>
          <w:sz w:val="17"/>
          <w:szCs w:val="17"/>
          <w:color w:val="auto"/>
        </w:rPr>
        <w:t>surrendered, cancelled, forfeited or repurchased by the Company. Based on projected utilization rates, the Board of Directors currently intends that the initial shares under the 2020 Plan will be sufficient to fund the Company’s equity compensation needs for approximately 3 years.</w:t>
      </w:r>
    </w:p>
    <w:p>
      <w:pPr>
        <w:spacing w:after="0" w:line="164" w:lineRule="exact"/>
        <w:rPr>
          <w:sz w:val="20"/>
          <w:szCs w:val="20"/>
          <w:color w:val="auto"/>
        </w:rPr>
      </w:pPr>
    </w:p>
    <w:p>
      <w:pPr>
        <w:ind w:right="100" w:firstLine="546"/>
        <w:spacing w:after="0" w:line="274" w:lineRule="auto"/>
        <w:rPr>
          <w:sz w:val="20"/>
          <w:szCs w:val="20"/>
          <w:color w:val="auto"/>
        </w:rPr>
      </w:pPr>
      <w:r>
        <w:rPr>
          <w:rFonts w:ascii="Arial" w:cs="Arial" w:eastAsia="Arial" w:hAnsi="Arial"/>
          <w:sz w:val="17"/>
          <w:szCs w:val="17"/>
          <w:color w:val="auto"/>
        </w:rPr>
        <w:t>The 2014 Plan was closed to new grants following the approval of the 2020 plan, and therefore, there were no shares reserved for issuance under the 2014 Plan as of December 31, 2020. The number of shares reserved for issuance under the 2020 Plan and ESPP was 4,167,044 and 24,077 shares, respectively, as of December 31, 2020.</w:t>
      </w:r>
    </w:p>
    <w:p>
      <w:pPr>
        <w:spacing w:after="0" w:line="168" w:lineRule="exact"/>
        <w:rPr>
          <w:sz w:val="20"/>
          <w:szCs w:val="20"/>
          <w:color w:val="auto"/>
        </w:rPr>
      </w:pPr>
    </w:p>
    <w:p>
      <w:pPr>
        <w:ind w:firstLine="546"/>
        <w:spacing w:after="0" w:line="293" w:lineRule="auto"/>
        <w:rPr>
          <w:sz w:val="20"/>
          <w:szCs w:val="20"/>
          <w:color w:val="auto"/>
        </w:rPr>
      </w:pPr>
      <w:r>
        <w:rPr>
          <w:rFonts w:ascii="Arial" w:cs="Arial" w:eastAsia="Arial" w:hAnsi="Arial"/>
          <w:sz w:val="15"/>
          <w:szCs w:val="15"/>
          <w:color w:val="auto"/>
        </w:rPr>
        <w:t>Stock-based compensation expense related to stock options granted to nonemployees is recognized based on the estimated fair value of the stock options on their grant date, determined using the Black-Scholes option pricing model. The awards generally vest over the period the Company expects to receive services from the nonemployees. Similar to stock options granted to employees, the fair value of stock options granted to nonemployees, is determined using the Black-Scholes option pricing model, involves assumptions that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on stock options granted to nonemployees, the Company determined the contractual term is the appropriate period for expected life on stock options granted to nonemployees.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right="60" w:firstLine="546"/>
        <w:spacing w:after="0" w:line="277" w:lineRule="auto"/>
        <w:rPr>
          <w:sz w:val="20"/>
          <w:szCs w:val="20"/>
          <w:color w:val="auto"/>
        </w:rPr>
      </w:pPr>
      <w:r>
        <w:rPr>
          <w:rFonts w:ascii="Arial" w:cs="Arial" w:eastAsia="Arial" w:hAnsi="Arial"/>
          <w:sz w:val="16"/>
          <w:szCs w:val="16"/>
          <w:color w:val="auto"/>
        </w:rPr>
        <w:t>Significant judgment is required in determining the Company’s provision for income taxes, deferred tax assets and liabilities and the valuation allowance recorded against net deferred tax assets. We assess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We have provided a valuation allowance on our deferred tax assets as of December 31, 2020 and 2019 because we believe it is more likely than not that a majority of our deferred tax assets will not be realized as of this date.</w:t>
      </w:r>
    </w:p>
    <w:p>
      <w:pPr>
        <w:spacing w:after="0" w:line="170" w:lineRule="exact"/>
        <w:rPr>
          <w:sz w:val="20"/>
          <w:szCs w:val="20"/>
          <w:color w:val="auto"/>
        </w:rPr>
      </w:pPr>
    </w:p>
    <w:p>
      <w:pPr>
        <w:ind w:right="60" w:firstLine="546"/>
        <w:spacing w:after="0" w:line="257" w:lineRule="auto"/>
        <w:rPr>
          <w:sz w:val="20"/>
          <w:szCs w:val="20"/>
          <w:color w:val="auto"/>
        </w:rPr>
      </w:pPr>
      <w:r>
        <w:rPr>
          <w:rFonts w:ascii="Arial" w:cs="Arial" w:eastAsia="Arial" w:hAnsi="Arial"/>
          <w:sz w:val="17"/>
          <w:szCs w:val="17"/>
          <w:color w:val="auto"/>
        </w:rPr>
        <w:t>The Company evaluates the accounting for uncertainty in income tax recognized in its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2020 and 2019.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w:t>
      </w:r>
    </w:p>
    <w:p>
      <w:pPr>
        <w:spacing w:after="0" w:line="185" w:lineRule="exact"/>
        <w:rPr>
          <w:sz w:val="20"/>
          <w:szCs w:val="20"/>
          <w:color w:val="auto"/>
        </w:rPr>
      </w:pPr>
    </w:p>
    <w:p>
      <w:pPr>
        <w:ind w:right="100" w:firstLine="546"/>
        <w:spacing w:after="0" w:line="274" w:lineRule="auto"/>
        <w:rPr>
          <w:sz w:val="20"/>
          <w:szCs w:val="20"/>
          <w:color w:val="auto"/>
        </w:rPr>
      </w:pPr>
      <w:r>
        <w:rPr>
          <w:rFonts w:ascii="Arial" w:cs="Arial" w:eastAsia="Arial" w:hAnsi="Arial"/>
          <w:sz w:val="16"/>
          <w:szCs w:val="16"/>
          <w:color w:val="auto"/>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For additional information, see </w:t>
      </w:r>
      <w:r>
        <w:rPr>
          <w:rFonts w:ascii="Arial" w:cs="Arial" w:eastAsia="Arial" w:hAnsi="Arial"/>
          <w:sz w:val="16"/>
          <w:szCs w:val="16"/>
          <w:i w:val="1"/>
          <w:iCs w:val="1"/>
          <w:color w:val="auto"/>
        </w:rPr>
        <w:t>Note 7. Income Taxes</w:t>
      </w:r>
      <w:r>
        <w:rPr>
          <w:rFonts w:ascii="Arial" w:cs="Arial" w:eastAsia="Arial" w:hAnsi="Arial"/>
          <w:sz w:val="16"/>
          <w:szCs w:val="16"/>
          <w:color w:val="auto"/>
        </w:rPr>
        <w:t xml:space="preserve"> in the notes to the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7" w:lineRule="exact"/>
        <w:rPr>
          <w:sz w:val="20"/>
          <w:szCs w:val="20"/>
          <w:color w:val="auto"/>
        </w:rPr>
      </w:pPr>
    </w:p>
    <w:p>
      <w:pPr>
        <w:ind w:firstLine="546"/>
        <w:spacing w:after="0" w:line="295" w:lineRule="auto"/>
        <w:rPr>
          <w:sz w:val="20"/>
          <w:szCs w:val="20"/>
          <w:color w:val="auto"/>
        </w:rPr>
      </w:pPr>
      <w:r>
        <w:rPr>
          <w:rFonts w:ascii="Arial" w:cs="Arial" w:eastAsia="Arial" w:hAnsi="Arial"/>
          <w:sz w:val="17"/>
          <w:szCs w:val="17"/>
          <w:color w:val="auto"/>
        </w:rPr>
        <w:t>No new accounting pronouncement issued or effective during the fiscal period had or is expected to have a material impact on the Company’s consolidated financial statements or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Prepaid Expenses, Other Assets, Accrued Expenses and Other Liabilities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Prepaid expenses and other current assets consisted of the following as of December 31, 2020 and 2019 (in thousands):</w:t>
      </w:r>
    </w:p>
    <w:p>
      <w:pPr>
        <w:spacing w:after="0" w:line="217"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As of</w:t>
      </w:r>
    </w:p>
    <w:p>
      <w:pPr>
        <w:jc w:val="center"/>
        <w:ind w:left="606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680" w:type="dxa"/>
            <w:vAlign w:val="bottom"/>
            <w:tcBorders>
              <w:bottom w:val="single" w:sz="8" w:color="CFF0FC"/>
            </w:tcBorders>
          </w:tcPr>
          <w:p>
            <w:pPr>
              <w:spacing w:after="0"/>
              <w:rPr>
                <w:sz w:val="12"/>
                <w:szCs w:val="12"/>
                <w:color w:val="auto"/>
              </w:rPr>
            </w:pPr>
          </w:p>
        </w:tc>
        <w:tc>
          <w:tcPr>
            <w:tcW w:w="148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2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Prepaid insurance</w:t>
            </w:r>
          </w:p>
        </w:tc>
        <w:tc>
          <w:tcPr>
            <w:tcW w:w="2300" w:type="dxa"/>
            <w:vAlign w:val="bottom"/>
            <w:gridSpan w:val="2"/>
            <w:shd w:val="clear" w:color="auto" w:fill="CFF0FC"/>
          </w:tcPr>
          <w:p>
            <w:pPr>
              <w:jc w:val="right"/>
              <w:ind w:right="67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1,157</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734</w:t>
            </w:r>
          </w:p>
        </w:tc>
        <w:tc>
          <w:tcPr>
            <w:tcW w:w="80" w:type="dxa"/>
            <w:vAlign w:val="bottom"/>
            <w:shd w:val="clear" w:color="auto" w:fill="CFF0FC"/>
          </w:tcPr>
          <w:p>
            <w:pPr>
              <w:spacing w:after="0"/>
              <w:rPr>
                <w:sz w:val="18"/>
                <w:szCs w:val="18"/>
                <w:color w:val="auto"/>
              </w:rPr>
            </w:pPr>
          </w:p>
        </w:tc>
      </w:tr>
      <w:tr>
        <w:trPr>
          <w:trHeight w:val="218"/>
        </w:trPr>
        <w:tc>
          <w:tcPr>
            <w:tcW w:w="4700" w:type="dxa"/>
            <w:vAlign w:val="bottom"/>
            <w:gridSpan w:val="2"/>
          </w:tcPr>
          <w:p>
            <w:pPr>
              <w:spacing w:after="0"/>
              <w:rPr>
                <w:sz w:val="20"/>
                <w:szCs w:val="20"/>
                <w:color w:val="auto"/>
              </w:rPr>
            </w:pPr>
            <w:r>
              <w:rPr>
                <w:rFonts w:ascii="Arial" w:cs="Arial" w:eastAsia="Arial" w:hAnsi="Arial"/>
                <w:sz w:val="17"/>
                <w:szCs w:val="17"/>
                <w:color w:val="auto"/>
              </w:rPr>
              <w:t>Prepaid clinical</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Prepaid other</w:t>
            </w:r>
          </w:p>
        </w:tc>
        <w:tc>
          <w:tcPr>
            <w:tcW w:w="1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FF0FC"/>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Insurance receivable</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245</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14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FF0FC"/>
          </w:tcPr>
          <w:p>
            <w:pPr>
              <w:spacing w:after="0"/>
              <w:rPr>
                <w:sz w:val="19"/>
                <w:szCs w:val="19"/>
                <w:color w:val="auto"/>
              </w:rPr>
            </w:pPr>
          </w:p>
        </w:tc>
      </w:tr>
      <w:tr>
        <w:trPr>
          <w:trHeight w:val="211"/>
        </w:trPr>
        <w:tc>
          <w:tcPr>
            <w:tcW w:w="4700" w:type="dxa"/>
            <w:vAlign w:val="bottom"/>
            <w:gridSpan w:val="2"/>
          </w:tcPr>
          <w:p>
            <w:pPr>
              <w:spacing w:after="0"/>
              <w:rPr>
                <w:sz w:val="20"/>
                <w:szCs w:val="20"/>
                <w:color w:val="auto"/>
              </w:rPr>
            </w:pPr>
            <w:r>
              <w:rPr>
                <w:rFonts w:ascii="Arial" w:cs="Arial" w:eastAsia="Arial" w:hAnsi="Arial"/>
                <w:sz w:val="17"/>
                <w:szCs w:val="17"/>
                <w:color w:val="auto"/>
              </w:rPr>
              <w:t>Total prepaid expenses and other current assets</w:t>
            </w:r>
          </w:p>
        </w:tc>
        <w:tc>
          <w:tcPr>
            <w:tcW w:w="2300" w:type="dxa"/>
            <w:vAlign w:val="bottom"/>
            <w:gridSpan w:val="2"/>
          </w:tcPr>
          <w:p>
            <w:pPr>
              <w:jc w:val="right"/>
              <w:ind w:right="671"/>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1,435</w:t>
            </w:r>
          </w:p>
        </w:tc>
        <w:tc>
          <w:tcPr>
            <w:tcW w:w="2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Accrued expenses and other liabilities consisted of the following as of December 31, 2020 and 2019 (in thousands):</w:t>
      </w:r>
    </w:p>
    <w:p>
      <w:pPr>
        <w:spacing w:after="0" w:line="217"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As of</w:t>
      </w:r>
    </w:p>
    <w:p>
      <w:pPr>
        <w:jc w:val="center"/>
        <w:ind w:left="634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6420" w:type="dxa"/>
            <w:vAlign w:val="bottom"/>
            <w:tcBorders>
              <w:bottom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
              <w:spacing w:after="0" w:line="148"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8"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2"/>
                <w:szCs w:val="12"/>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Accrued compensation and related expenses</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60" w:type="dxa"/>
            <w:vAlign w:val="bottom"/>
            <w:shd w:val="clear" w:color="auto" w:fill="CFF0FC"/>
          </w:tcPr>
          <w:p>
            <w:pPr>
              <w:spacing w:after="0"/>
              <w:rPr>
                <w:sz w:val="18"/>
                <w:szCs w:val="18"/>
                <w:color w:val="auto"/>
              </w:rPr>
            </w:pPr>
          </w:p>
        </w:tc>
      </w:tr>
      <w:tr>
        <w:trPr>
          <w:trHeight w:val="218"/>
        </w:trPr>
        <w:tc>
          <w:tcPr>
            <w:tcW w:w="6420" w:type="dxa"/>
            <w:vAlign w:val="bottom"/>
          </w:tcPr>
          <w:p>
            <w:pPr>
              <w:spacing w:after="0"/>
              <w:rPr>
                <w:sz w:val="20"/>
                <w:szCs w:val="20"/>
                <w:color w:val="auto"/>
              </w:rPr>
            </w:pPr>
            <w:r>
              <w:rPr>
                <w:rFonts w:ascii="Arial" w:cs="Arial" w:eastAsia="Arial" w:hAnsi="Arial"/>
                <w:sz w:val="17"/>
                <w:szCs w:val="17"/>
                <w:color w:val="auto"/>
              </w:rPr>
              <w:t>Accrued clinical</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437</w:t>
            </w:r>
          </w:p>
        </w:tc>
        <w:tc>
          <w:tcPr>
            <w:tcW w:w="60" w:type="dxa"/>
            <w:vAlign w:val="bottom"/>
          </w:tcPr>
          <w:p>
            <w:pPr>
              <w:spacing w:after="0"/>
              <w:rPr>
                <w:sz w:val="18"/>
                <w:szCs w:val="18"/>
                <w:color w:val="auto"/>
              </w:rPr>
            </w:pPr>
          </w:p>
        </w:tc>
      </w:tr>
      <w:tr>
        <w:trPr>
          <w:trHeight w:val="220"/>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Accrued professional services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60" w:type="dxa"/>
            <w:vAlign w:val="bottom"/>
            <w:shd w:val="clear" w:color="auto" w:fill="CFF0FC"/>
          </w:tcPr>
          <w:p>
            <w:pPr>
              <w:spacing w:after="0"/>
              <w:rPr>
                <w:sz w:val="19"/>
                <w:szCs w:val="19"/>
                <w:color w:val="auto"/>
              </w:rPr>
            </w:pPr>
          </w:p>
        </w:tc>
      </w:tr>
      <w:tr>
        <w:trPr>
          <w:trHeight w:val="218"/>
        </w:trPr>
        <w:tc>
          <w:tcPr>
            <w:tcW w:w="6420" w:type="dxa"/>
            <w:vAlign w:val="bottom"/>
          </w:tcPr>
          <w:p>
            <w:pPr>
              <w:spacing w:after="0"/>
              <w:rPr>
                <w:sz w:val="20"/>
                <w:szCs w:val="20"/>
                <w:color w:val="auto"/>
              </w:rPr>
            </w:pPr>
            <w:r>
              <w:rPr>
                <w:rFonts w:ascii="Arial" w:cs="Arial" w:eastAsia="Arial" w:hAnsi="Arial"/>
                <w:sz w:val="17"/>
                <w:szCs w:val="17"/>
                <w:color w:val="auto"/>
              </w:rPr>
              <w:t>Accrued vacation</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199</w:t>
            </w:r>
          </w:p>
        </w:tc>
        <w:tc>
          <w:tcPr>
            <w:tcW w:w="60" w:type="dxa"/>
            <w:vAlign w:val="bottom"/>
          </w:tcPr>
          <w:p>
            <w:pPr>
              <w:spacing w:after="0"/>
              <w:rPr>
                <w:sz w:val="18"/>
                <w:szCs w:val="18"/>
                <w:color w:val="auto"/>
              </w:rPr>
            </w:pPr>
          </w:p>
        </w:tc>
      </w:tr>
      <w:tr>
        <w:trPr>
          <w:trHeight w:val="220"/>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Accrued costs associated with PIPE financing</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r>
      <w:tr>
        <w:trPr>
          <w:trHeight w:val="218"/>
        </w:trPr>
        <w:tc>
          <w:tcPr>
            <w:tcW w:w="6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Accrued other</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60" w:type="dxa"/>
            <w:vAlign w:val="bottom"/>
            <w:tcBorders>
              <w:bottom w:val="single" w:sz="8" w:color="CFF0FC"/>
            </w:tcBorders>
          </w:tcPr>
          <w:p>
            <w:pPr>
              <w:spacing w:after="0"/>
              <w:rPr>
                <w:sz w:val="18"/>
                <w:szCs w:val="18"/>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Total accrued expenses and other liabilities</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60" w:type="dxa"/>
            <w:vAlign w:val="bottom"/>
            <w:shd w:val="clear" w:color="auto" w:fill="CFF0FC"/>
          </w:tcPr>
          <w:p>
            <w:pPr>
              <w:spacing w:after="0"/>
              <w:rPr>
                <w:sz w:val="18"/>
                <w:szCs w:val="18"/>
                <w:color w:val="auto"/>
              </w:rPr>
            </w:pP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Goodwill</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On September 14, 2020, the Company acquired Anelixis (see Note 10).</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changes in the carrying amount of goodwill consisted of the following for the years ended December 31, 2020 and 2019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4840" w:type="dxa"/>
            <w:vAlign w:val="bottom"/>
            <w:tcBorders>
              <w:bottom w:val="single" w:sz="8" w:color="CFF0FC"/>
            </w:tcBorders>
          </w:tcPr>
          <w:p>
            <w:pPr>
              <w:spacing w:after="0"/>
              <w:rPr>
                <w:sz w:val="14"/>
                <w:szCs w:val="14"/>
                <w:color w:val="auto"/>
              </w:rPr>
            </w:pPr>
          </w:p>
        </w:tc>
        <w:tc>
          <w:tcPr>
            <w:tcW w:w="25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4"/>
                <w:szCs w:val="14"/>
                <w:color w:val="auto"/>
              </w:rPr>
            </w:pPr>
          </w:p>
        </w:tc>
      </w:tr>
      <w:tr>
        <w:trPr>
          <w:trHeight w:val="212"/>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Balance as of January 1, 2019</w:t>
            </w:r>
          </w:p>
        </w:tc>
        <w:tc>
          <w:tcPr>
            <w:tcW w:w="2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w:t>
            </w:r>
          </w:p>
        </w:tc>
        <w:tc>
          <w:tcPr>
            <w:tcW w:w="80" w:type="dxa"/>
            <w:vAlign w:val="bottom"/>
            <w:shd w:val="clear" w:color="auto" w:fill="CFF0FC"/>
          </w:tcPr>
          <w:p>
            <w:pPr>
              <w:spacing w:after="0"/>
              <w:rPr>
                <w:sz w:val="18"/>
                <w:szCs w:val="18"/>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Impairments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(1,867)</w:t>
            </w:r>
          </w:p>
        </w:tc>
      </w:tr>
      <w:tr>
        <w:trPr>
          <w:trHeight w:val="21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as of December 31, 2019</w:t>
            </w:r>
          </w:p>
        </w:tc>
        <w:tc>
          <w:tcPr>
            <w:tcW w:w="25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FF0FC"/>
            </w:tcBorders>
            <w:shd w:val="clear" w:color="auto" w:fill="CFF0FC"/>
          </w:tcPr>
          <w:p>
            <w:pPr>
              <w:spacing w:after="0"/>
              <w:rPr>
                <w:sz w:val="18"/>
                <w:szCs w:val="18"/>
                <w:color w:val="auto"/>
              </w:rPr>
            </w:pPr>
          </w:p>
        </w:tc>
      </w:tr>
      <w:tr>
        <w:trPr>
          <w:trHeight w:val="218"/>
        </w:trPr>
        <w:tc>
          <w:tcPr>
            <w:tcW w:w="48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Acquisition of Anelixis</w:t>
            </w:r>
          </w:p>
        </w:tc>
        <w:tc>
          <w:tcPr>
            <w:tcW w:w="25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48,648</w:t>
            </w:r>
          </w:p>
        </w:tc>
        <w:tc>
          <w:tcPr>
            <w:tcW w:w="80" w:type="dxa"/>
            <w:vAlign w:val="bottom"/>
            <w:tcBorders>
              <w:bottom w:val="single" w:sz="8" w:color="CFF0FC"/>
            </w:tcBorders>
          </w:tcPr>
          <w:p>
            <w:pPr>
              <w:spacing w:after="0"/>
              <w:rPr>
                <w:sz w:val="18"/>
                <w:szCs w:val="18"/>
                <w:color w:val="auto"/>
              </w:rPr>
            </w:pPr>
          </w:p>
        </w:tc>
      </w:tr>
      <w:tr>
        <w:trPr>
          <w:trHeight w:val="212"/>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Balance as of December 31, 2020</w:t>
            </w:r>
          </w:p>
        </w:tc>
        <w:tc>
          <w:tcPr>
            <w:tcW w:w="2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48,648</w:t>
            </w:r>
          </w:p>
        </w:tc>
        <w:tc>
          <w:tcPr>
            <w:tcW w:w="80" w:type="dxa"/>
            <w:vAlign w:val="bottom"/>
            <w:shd w:val="clear" w:color="auto" w:fill="CFF0FC"/>
          </w:tcPr>
          <w:p>
            <w:pPr>
              <w:spacing w:after="0"/>
              <w:rPr>
                <w:sz w:val="18"/>
                <w:szCs w:val="18"/>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ind w:right="280" w:firstLine="546"/>
        <w:spacing w:after="0" w:line="349" w:lineRule="auto"/>
        <w:rPr>
          <w:sz w:val="20"/>
          <w:szCs w:val="20"/>
          <w:color w:val="auto"/>
        </w:rPr>
      </w:pPr>
      <w:r>
        <w:rPr>
          <w:rFonts w:ascii="Arial" w:cs="Arial" w:eastAsia="Arial" w:hAnsi="Arial"/>
          <w:sz w:val="15"/>
          <w:szCs w:val="15"/>
          <w:color w:val="auto"/>
        </w:rPr>
        <w:t>The Company performed a goodwill impairment test as of December 31, 2019 and determined that the fair value of its goodwill was below its carrying value. As a result, the Company recognized $1.9 million of goodwill impairment. No impairment was recorded for the year ended December 31, 2020.</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4" w:lineRule="exact"/>
        <w:rPr>
          <w:sz w:val="20"/>
          <w:szCs w:val="20"/>
          <w:color w:val="auto"/>
        </w:rPr>
      </w:pPr>
    </w:p>
    <w:p>
      <w:pPr>
        <w:ind w:right="240" w:firstLine="546"/>
        <w:spacing w:after="0" w:line="312" w:lineRule="auto"/>
        <w:rPr>
          <w:sz w:val="20"/>
          <w:szCs w:val="20"/>
          <w:color w:val="auto"/>
        </w:rPr>
      </w:pPr>
      <w:r>
        <w:rPr>
          <w:rFonts w:ascii="Arial" w:cs="Arial" w:eastAsia="Arial" w:hAnsi="Arial"/>
          <w:sz w:val="16"/>
          <w:szCs w:val="16"/>
          <w:color w:val="auto"/>
        </w:rPr>
        <w:t>The Company leases office space under various operating leases. Total rent expense for all operating leases in the consolidated statements of operations and comprehensive loss was approximately $207,000 and $188,000 for the years ended December 31, 2020 and 2019, respectively.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668" w:right="359" w:bottom="1440" w:gutter="0" w:footer="0" w:header="0"/>
        </w:sectPr>
      </w:pPr>
    </w:p>
    <w:bookmarkStart w:id="78" w:name="page79"/>
    <w:bookmarkEnd w:id="78"/>
    <w:p>
      <w:pPr>
        <w:ind w:right="800" w:firstLine="620"/>
        <w:spacing w:after="0" w:line="290" w:lineRule="auto"/>
        <w:rPr>
          <w:sz w:val="20"/>
          <w:szCs w:val="20"/>
          <w:color w:val="auto"/>
        </w:rPr>
      </w:pPr>
      <w:r>
        <w:rPr>
          <w:rFonts w:ascii="Arial" w:cs="Arial" w:eastAsia="Arial" w:hAnsi="Arial"/>
          <w:sz w:val="16"/>
          <w:szCs w:val="16"/>
          <w:color w:val="auto"/>
        </w:rPr>
        <w:t>The Company has an operating lease for 5,197 square feet of office space in Irvine, California, that expires on September 30, 2021, as amended. Additionally, the Company has operating leases for four serviced office spaces in Burlington, Massachusetts that expire on June 30, 2021. The Burlington, Massachusetts office leases are considered short-term leases and are not recorded on the consolidated balance sheet.</w:t>
      </w:r>
    </w:p>
    <w:p>
      <w:pPr>
        <w:spacing w:after="0" w:line="158" w:lineRule="exact"/>
        <w:rPr>
          <w:sz w:val="20"/>
          <w:szCs w:val="20"/>
          <w:color w:val="auto"/>
        </w:rPr>
      </w:pPr>
    </w:p>
    <w:p>
      <w:pPr>
        <w:ind w:right="80" w:firstLine="620"/>
        <w:spacing w:after="0" w:line="279" w:lineRule="auto"/>
        <w:rPr>
          <w:sz w:val="20"/>
          <w:szCs w:val="20"/>
          <w:color w:val="auto"/>
        </w:rPr>
      </w:pPr>
      <w:r>
        <w:rPr>
          <w:rFonts w:ascii="Arial" w:cs="Arial" w:eastAsia="Arial" w:hAnsi="Arial"/>
          <w:sz w:val="17"/>
          <w:szCs w:val="17"/>
          <w:color w:val="auto"/>
        </w:rPr>
        <w:t>The Company determines if a contract contains a lease at inception. Our office leases have a remaining term ranging from nine months to one year and do not include options to extend the leases for additional periods.</w:t>
      </w:r>
    </w:p>
    <w:p>
      <w:pPr>
        <w:spacing w:after="0" w:line="164" w:lineRule="exact"/>
        <w:rPr>
          <w:sz w:val="20"/>
          <w:szCs w:val="20"/>
          <w:color w:val="auto"/>
        </w:rPr>
      </w:pPr>
    </w:p>
    <w:p>
      <w:pPr>
        <w:ind w:right="240" w:firstLine="620"/>
        <w:spacing w:after="0" w:line="258" w:lineRule="auto"/>
        <w:rPr>
          <w:sz w:val="20"/>
          <w:szCs w:val="20"/>
          <w:color w:val="auto"/>
        </w:rPr>
      </w:pPr>
      <w:r>
        <w:rPr>
          <w:rFonts w:ascii="Arial" w:cs="Arial" w:eastAsia="Arial" w:hAnsi="Arial"/>
          <w:sz w:val="17"/>
          <w:szCs w:val="17"/>
          <w:color w:val="auto"/>
        </w:rPr>
        <w:t>Operating lease assets and liabilities are recognized at the lease commencement date. Operating lease liabilities represent the present value of lease payments not yet paid. Operating lease assets represent our right to use an underlying asset and are based upon the operating lease liabilities as adjusted for prepayments or accrued lease payments, initial direct costs, lease incentives, and impairment of operating lease assets. To determine the present value of lease payments not yet paid, we estimate incremental secured borrowing rates corresponding to the maturities of the leases. As we have no outstanding debt nor committed credit facilities, secured or otherwise, we estimate this rate based on prevailing financial market conditions, comparable company and credit analysis, and management’s judgment.</w:t>
      </w:r>
    </w:p>
    <w:p>
      <w:pPr>
        <w:spacing w:after="0" w:line="183" w:lineRule="exact"/>
        <w:rPr>
          <w:sz w:val="20"/>
          <w:szCs w:val="20"/>
          <w:color w:val="auto"/>
        </w:rPr>
      </w:pPr>
    </w:p>
    <w:p>
      <w:pPr>
        <w:ind w:right="120" w:firstLine="620"/>
        <w:spacing w:after="0" w:line="262" w:lineRule="auto"/>
        <w:rPr>
          <w:sz w:val="20"/>
          <w:szCs w:val="20"/>
          <w:color w:val="auto"/>
        </w:rPr>
      </w:pPr>
      <w:r>
        <w:rPr>
          <w:rFonts w:ascii="Arial" w:cs="Arial" w:eastAsia="Arial" w:hAnsi="Arial"/>
          <w:sz w:val="17"/>
          <w:szCs w:val="17"/>
          <w:color w:val="auto"/>
        </w:rPr>
        <w:t>Our Irvine lease contains rent escalations over the lease term. We recognize expense for these leases on a straight-line basis over the lease term. Additionally, tenant incentives used to fund leasehold improvements are recognized when earned and reduce our right-of-use asset related to the lease. These are amortized through the right-of-use asset as reductions of expense over the lease term. Our lease agreement does not contain any material residual value guarantees or material restrictive covenants.</w:t>
      </w:r>
    </w:p>
    <w:p>
      <w:pPr>
        <w:spacing w:after="0" w:line="178" w:lineRule="exact"/>
        <w:rPr>
          <w:sz w:val="20"/>
          <w:szCs w:val="20"/>
          <w:color w:val="auto"/>
        </w:rPr>
      </w:pPr>
    </w:p>
    <w:p>
      <w:pPr>
        <w:ind w:right="200" w:firstLine="620"/>
        <w:spacing w:after="0" w:line="279" w:lineRule="auto"/>
        <w:rPr>
          <w:sz w:val="20"/>
          <w:szCs w:val="20"/>
          <w:color w:val="auto"/>
        </w:rPr>
      </w:pPr>
      <w:r>
        <w:rPr>
          <w:rFonts w:ascii="Arial" w:cs="Arial" w:eastAsia="Arial" w:hAnsi="Arial"/>
          <w:sz w:val="17"/>
          <w:szCs w:val="17"/>
          <w:color w:val="auto"/>
        </w:rPr>
        <w:t>While we do not currently have any lease agreement with lease and non-lease components, we elected to account for lease and non-lease components as separate components.</w:t>
      </w:r>
    </w:p>
    <w:p>
      <w:pPr>
        <w:spacing w:after="0" w:line="164" w:lineRule="exact"/>
        <w:rPr>
          <w:sz w:val="20"/>
          <w:szCs w:val="20"/>
          <w:color w:val="auto"/>
        </w:rPr>
      </w:pPr>
    </w:p>
    <w:p>
      <w:pPr>
        <w:ind w:right="120" w:firstLine="620"/>
        <w:spacing w:after="0" w:line="262" w:lineRule="auto"/>
        <w:rPr>
          <w:sz w:val="20"/>
          <w:szCs w:val="20"/>
          <w:color w:val="auto"/>
        </w:rPr>
      </w:pPr>
      <w:r>
        <w:rPr>
          <w:rFonts w:ascii="Arial" w:cs="Arial" w:eastAsia="Arial" w:hAnsi="Arial"/>
          <w:sz w:val="17"/>
          <w:szCs w:val="17"/>
          <w:color w:val="auto"/>
        </w:rPr>
        <w:t>We have elected the short-term lease recognition exemption for all applicable classes of underlying assets. Short-term disclosures include only those leases with a term greater than one month and 12 months or less, and expense is recognized on a straight-line basis over the lease term. Leases with an initial term of 12 months or less, that do not include an option to purchase the underlying asset that we are reasonably certain to exercise, are not recorded on the consolidated balance sheet.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lease expense were as follows:</w:t>
      </w:r>
    </w:p>
    <w:p>
      <w:pPr>
        <w:spacing w:after="0" w:line="21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Year</w:t>
      </w:r>
    </w:p>
    <w:p>
      <w:pPr>
        <w:jc w:val="center"/>
        <w:ind w:left="7520"/>
        <w:spacing w:after="0"/>
        <w:rPr>
          <w:sz w:val="20"/>
          <w:szCs w:val="20"/>
          <w:color w:val="auto"/>
        </w:rPr>
      </w:pPr>
      <w:r>
        <w:rPr>
          <w:rFonts w:ascii="Arial" w:cs="Arial" w:eastAsia="Arial" w:hAnsi="Arial"/>
          <w:sz w:val="14"/>
          <w:szCs w:val="14"/>
          <w:b w:val="1"/>
          <w:bCs w:val="1"/>
          <w:color w:val="auto"/>
        </w:rPr>
        <w:t>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tabs>
          <w:tab w:leader="none" w:pos="7660" w:val="left"/>
          <w:tab w:leader="none" w:pos="10840" w:val="left"/>
        </w:tabs>
        <w:rPr>
          <w:sz w:val="20"/>
          <w:szCs w:val="20"/>
          <w:color w:val="auto"/>
        </w:rPr>
      </w:pPr>
      <w:r>
        <w:rPr>
          <w:rFonts w:ascii="Arial" w:cs="Arial" w:eastAsia="Arial" w:hAnsi="Arial"/>
          <w:sz w:val="17"/>
          <w:szCs w:val="17"/>
          <w:color w:val="auto"/>
        </w:rPr>
        <w:t>Operating lease cost</w:t>
      </w:r>
      <w:r>
        <w:rPr>
          <w:rFonts w:ascii="Arial" w:cs="Arial" w:eastAsia="Arial" w:hAnsi="Arial"/>
          <w:sz w:val="14"/>
          <w:szCs w:val="14"/>
          <w:color w:val="auto"/>
        </w:rPr>
        <w:t>(a)</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195</w:t>
      </w:r>
    </w:p>
    <w:p>
      <w:pPr>
        <w:spacing w:after="0" w:line="23" w:lineRule="exact"/>
        <w:rPr>
          <w:sz w:val="20"/>
          <w:szCs w:val="20"/>
          <w:color w:val="auto"/>
        </w:rPr>
      </w:pPr>
    </w:p>
    <w:p>
      <w:pPr>
        <w:ind w:left="200" w:hanging="197"/>
        <w:spacing w:after="0"/>
        <w:tabs>
          <w:tab w:leader="none" w:pos="200" w:val="left"/>
        </w:tabs>
        <w:numPr>
          <w:ilvl w:val="0"/>
          <w:numId w:val="44"/>
        </w:numPr>
        <w:rPr>
          <w:rFonts w:ascii="Arial" w:cs="Arial" w:eastAsia="Arial" w:hAnsi="Arial"/>
          <w:sz w:val="15"/>
          <w:szCs w:val="15"/>
          <w:color w:val="auto"/>
        </w:rPr>
      </w:pPr>
      <w:r>
        <w:rPr>
          <w:rFonts w:ascii="Arial" w:cs="Arial" w:eastAsia="Arial" w:hAnsi="Arial"/>
          <w:sz w:val="17"/>
          <w:szCs w:val="17"/>
          <w:color w:val="auto"/>
        </w:rPr>
        <w:t>Includes variable operating lease expenses, which are immaterial.</w:t>
      </w:r>
    </w:p>
    <w:p>
      <w:pPr>
        <w:spacing w:after="0" w:line="24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Other information related to leases was as follows (in thousands, except lease term and discount 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For the Year</w:t>
            </w:r>
          </w:p>
        </w:tc>
      </w:tr>
      <w:tr>
        <w:trPr>
          <w:trHeight w:val="164"/>
        </w:trPr>
        <w:tc>
          <w:tcPr>
            <w:tcW w:w="5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Ended December 31, 2020</w:t>
            </w:r>
          </w:p>
        </w:tc>
      </w:tr>
      <w:tr>
        <w:trPr>
          <w:trHeight w:val="212"/>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Supplemental Cash Flows Information</w:t>
            </w:r>
          </w:p>
        </w:tc>
        <w:tc>
          <w:tcPr>
            <w:tcW w:w="4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8"/>
        </w:trPr>
        <w:tc>
          <w:tcPr>
            <w:tcW w:w="5120" w:type="dxa"/>
            <w:vAlign w:val="bottom"/>
          </w:tcPr>
          <w:p>
            <w:pPr>
              <w:spacing w:after="0"/>
              <w:rPr>
                <w:sz w:val="20"/>
                <w:szCs w:val="20"/>
                <w:color w:val="auto"/>
              </w:rPr>
            </w:pPr>
            <w:r>
              <w:rPr>
                <w:rFonts w:ascii="Arial" w:cs="Arial" w:eastAsia="Arial" w:hAnsi="Arial"/>
                <w:sz w:val="17"/>
                <w:szCs w:val="17"/>
                <w:color w:val="auto"/>
                <w:w w:val="98"/>
              </w:rPr>
              <w:t>Cash paid for amounts included in the measurement of lease liability:</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5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cash flows from operating lease</w:t>
            </w:r>
          </w:p>
        </w:tc>
        <w:tc>
          <w:tcPr>
            <w:tcW w:w="4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FF0FC"/>
          </w:tcPr>
          <w:p>
            <w:pPr>
              <w:spacing w:after="0"/>
              <w:rPr>
                <w:sz w:val="19"/>
                <w:szCs w:val="19"/>
                <w:color w:val="auto"/>
              </w:rPr>
            </w:pPr>
          </w:p>
        </w:tc>
      </w:tr>
      <w:tr>
        <w:trPr>
          <w:trHeight w:val="218"/>
        </w:trPr>
        <w:tc>
          <w:tcPr>
            <w:tcW w:w="5120" w:type="dxa"/>
            <w:vAlign w:val="bottom"/>
          </w:tcPr>
          <w:p>
            <w:pPr>
              <w:spacing w:after="0"/>
              <w:rPr>
                <w:sz w:val="20"/>
                <w:szCs w:val="20"/>
                <w:color w:val="auto"/>
              </w:rPr>
            </w:pPr>
            <w:r>
              <w:rPr>
                <w:rFonts w:ascii="Arial" w:cs="Arial" w:eastAsia="Arial" w:hAnsi="Arial"/>
                <w:sz w:val="17"/>
                <w:szCs w:val="17"/>
                <w:color w:val="auto"/>
              </w:rPr>
              <w:t>Operating lease asset obtained in exchange for lease liability:</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5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lease</w:t>
            </w:r>
          </w:p>
        </w:tc>
        <w:tc>
          <w:tcPr>
            <w:tcW w:w="4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19"/>
        </w:trPr>
        <w:tc>
          <w:tcPr>
            <w:tcW w:w="5120" w:type="dxa"/>
            <w:vAlign w:val="bottom"/>
          </w:tcPr>
          <w:p>
            <w:pPr>
              <w:spacing w:after="0"/>
              <w:rPr>
                <w:sz w:val="20"/>
                <w:szCs w:val="20"/>
                <w:color w:val="auto"/>
              </w:rPr>
            </w:pPr>
            <w:r>
              <w:rPr>
                <w:rFonts w:ascii="Arial" w:cs="Arial" w:eastAsia="Arial" w:hAnsi="Arial"/>
                <w:sz w:val="17"/>
                <w:szCs w:val="17"/>
                <w:b w:val="1"/>
                <w:bCs w:val="1"/>
                <w:color w:val="auto"/>
              </w:rPr>
              <w:t>Remaining lease term</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9"/>
        </w:trPr>
        <w:tc>
          <w:tcPr>
            <w:tcW w:w="5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lease</w:t>
            </w:r>
          </w:p>
        </w:tc>
        <w:tc>
          <w:tcPr>
            <w:tcW w:w="4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0.75 years</w:t>
            </w:r>
          </w:p>
        </w:tc>
      </w:tr>
      <w:tr>
        <w:trPr>
          <w:trHeight w:val="219"/>
        </w:trPr>
        <w:tc>
          <w:tcPr>
            <w:tcW w:w="5120" w:type="dxa"/>
            <w:vAlign w:val="bottom"/>
          </w:tcPr>
          <w:p>
            <w:pPr>
              <w:spacing w:after="0"/>
              <w:rPr>
                <w:sz w:val="20"/>
                <w:szCs w:val="20"/>
                <w:color w:val="auto"/>
              </w:rPr>
            </w:pPr>
            <w:r>
              <w:rPr>
                <w:rFonts w:ascii="Arial" w:cs="Arial" w:eastAsia="Arial" w:hAnsi="Arial"/>
                <w:sz w:val="17"/>
                <w:szCs w:val="17"/>
                <w:b w:val="1"/>
                <w:bCs w:val="1"/>
                <w:color w:val="auto"/>
              </w:rPr>
              <w:t>Discount rate</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9"/>
        </w:trPr>
        <w:tc>
          <w:tcPr>
            <w:tcW w:w="5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lease</w:t>
            </w:r>
          </w:p>
        </w:tc>
        <w:tc>
          <w:tcPr>
            <w:tcW w:w="4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3.25%</w:t>
            </w:r>
          </w:p>
        </w:tc>
      </w:tr>
      <w:tr>
        <w:trPr>
          <w:trHeight w:val="643"/>
        </w:trPr>
        <w:tc>
          <w:tcPr>
            <w:tcW w:w="5120" w:type="dxa"/>
            <w:vAlign w:val="bottom"/>
          </w:tcPr>
          <w:p>
            <w:pPr>
              <w:spacing w:after="0"/>
              <w:rPr>
                <w:sz w:val="24"/>
                <w:szCs w:val="24"/>
                <w:color w:val="auto"/>
              </w:rPr>
            </w:pPr>
          </w:p>
        </w:tc>
        <w:tc>
          <w:tcPr>
            <w:tcW w:w="4320" w:type="dxa"/>
            <w:vAlign w:val="bottom"/>
            <w:gridSpan w:val="2"/>
          </w:tcPr>
          <w:p>
            <w:pPr>
              <w:jc w:val="right"/>
              <w:ind w:right="3660"/>
              <w:spacing w:after="0"/>
              <w:rPr>
                <w:sz w:val="20"/>
                <w:szCs w:val="20"/>
                <w:color w:val="auto"/>
              </w:rPr>
            </w:pPr>
            <w:r>
              <w:rPr>
                <w:rFonts w:ascii="Arial" w:cs="Arial" w:eastAsia="Arial" w:hAnsi="Arial"/>
                <w:sz w:val="17"/>
                <w:szCs w:val="17"/>
                <w:color w:val="auto"/>
              </w:rPr>
              <w:t>F-16</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0"/>
        </w:trPr>
        <w:tc>
          <w:tcPr>
            <w:tcW w:w="512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65" w:right="299" w:bottom="1440" w:gutter="0" w:footer="0" w:header="0"/>
        </w:sectPr>
      </w:pPr>
    </w:p>
    <w:bookmarkStart w:id="79" w:name="page80"/>
    <w:bookmarkEnd w:id="79"/>
    <w:p>
      <w:pPr>
        <w:ind w:right="180" w:firstLine="546"/>
        <w:spacing w:after="0" w:line="279" w:lineRule="auto"/>
        <w:rPr>
          <w:sz w:val="20"/>
          <w:szCs w:val="20"/>
          <w:color w:val="auto"/>
        </w:rPr>
      </w:pPr>
      <w:r>
        <w:rPr>
          <w:rFonts w:ascii="Arial" w:cs="Arial" w:eastAsia="Arial" w:hAnsi="Arial"/>
          <w:sz w:val="17"/>
          <w:szCs w:val="17"/>
          <w:color w:val="auto"/>
        </w:rPr>
        <w:t>Future payments under noncancelable operating leases having initial or remaining terms of one year or more are as follows for the succeeding fiscal year and thereafter (in thousands):</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Year ending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2021</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bottom w:val="single" w:sz="8" w:color="CFF0FC"/>
            </w:tcBorders>
          </w:tcPr>
          <w:p>
            <w:pPr>
              <w:spacing w:after="0"/>
              <w:rPr>
                <w:sz w:val="18"/>
                <w:szCs w:val="18"/>
                <w:color w:val="auto"/>
              </w:rPr>
            </w:pPr>
          </w:p>
        </w:tc>
      </w:tr>
      <w:tr>
        <w:trPr>
          <w:trHeight w:val="213"/>
        </w:trPr>
        <w:tc>
          <w:tcPr>
            <w:tcW w:w="100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Total minimum lease payments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FF0FC"/>
          </w:tcPr>
          <w:p>
            <w:pPr>
              <w:spacing w:after="0"/>
              <w:rPr>
                <w:sz w:val="18"/>
                <w:szCs w:val="18"/>
                <w:color w:val="auto"/>
              </w:rPr>
            </w:pPr>
          </w:p>
        </w:tc>
      </w:tr>
      <w:tr>
        <w:trPr>
          <w:trHeight w:val="218"/>
        </w:trPr>
        <w:tc>
          <w:tcPr>
            <w:tcW w:w="9240" w:type="dxa"/>
            <w:vAlign w:val="bottom"/>
          </w:tcPr>
          <w:p>
            <w:pPr>
              <w:spacing w:after="0"/>
              <w:rPr>
                <w:sz w:val="20"/>
                <w:szCs w:val="20"/>
                <w:color w:val="auto"/>
              </w:rPr>
            </w:pPr>
            <w:r>
              <w:rPr>
                <w:rFonts w:ascii="Arial" w:cs="Arial" w:eastAsia="Arial" w:hAnsi="Arial"/>
                <w:sz w:val="17"/>
                <w:szCs w:val="17"/>
                <w:color w:val="auto"/>
              </w:rPr>
              <w:t>Less imputed interest</w:t>
            </w:r>
          </w:p>
        </w:tc>
        <w:tc>
          <w:tcPr>
            <w:tcW w:w="8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13"/>
        </w:trPr>
        <w:tc>
          <w:tcPr>
            <w:tcW w:w="9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Present value of lease liabilities</w:t>
            </w:r>
          </w:p>
        </w:tc>
        <w:tc>
          <w:tcPr>
            <w:tcW w:w="8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8"/>
        </w:trPr>
        <w:tc>
          <w:tcPr>
            <w:tcW w:w="9240" w:type="dxa"/>
            <w:vAlign w:val="bottom"/>
          </w:tcPr>
          <w:p>
            <w:pPr>
              <w:spacing w:after="0"/>
              <w:rPr>
                <w:sz w:val="20"/>
                <w:szCs w:val="20"/>
                <w:color w:val="auto"/>
              </w:rPr>
            </w:pPr>
            <w:r>
              <w:rPr>
                <w:rFonts w:ascii="Arial" w:cs="Arial" w:eastAsia="Arial" w:hAnsi="Arial"/>
                <w:sz w:val="17"/>
                <w:szCs w:val="17"/>
                <w:color w:val="auto"/>
              </w:rPr>
              <w:t>Less current portion</w:t>
            </w:r>
          </w:p>
        </w:tc>
        <w:tc>
          <w:tcPr>
            <w:tcW w:w="8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(144)</w:t>
            </w:r>
          </w:p>
        </w:tc>
      </w:tr>
      <w:tr>
        <w:trPr>
          <w:trHeight w:val="212"/>
        </w:trPr>
        <w:tc>
          <w:tcPr>
            <w:tcW w:w="924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Future payments under short term leases with an initial term of 12 months or less total approximately $33,000 for 2021.</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and Licenses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ALS Therapy Development Foundation, Inc. License Agreement</w:t>
      </w:r>
    </w:p>
    <w:p>
      <w:pPr>
        <w:spacing w:after="0" w:line="114" w:lineRule="exact"/>
        <w:rPr>
          <w:sz w:val="20"/>
          <w:szCs w:val="20"/>
          <w:color w:val="auto"/>
        </w:rPr>
      </w:pPr>
    </w:p>
    <w:p>
      <w:pPr>
        <w:ind w:right="20" w:firstLine="620"/>
        <w:spacing w:after="0" w:line="318" w:lineRule="auto"/>
        <w:rPr>
          <w:sz w:val="20"/>
          <w:szCs w:val="20"/>
          <w:color w:val="auto"/>
        </w:rPr>
      </w:pPr>
      <w:r>
        <w:rPr>
          <w:rFonts w:ascii="Arial" w:cs="Arial" w:eastAsia="Arial" w:hAnsi="Arial"/>
          <w:sz w:val="15"/>
          <w:szCs w:val="15"/>
          <w:color w:val="auto"/>
        </w:rPr>
        <w:t>In May 2015, Anelixis executed a License Agreement (the “Agreement”), which is an exclusive patent rights agreement with ALS Therapy Development Foundation, Inc. (“ALSTDI”) for certain patents and “know-how” of ALSTDI. This agreement continues until the licensee terminates the agreement with ninety days written notice. The Agreement requires license fees payable to ALSTDI, subject to the achievement of certain milestones and other conditions.</w:t>
      </w:r>
    </w:p>
    <w:p>
      <w:pPr>
        <w:spacing w:after="0" w:line="36" w:lineRule="exact"/>
        <w:rPr>
          <w:sz w:val="20"/>
          <w:szCs w:val="20"/>
          <w:color w:val="auto"/>
        </w:rPr>
      </w:pPr>
    </w:p>
    <w:p>
      <w:pPr>
        <w:ind w:firstLine="620"/>
        <w:spacing w:after="0" w:line="262" w:lineRule="auto"/>
        <w:rPr>
          <w:sz w:val="20"/>
          <w:szCs w:val="20"/>
          <w:color w:val="auto"/>
        </w:rPr>
      </w:pPr>
      <w:r>
        <w:rPr>
          <w:rFonts w:ascii="Arial" w:cs="Arial" w:eastAsia="Arial" w:hAnsi="Arial"/>
          <w:sz w:val="17"/>
          <w:szCs w:val="17"/>
          <w:color w:val="auto"/>
        </w:rPr>
        <w:t>The first and second milestones of the Agreement are the dosing of the first subjects in a first toxicity study in non-human primates and the dosing of the first patient in a Phase I Clinical Trial, respectively. Both of these milestones were achieved as of December 31, 2018 and 2017. The fee due for the achievement of these milestones was $1,000,000 each. During 2018 and 2017, Anelixis issued $1,000,000 worth of its common stock in lieu of making a cash payment. There were no milestones achieved during 2020 and 2019.</w:t>
      </w:r>
    </w:p>
    <w:p>
      <w:pPr>
        <w:spacing w:after="0" w:line="75" w:lineRule="exact"/>
        <w:rPr>
          <w:sz w:val="20"/>
          <w:szCs w:val="20"/>
          <w:color w:val="auto"/>
        </w:rPr>
      </w:pPr>
    </w:p>
    <w:p>
      <w:pPr>
        <w:ind w:right="40" w:firstLine="569"/>
        <w:spacing w:after="0" w:line="266" w:lineRule="auto"/>
        <w:rPr>
          <w:sz w:val="20"/>
          <w:szCs w:val="20"/>
          <w:color w:val="auto"/>
        </w:rPr>
      </w:pPr>
      <w:r>
        <w:rPr>
          <w:rFonts w:ascii="Arial" w:cs="Arial" w:eastAsia="Arial" w:hAnsi="Arial"/>
          <w:sz w:val="17"/>
          <w:szCs w:val="17"/>
          <w:color w:val="auto"/>
        </w:rPr>
        <w:t>The Agreement was amended and restated in February 2020, and a first amendment to the restated license agreement was executed in September 2020. As amended in September 2020, the remaining milestone payments for a first licensed product total $6.0 million. In the event that the Company develops a second licensed product, the Company is obligated to pay up to $2.5 million in additional milestone payments.</w:t>
      </w:r>
    </w:p>
    <w:p>
      <w:pPr>
        <w:spacing w:after="0" w:line="72" w:lineRule="exact"/>
        <w:rPr>
          <w:sz w:val="20"/>
          <w:szCs w:val="20"/>
          <w:color w:val="auto"/>
        </w:rPr>
      </w:pPr>
    </w:p>
    <w:p>
      <w:pPr>
        <w:ind w:right="60" w:firstLine="569"/>
        <w:spacing w:after="0" w:line="279" w:lineRule="auto"/>
        <w:rPr>
          <w:sz w:val="20"/>
          <w:szCs w:val="20"/>
          <w:color w:val="auto"/>
        </w:rPr>
      </w:pPr>
      <w:r>
        <w:rPr>
          <w:rFonts w:ascii="Arial" w:cs="Arial" w:eastAsia="Arial" w:hAnsi="Arial"/>
          <w:sz w:val="17"/>
          <w:szCs w:val="17"/>
          <w:color w:val="auto"/>
        </w:rPr>
        <w:t>In addition to the milestone payments, the Company is required to pay ALSTDI an amended annual license maintenance fee of $100,000 beginning on the earlier of January 1, 2022, the Company’s first sublicense, or change in control, as defined in the Agreement.</w:t>
      </w:r>
    </w:p>
    <w:p>
      <w:pPr>
        <w:spacing w:after="0" w:line="61" w:lineRule="exact"/>
        <w:rPr>
          <w:sz w:val="20"/>
          <w:szCs w:val="20"/>
          <w:color w:val="auto"/>
        </w:rPr>
      </w:pPr>
    </w:p>
    <w:p>
      <w:pPr>
        <w:ind w:right="20" w:firstLine="569"/>
        <w:spacing w:after="0" w:line="262" w:lineRule="auto"/>
        <w:rPr>
          <w:sz w:val="20"/>
          <w:szCs w:val="20"/>
          <w:color w:val="auto"/>
        </w:rPr>
      </w:pPr>
      <w:r>
        <w:rPr>
          <w:rFonts w:ascii="Arial" w:cs="Arial" w:eastAsia="Arial" w:hAnsi="Arial"/>
          <w:sz w:val="17"/>
          <w:szCs w:val="17"/>
          <w:color w:val="auto"/>
        </w:rPr>
        <w:t>Furthermore, the Company shall pay ALSTDI fees based on reaching certain levels of annual net sales of any product produced with the patent rights. A royalty in the low single digits will be due on aggregate net sales. Upon the first calendar year of reaching $500 million in aggregate net sales, the Company shall pay ALS TDI a one-time milestone payment of $15,000,000. Upon the first calendar year of reaching $1 billion in aggregate net sales, the Company is obligated to pay ALSTDI a one-time milestone payment of $30,000,000.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color w:val="auto"/>
        </w:rPr>
        <w:t>Israeli Innovation Authority Grant</w:t>
      </w:r>
    </w:p>
    <w:p>
      <w:pPr>
        <w:spacing w:after="0" w:line="114" w:lineRule="exact"/>
        <w:rPr>
          <w:sz w:val="20"/>
          <w:szCs w:val="20"/>
          <w:color w:val="auto"/>
        </w:rPr>
      </w:pPr>
    </w:p>
    <w:p>
      <w:pPr>
        <w:ind w:firstLine="546"/>
        <w:spacing w:after="0" w:line="275" w:lineRule="auto"/>
        <w:rPr>
          <w:sz w:val="20"/>
          <w:szCs w:val="20"/>
          <w:color w:val="auto"/>
        </w:rPr>
      </w:pPr>
      <w:r>
        <w:rPr>
          <w:rFonts w:ascii="Arial" w:cs="Arial" w:eastAsia="Arial" w:hAnsi="Arial"/>
          <w:sz w:val="16"/>
          <w:szCs w:val="16"/>
          <w:color w:val="auto"/>
        </w:rPr>
        <w:t>From 2012 through 2015, the Company received grants in the amount of approximately $537,000 from the Israeli Innovation Authority (previously the Office of Chief Scientist) of the Israeli Ministry of Economy and Industry designated for investments in research and development. The grants are linked to the U.S. dollar and bear annual interest of LIBOR. The grants are to be repaid as royalties from sales of the products developed by the Company from their investments in research and development. Because the Company has not yet earned revenues related to these investments and cannot estimate potential royalties, no liabilities related to these grants have been recorded as of each period presented. Repayment of the grant is contingent upon the successful completion of the Company’s research and development programs and generating sales. The Company has no obligation to repay these grants, if the research and development program fails, is unsuccessful or aborted or if no sales are generated. The Company had not yet generated sales as of December 31, 2020; therefore, no liability was recorded for the repayment in the accompanying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Otodyne License Agreement</w:t>
      </w:r>
    </w:p>
    <w:p>
      <w:pPr>
        <w:spacing w:after="0" w:line="114" w:lineRule="exact"/>
        <w:rPr>
          <w:sz w:val="20"/>
          <w:szCs w:val="20"/>
          <w:color w:val="auto"/>
        </w:rPr>
      </w:pPr>
    </w:p>
    <w:p>
      <w:pPr>
        <w:ind w:firstLine="546"/>
        <w:spacing w:after="0" w:line="276" w:lineRule="auto"/>
        <w:rPr>
          <w:sz w:val="20"/>
          <w:szCs w:val="20"/>
          <w:color w:val="auto"/>
        </w:rPr>
      </w:pPr>
      <w:r>
        <w:rPr>
          <w:rFonts w:ascii="Arial" w:cs="Arial" w:eastAsia="Arial" w:hAnsi="Arial"/>
          <w:sz w:val="16"/>
          <w:szCs w:val="16"/>
          <w:color w:val="auto"/>
        </w:rPr>
        <w:t>In November 2015, the Company entered into an exclusive license agreement with Scientific Development and Research, Inc. and Otodyne, Inc. (collectively, the “Licensors”) granting it exclusive worldwide rights to develop and commercialize OP0201, a potential first-in-class treatment option for patients at risk for or with otitis media (middle ear inflammation with or without infection), which is often caused by ETD. Under the terms of the agreement, the Company is obligated to use commercially reasonable efforts to seek approval for and commercialize at least one product for otitis media in the U.S. and key European markets (France, Germany, Italy, Spain, and the United Kingdom). The Company is responsible for prosecuting, maintaining, and enforcing all intellectual property and will be the sole owner of improvements. Under the agreement with the Licensors, the Company paid license fees totaling $750,000 and issued 9,780 common shares to the Licensors, which was expensed to research and development during the year ended December 31, 2015.</w:t>
      </w:r>
    </w:p>
    <w:p>
      <w:pPr>
        <w:spacing w:after="0" w:line="169" w:lineRule="exact"/>
        <w:rPr>
          <w:sz w:val="20"/>
          <w:szCs w:val="20"/>
          <w:color w:val="auto"/>
        </w:rPr>
      </w:pPr>
    </w:p>
    <w:p>
      <w:pPr>
        <w:ind w:right="40" w:firstLine="546"/>
        <w:spacing w:after="0" w:line="306" w:lineRule="auto"/>
        <w:rPr>
          <w:sz w:val="20"/>
          <w:szCs w:val="20"/>
          <w:color w:val="auto"/>
        </w:rPr>
      </w:pPr>
      <w:r>
        <w:rPr>
          <w:rFonts w:ascii="Arial" w:cs="Arial" w:eastAsia="Arial" w:hAnsi="Arial"/>
          <w:sz w:val="15"/>
          <w:szCs w:val="15"/>
          <w:color w:val="auto"/>
        </w:rPr>
        <w:t>In December 2015, the Licensors completed transfer of all technology, including the active IND application to the Company. The Company is obligated to pay up to $42.1 million in development and regulatory milestones if OP0201 is approved for three indications in the United States, two in Europe, and two in Japan. The Company is also obligated to pay up to $36.0 million in sales based milestones, beginning with sales exceeding $1.0 billion in a calendar year. The Company is also obligated to pay a tiered royalty for a period up to eight years, on a country-by-country basis. The royalty ranges from a low-single to mid-single percentage of net sales. The Company made a $300,000 milestone payment in March 2019 related to the first patient enrolled in a phase 2 study, which is included in research and development expenses in 2019. There were no other milestones achieved during the years ended December 31, 2020 or 2019.</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114" w:lineRule="exact"/>
        <w:rPr>
          <w:sz w:val="20"/>
          <w:szCs w:val="20"/>
          <w:color w:val="auto"/>
        </w:rPr>
      </w:pPr>
    </w:p>
    <w:p>
      <w:pPr>
        <w:ind w:firstLine="546"/>
        <w:spacing w:after="0" w:line="292" w:lineRule="auto"/>
        <w:rPr>
          <w:sz w:val="20"/>
          <w:szCs w:val="20"/>
          <w:color w:val="auto"/>
        </w:rPr>
      </w:pPr>
      <w:r>
        <w:rPr>
          <w:rFonts w:ascii="Arial" w:cs="Arial" w:eastAsia="Arial" w:hAnsi="Arial"/>
          <w:sz w:val="15"/>
          <w:szCs w:val="15"/>
          <w:color w:val="auto"/>
        </w:rPr>
        <w:t>The Company is involved in various lawsuits and claims arising in the ordinary course of business, including actions with respect to intellectual property, employment,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litigation is inherently unpredictable and unfavorable results could occur, assessing contingencies is highly subjective and requires judgments about future events. The Company regularly reviews outstanding legal matters to determine the adequacy of the liabilities accrued and related disclosures. The amount of ultimate loss may differ from these estimates. Each matter presents its own unique circumstances, and prior litigation does not necessarily provide a reliable basis on which to predict the outcome, or range of outcomes, in any individual proceeding. Because of the uncertainties related to the occurrence, amount, and range of loss on any pending litigation or claim, the Company does not consider a liability probable and is currently unable to predict their ultimate outcome, and, with respect to any pending litigation or claim where no liability has been accrued, to make a meaningful estimate of the reasonably possible loss or range of loss that could result from an unfavorable outcome. In the event that opposing litigants in outstanding litigation proceedings or claims ultimately succeed at trial and any subsequent appeals on their claims, any potential loss or charges in excess of any established accruals, individually or in the aggregate, could have a material adverse effect on the Company’s business, financial condition, results of operations, and/or cash flows in the period in which the unfavorable outcome occurs or becomes probable, and potentially in future periods.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669" w:right="35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 w:lineRule="exact"/>
        <w:rPr>
          <w:sz w:val="20"/>
          <w:szCs w:val="20"/>
          <w:color w:val="auto"/>
        </w:rPr>
      </w:pPr>
    </w:p>
    <w:p>
      <w:pPr>
        <w:ind w:right="180" w:firstLine="602"/>
        <w:spacing w:after="0" w:line="255" w:lineRule="auto"/>
        <w:rPr>
          <w:sz w:val="20"/>
          <w:szCs w:val="20"/>
          <w:color w:val="auto"/>
        </w:rPr>
      </w:pPr>
      <w:r>
        <w:rPr>
          <w:rFonts w:ascii="Arial" w:cs="Arial" w:eastAsia="Arial" w:hAnsi="Arial"/>
          <w:sz w:val="17"/>
          <w:szCs w:val="17"/>
          <w:color w:val="auto"/>
        </w:rPr>
        <w:t>On September 22, 2014, Tokai, the legal predecessor of the Company, completed the initial public offering of its common stock (the “IPO”). On July 25, 2017, a purported stockholder of Tokai filed a lawsuit in the U.S. District Court for the District of Massachusetts, entitled Peter B. Angelos v. Tokai Pharmaceuticals, Inc., et al., No. 1:17-cv-11365-MLW. The lawsuit was filed against Tokai, Jodie P. Morrison, Lee H. Kalowski, Seth L. Harrison, Timothy J. Barberich, David A. Kessler, Joseph A. Yanchik, III, and the underwriters of the IPO. The lawsuit alleges that Tokai made false and misleading statements and omissions about its clinical trials for galeterone, in violation of the Securities Act of 1933 and the Securities Exchange Act of 1934. The lawsuit seeks, among other things, unspecified compensatory damages, interest, costs, and attorneys’ fees.</w:t>
      </w:r>
    </w:p>
    <w:p>
      <w:pPr>
        <w:spacing w:after="0" w:line="84" w:lineRule="exact"/>
        <w:rPr>
          <w:sz w:val="20"/>
          <w:szCs w:val="20"/>
          <w:color w:val="auto"/>
        </w:rPr>
      </w:pPr>
    </w:p>
    <w:p>
      <w:pPr>
        <w:ind w:right="40" w:firstLine="602"/>
        <w:spacing w:after="0" w:line="274" w:lineRule="auto"/>
        <w:rPr>
          <w:sz w:val="20"/>
          <w:szCs w:val="20"/>
          <w:color w:val="auto"/>
        </w:rPr>
      </w:pPr>
      <w:r>
        <w:rPr>
          <w:rFonts w:ascii="Arial" w:cs="Arial" w:eastAsia="Arial" w:hAnsi="Arial"/>
          <w:sz w:val="16"/>
          <w:szCs w:val="16"/>
          <w:color w:val="auto"/>
        </w:rPr>
        <w:t>On September 7, 2018, plaintiff filed an amended complaint. Defendants moved to dismiss the amended complaint on October 15, 2018. Plaintiff opposed defendants’ motion on November 19, 2018, defendants filed a reply in support of their motion on December 17, 2018, and plaintiff filed a sur-reply in support of his opposition on January 8, 2019. On February 18, 2020, the court held a hearing on defendants’ motion to dismiss. The court also ordered the parties to confer and notify it by March 10, 2020, if they reached an agreement to settle the case. On March 10, 2020, pursuant to the court’s order, the parties advised the court they did not agree on a settlement. On July 15, 2020, plaintiff filed a Notice of Supplemental Authority, and on July 21, 2020, defendants filed a response. On October 9, 2020, the court entered an order granting defendants’ motion to dismiss and dismissing the action in its entirety. Judgment was entered on October 14, 2020. On November 12, 2020, plaintiff filed a notice of appeal. On February 17, 2021, the parties submitted a stipulated motion to dismiss the appeal, following a settlement payment to plaintiff by the Company’s insurance carrier of an immaterial amount. On February 18, 2021, the United States Court of Appeals for the First Circuit granted the motion, enter judgment dismissing the appeal, and issued the mandate.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4" w:lineRule="exact"/>
        <w:rPr>
          <w:sz w:val="20"/>
          <w:szCs w:val="20"/>
          <w:color w:val="auto"/>
        </w:rPr>
      </w:pPr>
    </w:p>
    <w:p>
      <w:pPr>
        <w:ind w:right="40" w:firstLine="546"/>
        <w:spacing w:after="0" w:line="259"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because of these indemnification obligations. No amounts associated with such indemnifications have been recorded to date.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14" w:lineRule="exact"/>
        <w:rPr>
          <w:sz w:val="20"/>
          <w:szCs w:val="20"/>
          <w:color w:val="auto"/>
        </w:rPr>
      </w:pPr>
    </w:p>
    <w:p>
      <w:pPr>
        <w:ind w:right="320" w:firstLine="602"/>
        <w:spacing w:after="0" w:line="266"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at December 31, 2020 and 2019.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Income Taxes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Loss before income taxes are as follows (in thousands):</w:t>
      </w:r>
    </w:p>
    <w:p>
      <w:pPr>
        <w:spacing w:after="0" w:line="217"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700" w:type="dxa"/>
            <w:vAlign w:val="bottom"/>
          </w:tcPr>
          <w:p>
            <w:pPr>
              <w:spacing w:after="0"/>
              <w:rPr>
                <w:sz w:val="12"/>
                <w:szCs w:val="12"/>
                <w:color w:val="auto"/>
              </w:rPr>
            </w:pPr>
          </w:p>
        </w:tc>
        <w:tc>
          <w:tcPr>
            <w:tcW w:w="2880" w:type="dxa"/>
            <w:vAlign w:val="bottom"/>
            <w:tcBorders>
              <w:bottom w:val="single" w:sz="8" w:color="CFF0FC"/>
            </w:tcBorders>
          </w:tcPr>
          <w:p>
            <w:pPr>
              <w:spacing w:after="0"/>
              <w:rPr>
                <w:sz w:val="12"/>
                <w:szCs w:val="12"/>
                <w:color w:val="auto"/>
              </w:rPr>
            </w:pPr>
          </w:p>
        </w:tc>
        <w:tc>
          <w:tcPr>
            <w:tcW w:w="248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8"/>
              <w:spacing w:after="0" w:line="148"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8"/>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c>
          <w:tcPr>
            <w:tcW w:w="1720" w:type="dxa"/>
            <w:vAlign w:val="bottom"/>
          </w:tcPr>
          <w:p>
            <w:pPr>
              <w:spacing w:after="0"/>
              <w:rPr>
                <w:sz w:val="12"/>
                <w:szCs w:val="12"/>
                <w:color w:val="auto"/>
              </w:rPr>
            </w:pPr>
          </w:p>
        </w:tc>
      </w:tr>
      <w:tr>
        <w:trPr>
          <w:trHeight w:val="212"/>
        </w:trPr>
        <w:tc>
          <w:tcPr>
            <w:tcW w:w="170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Losses before income taxes:</w:t>
            </w:r>
          </w:p>
        </w:tc>
        <w:tc>
          <w:tcPr>
            <w:tcW w:w="2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8"/>
        </w:trPr>
        <w:tc>
          <w:tcPr>
            <w:tcW w:w="1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U.S.</w:t>
            </w:r>
          </w:p>
        </w:tc>
        <w:tc>
          <w:tcPr>
            <w:tcW w:w="2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(23,408)</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(16,174)</w:t>
            </w:r>
          </w:p>
        </w:tc>
        <w:tc>
          <w:tcPr>
            <w:tcW w:w="1720" w:type="dxa"/>
            <w:vAlign w:val="bottom"/>
          </w:tcPr>
          <w:p>
            <w:pPr>
              <w:spacing w:after="0"/>
              <w:rPr>
                <w:sz w:val="18"/>
                <w:szCs w:val="18"/>
                <w:color w:val="auto"/>
              </w:rPr>
            </w:pPr>
          </w:p>
        </w:tc>
      </w:tr>
      <w:tr>
        <w:trPr>
          <w:trHeight w:val="220"/>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Non-U.S.</w:t>
            </w:r>
          </w:p>
        </w:tc>
        <w:tc>
          <w:tcPr>
            <w:tcW w:w="2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11"/>
        </w:trPr>
        <w:tc>
          <w:tcPr>
            <w:tcW w:w="170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Arial" w:cs="Arial" w:eastAsia="Arial" w:hAnsi="Arial"/>
                <w:sz w:val="17"/>
                <w:szCs w:val="17"/>
                <w:color w:val="auto"/>
              </w:rPr>
              <w:t>Total</w:t>
            </w:r>
          </w:p>
        </w:tc>
        <w:tc>
          <w:tcPr>
            <w:tcW w:w="2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(23,215)</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(16,011)</w:t>
            </w:r>
          </w:p>
        </w:tc>
        <w:tc>
          <w:tcPr>
            <w:tcW w:w="172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2"/>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gridSpan w:val="2"/>
          </w:tcPr>
          <w:p>
            <w:pPr>
              <w:jc w:val="right"/>
              <w:ind w:right="1520"/>
              <w:spacing w:after="0"/>
              <w:rPr>
                <w:sz w:val="20"/>
                <w:szCs w:val="20"/>
                <w:color w:val="auto"/>
              </w:rPr>
            </w:pPr>
            <w:r>
              <w:rPr>
                <w:rFonts w:ascii="Arial" w:cs="Arial" w:eastAsia="Arial" w:hAnsi="Arial"/>
                <w:sz w:val="17"/>
                <w:szCs w:val="17"/>
                <w:color w:val="auto"/>
              </w:rPr>
              <w:t>F-19</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668" w:right="29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The provision (benefit) for income taxes are as follows (in thousands):</w:t>
      </w:r>
    </w:p>
    <w:p>
      <w:pPr>
        <w:spacing w:after="0" w:line="217"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Year Ended</w:t>
      </w:r>
    </w:p>
    <w:p>
      <w:pPr>
        <w:jc w:val="center"/>
        <w:ind w:left="7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-7620</wp:posOffset>
            </wp:positionV>
            <wp:extent cx="22345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60" w:type="dxa"/>
            <w:vAlign w:val="bottom"/>
            <w:tcBorders>
              <w:bottom w:val="single" w:sz="8" w:color="CFF0FC"/>
            </w:tcBorders>
          </w:tcPr>
          <w:p>
            <w:pPr>
              <w:spacing w:after="0"/>
              <w:rPr>
                <w:sz w:val="14"/>
                <w:szCs w:val="14"/>
                <w:color w:val="auto"/>
              </w:rPr>
            </w:pPr>
          </w:p>
        </w:tc>
        <w:tc>
          <w:tcPr>
            <w:tcW w:w="25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2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60" w:type="dxa"/>
            <w:vAlign w:val="bottom"/>
          </w:tcPr>
          <w:p>
            <w:pPr>
              <w:ind w:left="240"/>
              <w:spacing w:after="0"/>
              <w:rPr>
                <w:sz w:val="20"/>
                <w:szCs w:val="20"/>
                <w:color w:val="auto"/>
              </w:rPr>
            </w:pPr>
            <w:r>
              <w:rPr>
                <w:rFonts w:ascii="Arial" w:cs="Arial" w:eastAsia="Arial" w:hAnsi="Arial"/>
                <w:sz w:val="17"/>
                <w:szCs w:val="17"/>
                <w:color w:val="auto"/>
              </w:rPr>
              <w:t>Federal</w:t>
            </w:r>
          </w:p>
        </w:tc>
        <w:tc>
          <w:tcPr>
            <w:tcW w:w="292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2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D1EFFA"/>
            </w:tcBorders>
          </w:tcPr>
          <w:p>
            <w:pPr>
              <w:ind w:left="240"/>
              <w:spacing w:after="0"/>
              <w:rPr>
                <w:sz w:val="20"/>
                <w:szCs w:val="20"/>
                <w:color w:val="auto"/>
              </w:rPr>
            </w:pPr>
            <w:r>
              <w:rPr>
                <w:rFonts w:ascii="Arial" w:cs="Arial" w:eastAsia="Arial" w:hAnsi="Arial"/>
                <w:sz w:val="17"/>
                <w:szCs w:val="17"/>
                <w:color w:val="auto"/>
              </w:rPr>
              <w:t>Foreign</w:t>
            </w:r>
          </w:p>
        </w:tc>
        <w:tc>
          <w:tcPr>
            <w:tcW w:w="2560" w:type="dxa"/>
            <w:vAlign w:val="bottom"/>
            <w:tcBorders>
              <w:bottom w:val="single" w:sz="8" w:color="D1EFF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D1EFFA"/>
            </w:tcBorders>
          </w:tcPr>
          <w:p>
            <w:pPr>
              <w:spacing w:after="0"/>
              <w:rPr>
                <w:sz w:val="18"/>
                <w:szCs w:val="18"/>
                <w:color w:val="auto"/>
              </w:rPr>
            </w:pPr>
          </w:p>
        </w:tc>
        <w:tc>
          <w:tcPr>
            <w:tcW w:w="200" w:type="dxa"/>
            <w:vAlign w:val="bottom"/>
            <w:tcBorders>
              <w:bottom w:val="single" w:sz="8" w:color="D1EFF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D1EFFA"/>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shd w:val="clear" w:color="auto" w:fill="D1EFFA"/>
          </w:tcPr>
          <w:p>
            <w:pPr>
              <w:spacing w:after="0"/>
              <w:rPr>
                <w:sz w:val="18"/>
                <w:szCs w:val="18"/>
                <w:color w:val="auto"/>
              </w:rPr>
            </w:pPr>
          </w:p>
        </w:tc>
        <w:tc>
          <w:tcPr>
            <w:tcW w:w="2560" w:type="dxa"/>
            <w:vAlign w:val="bottom"/>
            <w:shd w:val="clear" w:color="auto" w:fill="D1EFFA"/>
          </w:tcPr>
          <w:p>
            <w:pPr>
              <w:spacing w:after="0"/>
              <w:rPr>
                <w:sz w:val="18"/>
                <w:szCs w:val="18"/>
                <w:color w:val="auto"/>
              </w:rPr>
            </w:pPr>
          </w:p>
        </w:tc>
        <w:tc>
          <w:tcPr>
            <w:tcW w:w="360" w:type="dxa"/>
            <w:vAlign w:val="bottom"/>
            <w:shd w:val="clear" w:color="auto" w:fill="D1EFFA"/>
          </w:tcPr>
          <w:p>
            <w:pPr>
              <w:spacing w:after="0"/>
              <w:rPr>
                <w:sz w:val="18"/>
                <w:szCs w:val="18"/>
                <w:color w:val="auto"/>
              </w:rPr>
            </w:pPr>
          </w:p>
        </w:tc>
        <w:tc>
          <w:tcPr>
            <w:tcW w:w="1440" w:type="dxa"/>
            <w:vAlign w:val="bottom"/>
            <w:gridSpan w:val="2"/>
            <w:shd w:val="clear" w:color="auto" w:fill="D1EFFA"/>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D1EFFA"/>
          </w:tcPr>
          <w:p>
            <w:pPr>
              <w:spacing w:after="0"/>
              <w:rPr>
                <w:sz w:val="18"/>
                <w:szCs w:val="18"/>
                <w:color w:val="auto"/>
              </w:rPr>
            </w:pPr>
          </w:p>
        </w:tc>
        <w:tc>
          <w:tcPr>
            <w:tcW w:w="360" w:type="dxa"/>
            <w:vAlign w:val="bottom"/>
            <w:shd w:val="clear" w:color="auto" w:fill="D1EFFA"/>
          </w:tcPr>
          <w:p>
            <w:pPr>
              <w:spacing w:after="0"/>
              <w:rPr>
                <w:sz w:val="18"/>
                <w:szCs w:val="18"/>
                <w:color w:val="auto"/>
              </w:rPr>
            </w:pPr>
          </w:p>
        </w:tc>
        <w:tc>
          <w:tcPr>
            <w:tcW w:w="1260" w:type="dxa"/>
            <w:vAlign w:val="bottom"/>
            <w:gridSpan w:val="2"/>
            <w:shd w:val="clear" w:color="auto" w:fill="D1EFFA"/>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20"/>
                <w:szCs w:val="20"/>
                <w:color w:val="auto"/>
              </w:rPr>
            </w:pPr>
            <w:r>
              <w:rPr>
                <w:rFonts w:ascii="Arial" w:cs="Arial" w:eastAsia="Arial" w:hAnsi="Arial"/>
                <w:sz w:val="17"/>
                <w:szCs w:val="17"/>
                <w:color w:val="auto"/>
              </w:rPr>
              <w:t>Deferred:</w:t>
            </w:r>
          </w:p>
        </w:tc>
        <w:tc>
          <w:tcPr>
            <w:tcW w:w="25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D1EFFA"/>
          </w:tcPr>
          <w:p>
            <w:pPr>
              <w:ind w:left="240"/>
              <w:spacing w:after="0"/>
              <w:rPr>
                <w:sz w:val="20"/>
                <w:szCs w:val="20"/>
                <w:color w:val="auto"/>
              </w:rPr>
            </w:pPr>
            <w:r>
              <w:rPr>
                <w:rFonts w:ascii="Arial" w:cs="Arial" w:eastAsia="Arial" w:hAnsi="Arial"/>
                <w:sz w:val="17"/>
                <w:szCs w:val="17"/>
                <w:color w:val="auto"/>
              </w:rPr>
              <w:t>Federal</w:t>
            </w:r>
          </w:p>
        </w:tc>
        <w:tc>
          <w:tcPr>
            <w:tcW w:w="2560" w:type="dxa"/>
            <w:vAlign w:val="bottom"/>
            <w:shd w:val="clear" w:color="auto" w:fill="D1EFFA"/>
          </w:tcPr>
          <w:p>
            <w:pPr>
              <w:spacing w:after="0"/>
              <w:rPr>
                <w:sz w:val="19"/>
                <w:szCs w:val="19"/>
                <w:color w:val="auto"/>
              </w:rPr>
            </w:pPr>
          </w:p>
        </w:tc>
        <w:tc>
          <w:tcPr>
            <w:tcW w:w="360" w:type="dxa"/>
            <w:vAlign w:val="bottom"/>
            <w:shd w:val="clear" w:color="auto" w:fill="D1EFFA"/>
          </w:tcPr>
          <w:p>
            <w:pPr>
              <w:spacing w:after="0"/>
              <w:rPr>
                <w:sz w:val="19"/>
                <w:szCs w:val="19"/>
                <w:color w:val="auto"/>
              </w:rPr>
            </w:pPr>
          </w:p>
        </w:tc>
        <w:tc>
          <w:tcPr>
            <w:tcW w:w="1440" w:type="dxa"/>
            <w:vAlign w:val="bottom"/>
            <w:gridSpan w:val="2"/>
            <w:shd w:val="clear" w:color="auto" w:fill="D1EFFA"/>
          </w:tcPr>
          <w:p>
            <w:pPr>
              <w:jc w:val="right"/>
              <w:ind w:right="220"/>
              <w:spacing w:after="0"/>
              <w:rPr>
                <w:sz w:val="20"/>
                <w:szCs w:val="20"/>
                <w:color w:val="auto"/>
              </w:rPr>
            </w:pPr>
            <w:r>
              <w:rPr>
                <w:rFonts w:ascii="Arial" w:cs="Arial" w:eastAsia="Arial" w:hAnsi="Arial"/>
                <w:sz w:val="17"/>
                <w:szCs w:val="17"/>
                <w:color w:val="auto"/>
              </w:rPr>
              <w:t>(404)</w:t>
            </w:r>
          </w:p>
        </w:tc>
        <w:tc>
          <w:tcPr>
            <w:tcW w:w="200" w:type="dxa"/>
            <w:vAlign w:val="bottom"/>
            <w:shd w:val="clear" w:color="auto" w:fill="D1EFFA"/>
          </w:tcPr>
          <w:p>
            <w:pPr>
              <w:spacing w:after="0"/>
              <w:rPr>
                <w:sz w:val="19"/>
                <w:szCs w:val="19"/>
                <w:color w:val="auto"/>
              </w:rPr>
            </w:pPr>
          </w:p>
        </w:tc>
        <w:tc>
          <w:tcPr>
            <w:tcW w:w="360" w:type="dxa"/>
            <w:vAlign w:val="bottom"/>
            <w:shd w:val="clear" w:color="auto" w:fill="D1EFFA"/>
          </w:tcPr>
          <w:p>
            <w:pPr>
              <w:spacing w:after="0"/>
              <w:rPr>
                <w:sz w:val="19"/>
                <w:szCs w:val="19"/>
                <w:color w:val="auto"/>
              </w:rPr>
            </w:pPr>
          </w:p>
        </w:tc>
        <w:tc>
          <w:tcPr>
            <w:tcW w:w="1260" w:type="dxa"/>
            <w:vAlign w:val="bottom"/>
            <w:gridSpan w:val="2"/>
            <w:shd w:val="clear" w:color="auto" w:fill="D1EFFA"/>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60" w:type="dxa"/>
            <w:vAlign w:val="bottom"/>
          </w:tcPr>
          <w:p>
            <w:pPr>
              <w:ind w:left="240"/>
              <w:spacing w:after="0"/>
              <w:rPr>
                <w:sz w:val="20"/>
                <w:szCs w:val="20"/>
                <w:color w:val="auto"/>
              </w:rPr>
            </w:pPr>
            <w:r>
              <w:rPr>
                <w:rFonts w:ascii="Arial" w:cs="Arial" w:eastAsia="Arial" w:hAnsi="Arial"/>
                <w:sz w:val="17"/>
                <w:szCs w:val="17"/>
                <w:color w:val="auto"/>
              </w:rPr>
              <w:t>State</w:t>
            </w: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60" w:type="dxa"/>
            <w:vAlign w:val="bottom"/>
            <w:shd w:val="clear" w:color="auto" w:fill="D1EFFA"/>
          </w:tcPr>
          <w:p>
            <w:pPr>
              <w:ind w:left="240"/>
              <w:spacing w:after="0"/>
              <w:rPr>
                <w:sz w:val="20"/>
                <w:szCs w:val="20"/>
                <w:color w:val="auto"/>
              </w:rPr>
            </w:pPr>
            <w:r>
              <w:rPr>
                <w:rFonts w:ascii="Arial" w:cs="Arial" w:eastAsia="Arial" w:hAnsi="Arial"/>
                <w:sz w:val="17"/>
                <w:szCs w:val="17"/>
                <w:color w:val="auto"/>
              </w:rPr>
              <w:t>Foreign</w:t>
            </w:r>
          </w:p>
        </w:tc>
        <w:tc>
          <w:tcPr>
            <w:tcW w:w="2560" w:type="dxa"/>
            <w:vAlign w:val="bottom"/>
            <w:shd w:val="clear" w:color="auto" w:fill="D1EFFA"/>
          </w:tcPr>
          <w:p>
            <w:pPr>
              <w:spacing w:after="0"/>
              <w:rPr>
                <w:sz w:val="19"/>
                <w:szCs w:val="19"/>
                <w:color w:val="auto"/>
              </w:rPr>
            </w:pPr>
          </w:p>
        </w:tc>
        <w:tc>
          <w:tcPr>
            <w:tcW w:w="360" w:type="dxa"/>
            <w:vAlign w:val="bottom"/>
            <w:tcBorders>
              <w:bottom w:val="single" w:sz="8" w:color="auto"/>
            </w:tcBorders>
            <w:shd w:val="clear" w:color="auto" w:fill="D1EFFA"/>
          </w:tcPr>
          <w:p>
            <w:pPr>
              <w:spacing w:after="0"/>
              <w:rPr>
                <w:sz w:val="19"/>
                <w:szCs w:val="19"/>
                <w:color w:val="auto"/>
              </w:rPr>
            </w:pPr>
          </w:p>
        </w:tc>
        <w:tc>
          <w:tcPr>
            <w:tcW w:w="1160" w:type="dxa"/>
            <w:vAlign w:val="bottom"/>
            <w:tcBorders>
              <w:bottom w:val="single" w:sz="8" w:color="auto"/>
            </w:tcBorders>
            <w:shd w:val="clear" w:color="auto" w:fill="D1EFFA"/>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D1EFFA"/>
          </w:tcPr>
          <w:p>
            <w:pPr>
              <w:spacing w:after="0"/>
              <w:rPr>
                <w:sz w:val="19"/>
                <w:szCs w:val="19"/>
                <w:color w:val="auto"/>
              </w:rPr>
            </w:pPr>
          </w:p>
        </w:tc>
        <w:tc>
          <w:tcPr>
            <w:tcW w:w="200" w:type="dxa"/>
            <w:vAlign w:val="bottom"/>
            <w:shd w:val="clear" w:color="auto" w:fill="D1EFFA"/>
          </w:tcPr>
          <w:p>
            <w:pPr>
              <w:spacing w:after="0"/>
              <w:rPr>
                <w:sz w:val="19"/>
                <w:szCs w:val="19"/>
                <w:color w:val="auto"/>
              </w:rPr>
            </w:pPr>
          </w:p>
        </w:tc>
        <w:tc>
          <w:tcPr>
            <w:tcW w:w="360" w:type="dxa"/>
            <w:vAlign w:val="bottom"/>
            <w:tcBorders>
              <w:bottom w:val="single" w:sz="8" w:color="auto"/>
            </w:tcBorders>
            <w:shd w:val="clear" w:color="auto" w:fill="D1EFFA"/>
          </w:tcPr>
          <w:p>
            <w:pPr>
              <w:spacing w:after="0"/>
              <w:rPr>
                <w:sz w:val="19"/>
                <w:szCs w:val="19"/>
                <w:color w:val="auto"/>
              </w:rPr>
            </w:pPr>
          </w:p>
        </w:tc>
        <w:tc>
          <w:tcPr>
            <w:tcW w:w="1160" w:type="dxa"/>
            <w:vAlign w:val="bottom"/>
            <w:tcBorders>
              <w:bottom w:val="single" w:sz="8" w:color="auto"/>
            </w:tcBorders>
            <w:shd w:val="clear" w:color="auto" w:fill="D1EFFA"/>
          </w:tcPr>
          <w:p>
            <w:pPr>
              <w:ind w:left="98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D1EFFA"/>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D1EFFA"/>
          </w:tcPr>
          <w:p>
            <w:pPr>
              <w:spacing w:after="0"/>
              <w:rPr>
                <w:sz w:val="20"/>
                <w:szCs w:val="20"/>
                <w:color w:val="auto"/>
              </w:rPr>
            </w:pPr>
            <w:r>
              <w:rPr>
                <w:rFonts w:ascii="Arial" w:cs="Arial" w:eastAsia="Arial" w:hAnsi="Arial"/>
                <w:sz w:val="17"/>
                <w:szCs w:val="17"/>
                <w:color w:val="auto"/>
              </w:rPr>
              <w:t>Provision (benefit) for income taxes</w:t>
            </w:r>
          </w:p>
        </w:tc>
        <w:tc>
          <w:tcPr>
            <w:tcW w:w="2560" w:type="dxa"/>
            <w:vAlign w:val="bottom"/>
            <w:shd w:val="clear" w:color="auto" w:fill="D1EFFA"/>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D1EFFA"/>
          </w:tcPr>
          <w:p>
            <w:pPr>
              <w:spacing w:after="0" w:line="20" w:lineRule="exact"/>
              <w:rPr>
                <w:sz w:val="1"/>
                <w:szCs w:val="1"/>
                <w:color w:val="auto"/>
              </w:rPr>
            </w:pPr>
          </w:p>
        </w:tc>
        <w:tc>
          <w:tcPr>
            <w:tcW w:w="200" w:type="dxa"/>
            <w:vAlign w:val="bottom"/>
            <w:shd w:val="clear" w:color="auto" w:fill="D1EFFA"/>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D1EF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60" w:type="dxa"/>
            <w:vAlign w:val="bottom"/>
            <w:vMerge w:val="continue"/>
            <w:shd w:val="clear" w:color="auto" w:fill="D1EFFA"/>
          </w:tcPr>
          <w:p>
            <w:pPr>
              <w:spacing w:after="0"/>
              <w:rPr>
                <w:sz w:val="18"/>
                <w:szCs w:val="18"/>
                <w:color w:val="auto"/>
              </w:rPr>
            </w:pPr>
          </w:p>
        </w:tc>
        <w:tc>
          <w:tcPr>
            <w:tcW w:w="2560" w:type="dxa"/>
            <w:vAlign w:val="bottom"/>
            <w:shd w:val="clear" w:color="auto" w:fill="D1EFFA"/>
          </w:tcPr>
          <w:p>
            <w:pPr>
              <w:spacing w:after="0"/>
              <w:rPr>
                <w:sz w:val="18"/>
                <w:szCs w:val="18"/>
                <w:color w:val="auto"/>
              </w:rPr>
            </w:pPr>
          </w:p>
        </w:tc>
        <w:tc>
          <w:tcPr>
            <w:tcW w:w="360" w:type="dxa"/>
            <w:vAlign w:val="bottom"/>
            <w:shd w:val="clear" w:color="auto" w:fill="D1EFFA"/>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D1EFFA"/>
          </w:tcPr>
          <w:p>
            <w:pPr>
              <w:jc w:val="right"/>
              <w:ind w:right="220"/>
              <w:spacing w:after="0"/>
              <w:rPr>
                <w:sz w:val="20"/>
                <w:szCs w:val="20"/>
                <w:color w:val="auto"/>
              </w:rPr>
            </w:pPr>
            <w:r>
              <w:rPr>
                <w:rFonts w:ascii="Arial" w:cs="Arial" w:eastAsia="Arial" w:hAnsi="Arial"/>
                <w:sz w:val="17"/>
                <w:szCs w:val="17"/>
                <w:color w:val="auto"/>
              </w:rPr>
              <w:t>(404)</w:t>
            </w:r>
          </w:p>
        </w:tc>
        <w:tc>
          <w:tcPr>
            <w:tcW w:w="560" w:type="dxa"/>
            <w:vAlign w:val="bottom"/>
            <w:gridSpan w:val="2"/>
            <w:shd w:val="clear" w:color="auto" w:fill="D1EFFA"/>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D1EFFA"/>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D1EFFA"/>
            </w:tcBorders>
          </w:tcPr>
          <w:p>
            <w:pPr>
              <w:spacing w:after="0" w:line="20" w:lineRule="exact"/>
              <w:rPr>
                <w:sz w:val="1"/>
                <w:szCs w:val="1"/>
                <w:color w:val="auto"/>
              </w:rPr>
            </w:pPr>
          </w:p>
        </w:tc>
        <w:tc>
          <w:tcPr>
            <w:tcW w:w="2560" w:type="dxa"/>
            <w:vAlign w:val="bottom"/>
            <w:tcBorders>
              <w:top w:val="single" w:sz="8" w:color="D1EF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1EFFA"/>
            </w:tcBorders>
          </w:tcPr>
          <w:p>
            <w:pPr>
              <w:spacing w:after="0" w:line="20" w:lineRule="exact"/>
              <w:rPr>
                <w:sz w:val="1"/>
                <w:szCs w:val="1"/>
                <w:color w:val="auto"/>
              </w:rPr>
            </w:pPr>
          </w:p>
        </w:tc>
        <w:tc>
          <w:tcPr>
            <w:tcW w:w="200" w:type="dxa"/>
            <w:vAlign w:val="bottom"/>
            <w:tcBorders>
              <w:top w:val="single" w:sz="8" w:color="D1EFFA"/>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EF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00" w:firstLine="546"/>
        <w:spacing w:after="0" w:line="311" w:lineRule="auto"/>
        <w:rPr>
          <w:sz w:val="20"/>
          <w:szCs w:val="20"/>
          <w:color w:val="auto"/>
        </w:rPr>
      </w:pPr>
      <w:r>
        <w:rPr>
          <w:rFonts w:ascii="Arial" w:cs="Arial" w:eastAsia="Arial" w:hAnsi="Arial"/>
          <w:sz w:val="17"/>
          <w:szCs w:val="17"/>
          <w:color w:val="auto"/>
        </w:rPr>
        <w:t>The Company is subject to income taxes under U.S. tax laws. The Company is subject to an Israeli corporate tax rate of 23% in 2020 and thereafter. The Company was subject to a blended U.S. tax rate (federal as well as state corporate tax) of 21% in 2019 and 2020.</w:t>
      </w:r>
    </w:p>
    <w:p>
      <w:pPr>
        <w:spacing w:after="0" w:line="138" w:lineRule="exact"/>
        <w:rPr>
          <w:sz w:val="20"/>
          <w:szCs w:val="20"/>
          <w:color w:val="auto"/>
        </w:rPr>
      </w:pPr>
    </w:p>
    <w:p>
      <w:pPr>
        <w:ind w:right="40" w:firstLine="546"/>
        <w:spacing w:after="0" w:line="277" w:lineRule="auto"/>
        <w:rPr>
          <w:sz w:val="20"/>
          <w:szCs w:val="20"/>
          <w:color w:val="auto"/>
        </w:rPr>
      </w:pPr>
      <w:r>
        <w:rPr>
          <w:rFonts w:ascii="Arial" w:cs="Arial" w:eastAsia="Arial" w:hAnsi="Arial"/>
          <w:sz w:val="16"/>
          <w:szCs w:val="16"/>
          <w:color w:val="auto"/>
        </w:rPr>
        <w:t>Significant judgment is required in determining the Company’s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w:t>
      </w:r>
    </w:p>
    <w:p>
      <w:pPr>
        <w:spacing w:after="0" w:line="170" w:lineRule="exact"/>
        <w:rPr>
          <w:sz w:val="20"/>
          <w:szCs w:val="20"/>
          <w:color w:val="auto"/>
        </w:rPr>
      </w:pPr>
    </w:p>
    <w:p>
      <w:pPr>
        <w:ind w:right="80" w:firstLine="546"/>
        <w:spacing w:after="0" w:line="262" w:lineRule="auto"/>
        <w:rPr>
          <w:sz w:val="20"/>
          <w:szCs w:val="20"/>
          <w:color w:val="auto"/>
        </w:rPr>
      </w:pPr>
      <w:r>
        <w:rPr>
          <w:rFonts w:ascii="Arial" w:cs="Arial" w:eastAsia="Arial" w:hAnsi="Arial"/>
          <w:sz w:val="17"/>
          <w:szCs w:val="17"/>
          <w:color w:val="auto"/>
        </w:rPr>
        <w:t>Based on its review, the Company concluded that it was more likely than not that they would not realize the benefit of a portion of its deferred tax assets in the future. This conclusion was based on historical and projected operating performance, as well as the Company’s expectation that its operations will not generate sufficient taxable income in future periods to realize the tax benefits associated with the deferred tax assets within the statutory carryover periods. Therefore, the Company has a valuation allowance on its deferred tax assets as of December 31, 2020.</w:t>
      </w:r>
    </w:p>
    <w:p>
      <w:pPr>
        <w:spacing w:after="0" w:line="178" w:lineRule="exact"/>
        <w:rPr>
          <w:sz w:val="20"/>
          <w:szCs w:val="20"/>
          <w:color w:val="auto"/>
        </w:rPr>
      </w:pPr>
    </w:p>
    <w:p>
      <w:pPr>
        <w:jc w:val="both"/>
        <w:ind w:right="200" w:firstLine="546"/>
        <w:spacing w:after="0" w:line="266" w:lineRule="auto"/>
        <w:rPr>
          <w:sz w:val="20"/>
          <w:szCs w:val="20"/>
          <w:color w:val="auto"/>
        </w:rPr>
      </w:pPr>
      <w:r>
        <w:rPr>
          <w:rFonts w:ascii="Arial" w:cs="Arial" w:eastAsia="Arial" w:hAnsi="Arial"/>
          <w:sz w:val="17"/>
          <w:szCs w:val="17"/>
          <w:color w:val="auto"/>
        </w:rPr>
        <w:t>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reconciliation of the U.S. federal statutory income tax rate to the Company’s effective income tax rate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700" w:type="dxa"/>
            <w:vAlign w:val="bottom"/>
            <w:tcBorders>
              <w:bottom w:val="single" w:sz="8" w:color="CFF0FC"/>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6"/>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Statutory Federal income tax rate</w:t>
            </w:r>
          </w:p>
        </w:tc>
        <w:tc>
          <w:tcPr>
            <w:tcW w:w="1380" w:type="dxa"/>
            <w:vAlign w:val="bottom"/>
            <w:gridSpan w:val="2"/>
            <w:shd w:val="clear" w:color="auto" w:fill="CFF0FC"/>
          </w:tcPr>
          <w:p>
            <w:pPr>
              <w:jc w:val="right"/>
              <w:ind w:right="628"/>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w w:val="96"/>
              </w:rPr>
              <w:t>(4,875)</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Tax credits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(215)</w:t>
            </w: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Change in warrant fair market value</w:t>
            </w:r>
          </w:p>
        </w:tc>
        <w:tc>
          <w:tcPr>
            <w:tcW w:w="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141</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Goodwill impairment</w:t>
            </w:r>
          </w:p>
        </w:tc>
        <w:tc>
          <w:tcPr>
            <w:tcW w:w="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Permanent items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Section 382 limitation on net operating losses and credits</w:t>
            </w:r>
          </w:p>
        </w:tc>
        <w:tc>
          <w:tcPr>
            <w:tcW w:w="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10,562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Other</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6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w w:val="96"/>
              </w:rPr>
              <w:t>(7,858)</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2,994</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7"/>
                <w:szCs w:val="17"/>
                <w:color w:val="auto"/>
              </w:rPr>
              <w:t>Total provision (benefit) for income taxes</w:t>
            </w: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4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(404)</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700" w:type="dxa"/>
            <w:vAlign w:val="bottom"/>
            <w:vMerge w:val="restart"/>
          </w:tcPr>
          <w:p>
            <w:pPr>
              <w:ind w:left="3760"/>
              <w:spacing w:after="0"/>
              <w:rPr>
                <w:sz w:val="20"/>
                <w:szCs w:val="20"/>
                <w:color w:val="auto"/>
              </w:rPr>
            </w:pPr>
            <w:r>
              <w:rPr>
                <w:rFonts w:ascii="Arial" w:cs="Arial" w:eastAsia="Arial" w:hAnsi="Arial"/>
                <w:sz w:val="17"/>
                <w:szCs w:val="17"/>
                <w:color w:val="auto"/>
              </w:rPr>
              <w:t>F-20</w:t>
            </w: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170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59" w:right="299" w:bottom="1440" w:gutter="0" w:footer="0" w:header="0"/>
        </w:sectPr>
      </w:pPr>
    </w:p>
    <w:bookmarkStart w:id="83" w:name="page84"/>
    <w:bookmarkEnd w:id="83"/>
    <w:p>
      <w:pPr>
        <w:ind w:left="540"/>
        <w:spacing w:after="0"/>
        <w:rPr>
          <w:sz w:val="20"/>
          <w:szCs w:val="20"/>
          <w:color w:val="auto"/>
        </w:rPr>
      </w:pPr>
      <w:r>
        <w:rPr>
          <w:rFonts w:ascii="Arial" w:cs="Arial" w:eastAsia="Arial" w:hAnsi="Arial"/>
          <w:sz w:val="15"/>
          <w:szCs w:val="15"/>
          <w:color w:val="auto"/>
        </w:rPr>
        <w:t>Significant components of the Company’s deferred tax assets and liabilities as of December 31, 2020 and 2019 consisted of the following (in thousands):</w:t>
      </w:r>
    </w:p>
    <w:p>
      <w:pPr>
        <w:spacing w:after="0" w:line="24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48"/>
        </w:trPr>
        <w:tc>
          <w:tcPr>
            <w:tcW w:w="536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8"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Net operating loss carryforwards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20"/>
                <w:szCs w:val="20"/>
                <w:color w:val="auto"/>
              </w:rPr>
            </w:pPr>
            <w:r>
              <w:rPr>
                <w:rFonts w:ascii="Arial" w:cs="Arial" w:eastAsia="Arial" w:hAnsi="Arial"/>
                <w:sz w:val="17"/>
                <w:szCs w:val="17"/>
                <w:color w:val="auto"/>
              </w:rPr>
              <w:t>Research and development tax credits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Accruals and reserves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20"/>
                <w:szCs w:val="20"/>
                <w:color w:val="auto"/>
              </w:rPr>
            </w:pPr>
            <w:r>
              <w:rPr>
                <w:rFonts w:ascii="Arial" w:cs="Arial" w:eastAsia="Arial" w:hAnsi="Arial"/>
                <w:sz w:val="17"/>
                <w:szCs w:val="17"/>
                <w:color w:val="auto"/>
              </w:rPr>
              <w:t>Stock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Lease liability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8,607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20"/>
                <w:szCs w:val="20"/>
                <w:color w:val="auto"/>
              </w:rPr>
            </w:pPr>
            <w:r>
              <w:rPr>
                <w:rFonts w:ascii="Arial" w:cs="Arial" w:eastAsia="Arial" w:hAnsi="Arial"/>
                <w:sz w:val="17"/>
                <w:szCs w:val="17"/>
                <w:color w:val="auto"/>
              </w:rPr>
              <w:t>Right-of-use asset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Acquired IPR&amp;D</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(6,801)</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20"/>
              <w:spacing w:after="0"/>
              <w:rPr>
                <w:sz w:val="20"/>
                <w:szCs w:val="20"/>
                <w:color w:val="auto"/>
              </w:rPr>
            </w:pPr>
            <w:r>
              <w:rPr>
                <w:rFonts w:ascii="Arial" w:cs="Arial" w:eastAsia="Arial" w:hAnsi="Arial"/>
                <w:sz w:val="17"/>
                <w:szCs w:val="17"/>
                <w:color w:val="auto"/>
              </w:rPr>
              <w:t>Total deferred tax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(6,830)</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Less: valuation allowance</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(5,883)</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(11,005)</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7"/>
                <w:szCs w:val="17"/>
                <w:color w:val="auto"/>
              </w:rPr>
              <w:t>Net deferred tax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(4,106)</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reconciles the beginning and ending amounts of unrecognized tax benefits for the years presented (in thousands):</w:t>
      </w:r>
    </w:p>
    <w:p>
      <w:pPr>
        <w:spacing w:after="0" w:line="230"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Year Ended</w:t>
      </w:r>
    </w:p>
    <w:p>
      <w:pPr>
        <w:jc w:val="center"/>
        <w:ind w:left="566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148"/>
        </w:trPr>
        <w:tc>
          <w:tcPr>
            <w:tcW w:w="494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7"/>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12"/>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Gross unrecognized tax benefits at the beginning of the year</w:t>
            </w:r>
          </w:p>
        </w:tc>
        <w:tc>
          <w:tcPr>
            <w:tcW w:w="160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w:t>
            </w:r>
          </w:p>
        </w:tc>
        <w:tc>
          <w:tcPr>
            <w:tcW w:w="80" w:type="dxa"/>
            <w:vAlign w:val="bottom"/>
            <w:shd w:val="clear" w:color="auto" w:fill="CFF0FC"/>
          </w:tcPr>
          <w:p>
            <w:pPr>
              <w:spacing w:after="0"/>
              <w:rPr>
                <w:sz w:val="18"/>
                <w:szCs w:val="18"/>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7"/>
                <w:szCs w:val="17"/>
                <w:color w:val="auto"/>
              </w:rPr>
              <w:t>Additions from tax positions taken in the current year</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214</w:t>
            </w:r>
          </w:p>
        </w:tc>
        <w:tc>
          <w:tcPr>
            <w:tcW w:w="80" w:type="dxa"/>
            <w:vAlign w:val="bottom"/>
          </w:tcPr>
          <w:p>
            <w:pPr>
              <w:spacing w:after="0"/>
              <w:rPr>
                <w:sz w:val="18"/>
                <w:szCs w:val="18"/>
                <w:color w:val="auto"/>
              </w:rPr>
            </w:pPr>
          </w:p>
        </w:tc>
      </w:tr>
      <w:tr>
        <w:trPr>
          <w:trHeight w:val="22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Additions from tax positions taken in prior years</w:t>
            </w: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7"/>
                <w:szCs w:val="17"/>
                <w:color w:val="auto"/>
              </w:rPr>
              <w:t>Reductions from tax positions taken in prior years</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(548)</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Tax settlements</w:t>
            </w:r>
          </w:p>
        </w:tc>
        <w:tc>
          <w:tcPr>
            <w:tcW w:w="8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Gross unrecognized tax benefits at the end of the year</w:t>
            </w:r>
          </w:p>
        </w:tc>
        <w:tc>
          <w:tcPr>
            <w:tcW w:w="1600" w:type="dxa"/>
            <w:vAlign w:val="bottom"/>
            <w:gridSpan w:val="2"/>
          </w:tcPr>
          <w:p>
            <w:pPr>
              <w:jc w:val="right"/>
              <w:ind w:right="631"/>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764</w:t>
            </w:r>
          </w:p>
        </w:tc>
        <w:tc>
          <w:tcPr>
            <w:tcW w:w="2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548</w:t>
            </w:r>
          </w:p>
        </w:tc>
        <w:tc>
          <w:tcPr>
            <w:tcW w:w="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60" w:firstLine="546"/>
        <w:spacing w:after="0" w:line="279" w:lineRule="auto"/>
        <w:rPr>
          <w:sz w:val="20"/>
          <w:szCs w:val="20"/>
          <w:color w:val="auto"/>
        </w:rPr>
      </w:pPr>
      <w:r>
        <w:rPr>
          <w:rFonts w:ascii="Arial" w:cs="Arial" w:eastAsia="Arial" w:hAnsi="Arial"/>
          <w:sz w:val="17"/>
          <w:szCs w:val="17"/>
          <w:color w:val="auto"/>
        </w:rPr>
        <w:t>The deferred income tax assets have been offset by a valuation allowance, as realization is dependent on future earnings, if any, the timing and amount of which are uncertain. The net valuation allowance decreased by $5.1 million.</w:t>
      </w:r>
    </w:p>
    <w:p>
      <w:pPr>
        <w:spacing w:after="0" w:line="164" w:lineRule="exact"/>
        <w:rPr>
          <w:sz w:val="20"/>
          <w:szCs w:val="20"/>
          <w:color w:val="auto"/>
        </w:rPr>
      </w:pPr>
    </w:p>
    <w:p>
      <w:pPr>
        <w:ind w:right="100" w:firstLine="546"/>
        <w:spacing w:after="0" w:line="283" w:lineRule="auto"/>
        <w:rPr>
          <w:sz w:val="20"/>
          <w:szCs w:val="20"/>
          <w:color w:val="auto"/>
        </w:rPr>
      </w:pPr>
      <w:r>
        <w:rPr>
          <w:rFonts w:ascii="Arial" w:cs="Arial" w:eastAsia="Arial" w:hAnsi="Arial"/>
          <w:sz w:val="16"/>
          <w:szCs w:val="16"/>
          <w:color w:val="auto"/>
        </w:rPr>
        <w:t>The Company’s accounting for deferred taxes involves the evaluation of a number of factors concerning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 At present, the Company does not believe that it is more likely than not that the deferred tax assets will be realized; accordingly, a valuation allowance has been established.</w:t>
      </w:r>
    </w:p>
    <w:p>
      <w:pPr>
        <w:spacing w:after="0" w:line="164"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As of December 31, 2020 and 2019, the Company had federal net operating loss carryforwards of approximately $14.4 million and $38.6 million, respectively, available to reduce future taxable income. As of December 31, 2020 and 2019, the Company also has state net operating loss carryforwards of $6.2 million and $0.9 million, respectively. The federal net operating loss carryforwards incurred before 2018 begin expiring in 2035 if not utilized. The federal net operating losses incurred since 2018 of $13.6 million do not expire. The state net operating losses begin to expire in 2035. As of December 31, 2020 and 2019, the Company had Israeli net operating losses of $7.9 million and $8.0 million, respectively, which carryforward indefinitely.</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December 31, 2020 and 2019, the Company had federal research and development tax credit carryforwards of approximately $966,000 and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$764,000, respectively. If not utilized, the carryforwards will begin expiring in 2035. As of December 31, 2020 and 2019, the Company has state research and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development credit carryforwards or approximately $562,000 and $264,000, respectively, which will begin expiring in 2030 if not utilized.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84" w:name="page85"/>
    <w:bookmarkEnd w:id="84"/>
    <w:p>
      <w:pPr>
        <w:ind w:firstLine="546"/>
        <w:spacing w:after="0" w:line="302" w:lineRule="auto"/>
        <w:rPr>
          <w:sz w:val="20"/>
          <w:szCs w:val="20"/>
          <w:color w:val="auto"/>
        </w:rPr>
      </w:pPr>
      <w:r>
        <w:rPr>
          <w:rFonts w:ascii="Arial" w:cs="Arial" w:eastAsia="Arial" w:hAnsi="Arial"/>
          <w:sz w:val="15"/>
          <w:szCs w:val="15"/>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As part of the equity raise and acquisition, the Company had an IRC Section 382/383 ownership change during 2020. The Company has removed $10.6 million of deferred tax assets related to NOL and R&amp;D credit carryforwards due to the Section 382 limitations. The Company’s ability to use its remaining net operating loss and tax credit carryforwards may be further limited if the Company experiences additional Section 382 ownership change in connection with future changes in the Company’s stock ownership.</w:t>
      </w:r>
    </w:p>
    <w:p>
      <w:pPr>
        <w:spacing w:after="0" w:line="152" w:lineRule="exact"/>
        <w:rPr>
          <w:sz w:val="20"/>
          <w:szCs w:val="20"/>
          <w:color w:val="auto"/>
        </w:rPr>
      </w:pPr>
    </w:p>
    <w:p>
      <w:pPr>
        <w:ind w:right="180" w:firstLine="546"/>
        <w:spacing w:after="0" w:line="266" w:lineRule="auto"/>
        <w:rPr>
          <w:sz w:val="20"/>
          <w:szCs w:val="20"/>
          <w:color w:val="auto"/>
        </w:rPr>
      </w:pPr>
      <w:r>
        <w:rPr>
          <w:rFonts w:ascii="Arial" w:cs="Arial" w:eastAsia="Arial" w:hAnsi="Arial"/>
          <w:sz w:val="17"/>
          <w:szCs w:val="17"/>
          <w:color w:val="auto"/>
        </w:rPr>
        <w:t>In the United States, the Company files income tax returns in the U.S. Federal jurisdiction, California and Massachusetts. The Company’s tax years for 2017 and forward are subject to examination by the Federal and California tax authorities due to the carryforward of unutilized net operating losses and research and development credits.</w:t>
      </w:r>
    </w:p>
    <w:p>
      <w:pPr>
        <w:spacing w:after="0" w:line="175" w:lineRule="exact"/>
        <w:rPr>
          <w:sz w:val="20"/>
          <w:szCs w:val="20"/>
          <w:color w:val="auto"/>
        </w:rPr>
      </w:pPr>
    </w:p>
    <w:p>
      <w:pPr>
        <w:ind w:right="120" w:firstLine="546"/>
        <w:spacing w:after="0" w:line="266" w:lineRule="auto"/>
        <w:rPr>
          <w:sz w:val="20"/>
          <w:szCs w:val="20"/>
          <w:color w:val="auto"/>
        </w:rPr>
      </w:pPr>
      <w:r>
        <w:rPr>
          <w:rFonts w:ascii="Arial" w:cs="Arial" w:eastAsia="Arial" w:hAnsi="Arial"/>
          <w:sz w:val="17"/>
          <w:szCs w:val="17"/>
          <w:color w:val="auto"/>
        </w:rPr>
        <w:t>The Company’s policy is to recognize interest expense and penalties related to income tax matters as a component of income tax expense. There was no accrued interest and penalties associated with uncertain tax positions as of December 31, 2020 and 2019. The Company has not recorded any interest or penalties in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Stockholders’ Equity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Distribution Agreement</w:t>
      </w:r>
    </w:p>
    <w:p>
      <w:pPr>
        <w:spacing w:after="0" w:line="114"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On July 23, 2018, the Company filed a prospectus and prospectus supplement (the “2018 Prospectus”) under which the Company may offer and sell, from time to time, pursuant to an equity distribution agreement with Piper Jaffray &amp; Co., up to $9.8 million in shares of its common stock. During the year ended December 31, 2019, 1,401 shares were sold under the 2018 Prospectus for gross proceeds of approximately $110,000. No shares were sold during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Equity Offering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On April 30, 2019, the Company agreed to sell in a registered direct offering, an aggregate 191,617 shares of its common stock to certain investors for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gross proceeds of approximately $10.7 million under its effective shelf registration statement on Form S-3 (File No. 333-226286). In a concurrent private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placement, the Company also agreed to issue to such investors Series A warrants to purchase up to 191,617 shares of its common stock at an exercise price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$72.00 with a term of eighteen months and Series B warrants to purchase up 191,617 shares of its common stock at an exercise price of $72.00 with a term of five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years. The Series B warrants become exercisable only upon the exercise of the Series A warrants. In addition, the Company agreed to issue placement agent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up to 9,580 shares of common stock representing 5.0% of the aggregate number of shares of common stock sold in this offering.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placement agent warrants have substantially the same terms as the Series A Warrants, except that the placement agent warrants will have an exercise price equal to</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$69.66 and will expire on April 30, 2024. We refer to the registered direct offering and the concurrent private placement collectively as the “2019 Equity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Offering”.</w:t>
      </w:r>
    </w:p>
    <w:p>
      <w:pPr>
        <w:spacing w:after="0" w:line="206" w:lineRule="exact"/>
        <w:rPr>
          <w:sz w:val="20"/>
          <w:szCs w:val="20"/>
          <w:color w:val="auto"/>
        </w:rPr>
      </w:pPr>
    </w:p>
    <w:p>
      <w:pPr>
        <w:ind w:right="20" w:firstLine="663"/>
        <w:spacing w:after="0" w:line="257" w:lineRule="auto"/>
        <w:rPr>
          <w:sz w:val="20"/>
          <w:szCs w:val="20"/>
          <w:color w:val="auto"/>
        </w:rPr>
      </w:pPr>
      <w:r>
        <w:rPr>
          <w:rFonts w:ascii="Arial" w:cs="Arial" w:eastAsia="Arial" w:hAnsi="Arial"/>
          <w:sz w:val="17"/>
          <w:szCs w:val="17"/>
          <w:color w:val="auto"/>
        </w:rPr>
        <w:t xml:space="preserve">All the warrants issued in connection with the 2019 Equity Offering contained put options that allow the holders of the warrants the right to receive, for each warrant share that would have been issuable upon an exercise immediately prior to the occurrence of an effective change in control event defined as a fundamental transaction,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this warrant is exercisable immediately prior to such fundamental transaction. The Company evaluated the embedded put option contained in the warrants under the guidance of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and concluded that the requirements for contingent exercise provisions as well as the settlement provision for scope exception in ASC 815-10-15-74 has been met. Accordingly, the put options contained in the warrants were not bi-furcated and accounted for as freestanding derivative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Exercise Transactions</w:t>
      </w:r>
    </w:p>
    <w:p>
      <w:pPr>
        <w:spacing w:after="0" w:line="114" w:lineRule="exact"/>
        <w:rPr>
          <w:sz w:val="20"/>
          <w:szCs w:val="20"/>
          <w:color w:val="auto"/>
        </w:rPr>
      </w:pPr>
    </w:p>
    <w:p>
      <w:pPr>
        <w:ind w:right="40" w:firstLine="682"/>
        <w:spacing w:after="0" w:line="266" w:lineRule="auto"/>
        <w:rPr>
          <w:sz w:val="20"/>
          <w:szCs w:val="20"/>
          <w:color w:val="auto"/>
        </w:rPr>
      </w:pPr>
      <w:r>
        <w:rPr>
          <w:rFonts w:ascii="Arial" w:cs="Arial" w:eastAsia="Arial" w:hAnsi="Arial"/>
          <w:sz w:val="17"/>
          <w:szCs w:val="17"/>
          <w:color w:val="auto"/>
        </w:rPr>
        <w:t>On January 10, 2020 and January 15, 2020, the Company entered into warrant exercise agreements (the “Exercise Agreements”) with the holders (the “Holders”) of its Series A Warrants and Series B Warrants (collectively, the “Warrants”), issued in the 2019 Equity Offering, pursuant to which the Holders agreed to exercise in cash their Warrants to purchase an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85" w:name="page86"/>
    <w:bookmarkEnd w:id="85"/>
    <w:p>
      <w:pPr>
        <w:ind w:right="140"/>
        <w:spacing w:after="0" w:line="266" w:lineRule="auto"/>
        <w:rPr>
          <w:sz w:val="20"/>
          <w:szCs w:val="20"/>
          <w:color w:val="auto"/>
        </w:rPr>
      </w:pPr>
      <w:r>
        <w:rPr>
          <w:rFonts w:ascii="Arial" w:cs="Arial" w:eastAsia="Arial" w:hAnsi="Arial"/>
          <w:sz w:val="17"/>
          <w:szCs w:val="17"/>
          <w:color w:val="auto"/>
        </w:rPr>
        <w:t>aggregate of 383,234 shares of the Company’s common stock at a reduced exercise price of $12.87 per share, plus an additional $2.25 per share for the issuance of the private placement warrants for gross proceeds (before placement agent fees and expenses) to the Company of approximately $5.8 million (the “Exercise Transaction”).</w:t>
      </w:r>
    </w:p>
    <w:p>
      <w:pPr>
        <w:spacing w:after="0" w:line="175" w:lineRule="exact"/>
        <w:rPr>
          <w:sz w:val="20"/>
          <w:szCs w:val="20"/>
          <w:color w:val="auto"/>
        </w:rPr>
      </w:pPr>
    </w:p>
    <w:p>
      <w:pPr>
        <w:ind w:right="120" w:firstLine="620"/>
        <w:spacing w:after="0" w:line="294" w:lineRule="auto"/>
        <w:rPr>
          <w:sz w:val="20"/>
          <w:szCs w:val="20"/>
          <w:color w:val="auto"/>
        </w:rPr>
      </w:pPr>
      <w:r>
        <w:rPr>
          <w:rFonts w:ascii="Arial" w:cs="Arial" w:eastAsia="Arial" w:hAnsi="Arial"/>
          <w:sz w:val="15"/>
          <w:szCs w:val="15"/>
          <w:color w:val="auto"/>
        </w:rPr>
        <w:t>Under the Exercise Agreements, the Company also agreed to issue to the Holders new warrants to purchase up to 383,235 shares of the Company’s common stock at an exercise price of $12.96 per share, with an exercise period of five and a half years (the “Private Placement Warrants”). The Private Placement Warrants transaction subsequently closed and the Private Placement Warrants were issued on January 14, 2020 with respect to the Warrants exercised on January 10, 2020 and on or about January 17, 2020, with respect to the Warrants exercised on January 15, 2020. In addition, the Company agreed to issue to the placement agent warrants to purchase up to 19,162 shares of common stock, representing 5.0% of the aggregate number of shares of common stock issued in the Exercise Transaction. The placement agent warrants have substantially the same terms as the Private Placement Warrants issued to the Holders, except that the placement agent warrants have an exercise price equal to $18.90. A warrant inducement expense of $4.8 million was recorded which was determined using the Black-Scholes option pricing model and was calculated as the difference between the fair value of the Warrants prior to, and immediately after, the reduction in the exercise price on the date of repricing in addition to the fair value of the Private Placement Warrants issued.</w:t>
      </w:r>
    </w:p>
    <w:p>
      <w:pPr>
        <w:spacing w:after="0" w:line="161" w:lineRule="exact"/>
        <w:rPr>
          <w:sz w:val="20"/>
          <w:szCs w:val="20"/>
          <w:color w:val="auto"/>
        </w:rPr>
      </w:pPr>
    </w:p>
    <w:p>
      <w:pPr>
        <w:jc w:val="both"/>
        <w:ind w:right="140" w:firstLine="620"/>
        <w:spacing w:after="0" w:line="266" w:lineRule="auto"/>
        <w:rPr>
          <w:sz w:val="20"/>
          <w:szCs w:val="20"/>
          <w:color w:val="auto"/>
        </w:rPr>
      </w:pPr>
      <w:r>
        <w:rPr>
          <w:rFonts w:ascii="Arial" w:cs="Arial" w:eastAsia="Arial" w:hAnsi="Arial"/>
          <w:sz w:val="17"/>
          <w:szCs w:val="17"/>
          <w:color w:val="auto"/>
        </w:rPr>
        <w:t>For the year ended December 31, 2020, the Holders exercised approximately 64,171 Private Placement Warrants in a cashless exchange for 28,553 shares of the Company’s common stock. Additionally, approximately 9,985 private placement warrants were exercised for 9,985 shares of the Company’s common stock for gross proceeds of $188,773.</w:t>
      </w:r>
    </w:p>
    <w:p>
      <w:pPr>
        <w:spacing w:after="0" w:line="175" w:lineRule="exact"/>
        <w:rPr>
          <w:sz w:val="20"/>
          <w:szCs w:val="20"/>
          <w:color w:val="auto"/>
        </w:rPr>
      </w:pPr>
    </w:p>
    <w:p>
      <w:pPr>
        <w:jc w:val="both"/>
        <w:ind w:right="560" w:firstLine="620"/>
        <w:spacing w:after="0" w:line="266" w:lineRule="auto"/>
        <w:rPr>
          <w:sz w:val="20"/>
          <w:szCs w:val="20"/>
          <w:color w:val="auto"/>
        </w:rPr>
      </w:pPr>
      <w:r>
        <w:rPr>
          <w:rFonts w:ascii="Arial" w:cs="Arial" w:eastAsia="Arial" w:hAnsi="Arial"/>
          <w:sz w:val="17"/>
          <w:szCs w:val="17"/>
          <w:color w:val="auto"/>
        </w:rPr>
        <w:t>As of December 31, 2020, 337,822 warrants were exercisable into common stock. The shares of common stock underlying the registered direct and private placement warrants are registered for offer and sale under the Securities Act of 1933, as amended (the “Securities Act”), pursuant to the Company’s effective registration statements on Forms S-1.</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the warrant activity: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Rollforward of Warrant Activity</w:t>
            </w: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Registered direct</w:t>
            </w: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Registered direct</w:t>
            </w:r>
          </w:p>
        </w:tc>
        <w:tc>
          <w:tcPr>
            <w:tcW w:w="142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87"/>
              </w:rPr>
              <w:t>Registered direct</w:t>
            </w:r>
          </w:p>
        </w:tc>
        <w:tc>
          <w:tcPr>
            <w:tcW w:w="14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Private placement</w:t>
            </w:r>
          </w:p>
        </w:tc>
        <w:tc>
          <w:tcPr>
            <w:tcW w:w="1400" w:type="dxa"/>
            <w:vAlign w:val="bottom"/>
            <w:gridSpan w:val="3"/>
          </w:tcPr>
          <w:p>
            <w:pPr>
              <w:jc w:val="center"/>
              <w:ind w:right="240"/>
              <w:spacing w:after="0" w:line="125" w:lineRule="exact"/>
              <w:rPr>
                <w:sz w:val="20"/>
                <w:szCs w:val="20"/>
                <w:color w:val="auto"/>
              </w:rPr>
            </w:pPr>
            <w:r>
              <w:rPr>
                <w:rFonts w:ascii="Arial" w:cs="Arial" w:eastAsia="Arial" w:hAnsi="Arial"/>
                <w:sz w:val="14"/>
                <w:szCs w:val="14"/>
                <w:b w:val="1"/>
                <w:bCs w:val="1"/>
                <w:color w:val="auto"/>
                <w:w w:val="90"/>
              </w:rPr>
              <w:t>Private placement</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2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warrants,</w:t>
            </w:r>
          </w:p>
        </w:tc>
        <w:tc>
          <w:tcPr>
            <w:tcW w:w="1420" w:type="dxa"/>
            <w:vAlign w:val="bottom"/>
            <w:gridSpan w:val="2"/>
            <w:vMerge w:val="continue"/>
          </w:tcPr>
          <w:p>
            <w:pPr>
              <w:spacing w:after="0"/>
              <w:rPr>
                <w:sz w:val="12"/>
                <w:szCs w:val="12"/>
                <w:color w:val="auto"/>
              </w:rPr>
            </w:pPr>
          </w:p>
        </w:tc>
        <w:tc>
          <w:tcPr>
            <w:tcW w:w="140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warrants,</w:t>
            </w:r>
          </w:p>
        </w:tc>
        <w:tc>
          <w:tcPr>
            <w:tcW w:w="9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D1EFFA"/>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warrants, series A</w:t>
            </w:r>
          </w:p>
        </w:tc>
        <w:tc>
          <w:tcPr>
            <w:tcW w:w="120" w:type="dxa"/>
            <w:vAlign w:val="bottom"/>
            <w:tcBorders>
              <w:bottom w:val="single" w:sz="8" w:color="D1EF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warrants, series B</w:t>
            </w:r>
          </w:p>
        </w:tc>
        <w:tc>
          <w:tcPr>
            <w:tcW w:w="100" w:type="dxa"/>
            <w:vAlign w:val="bottom"/>
            <w:tcBorders>
              <w:bottom w:val="single" w:sz="8" w:color="D1EFFA"/>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placement agent</w:t>
            </w:r>
          </w:p>
        </w:tc>
        <w:tc>
          <w:tcPr>
            <w:tcW w:w="100" w:type="dxa"/>
            <w:vAlign w:val="bottom"/>
            <w:tcBorders>
              <w:bottom w:val="single" w:sz="8" w:color="D1EF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warrants</w:t>
            </w:r>
          </w:p>
        </w:tc>
        <w:tc>
          <w:tcPr>
            <w:tcW w:w="260" w:type="dxa"/>
            <w:vAlign w:val="bottom"/>
            <w:tcBorders>
              <w:bottom w:val="single" w:sz="8" w:color="D1EFFA"/>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placement agent</w:t>
            </w:r>
          </w:p>
        </w:tc>
        <w:tc>
          <w:tcPr>
            <w:tcW w:w="100" w:type="dxa"/>
            <w:vAlign w:val="bottom"/>
            <w:tcBorders>
              <w:bottom w:val="single" w:sz="8" w:color="D1EF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D1EFFA"/>
          </w:tcPr>
          <w:p>
            <w:pPr>
              <w:spacing w:after="0"/>
              <w:rPr>
                <w:sz w:val="20"/>
                <w:szCs w:val="20"/>
                <w:color w:val="auto"/>
              </w:rPr>
            </w:pPr>
            <w:r>
              <w:rPr>
                <w:rFonts w:ascii="Arial" w:cs="Arial" w:eastAsia="Arial" w:hAnsi="Arial"/>
                <w:sz w:val="17"/>
                <w:szCs w:val="17"/>
                <w:color w:val="auto"/>
              </w:rPr>
              <w:t>Balance as of December 31, 2019</w:t>
            </w:r>
          </w:p>
        </w:tc>
        <w:tc>
          <w:tcPr>
            <w:tcW w:w="1160" w:type="dxa"/>
            <w:vAlign w:val="bottom"/>
            <w:shd w:val="clear" w:color="auto" w:fill="D1EFFA"/>
          </w:tcPr>
          <w:p>
            <w:pPr>
              <w:jc w:val="right"/>
              <w:spacing w:after="0"/>
              <w:rPr>
                <w:sz w:val="20"/>
                <w:szCs w:val="20"/>
                <w:color w:val="auto"/>
              </w:rPr>
            </w:pPr>
            <w:r>
              <w:rPr>
                <w:rFonts w:ascii="Arial" w:cs="Arial" w:eastAsia="Arial" w:hAnsi="Arial"/>
                <w:sz w:val="17"/>
                <w:szCs w:val="17"/>
                <w:color w:val="auto"/>
              </w:rPr>
              <w:t>191,617</w:t>
            </w:r>
          </w:p>
        </w:tc>
        <w:tc>
          <w:tcPr>
            <w:tcW w:w="120" w:type="dxa"/>
            <w:vAlign w:val="bottom"/>
            <w:shd w:val="clear" w:color="auto" w:fill="D1EFFA"/>
          </w:tcPr>
          <w:p>
            <w:pPr>
              <w:spacing w:after="0"/>
              <w:rPr>
                <w:sz w:val="18"/>
                <w:szCs w:val="18"/>
                <w:color w:val="auto"/>
              </w:rPr>
            </w:pPr>
          </w:p>
        </w:tc>
        <w:tc>
          <w:tcPr>
            <w:tcW w:w="120" w:type="dxa"/>
            <w:vAlign w:val="bottom"/>
            <w:shd w:val="clear" w:color="auto" w:fill="D1EFFA"/>
          </w:tcPr>
          <w:p>
            <w:pPr>
              <w:spacing w:after="0"/>
              <w:rPr>
                <w:sz w:val="18"/>
                <w:szCs w:val="18"/>
                <w:color w:val="auto"/>
              </w:rPr>
            </w:pPr>
          </w:p>
        </w:tc>
        <w:tc>
          <w:tcPr>
            <w:tcW w:w="1160" w:type="dxa"/>
            <w:vAlign w:val="bottom"/>
            <w:shd w:val="clear" w:color="auto" w:fill="D1EFFA"/>
          </w:tcPr>
          <w:p>
            <w:pPr>
              <w:jc w:val="right"/>
              <w:spacing w:after="0"/>
              <w:rPr>
                <w:sz w:val="20"/>
                <w:szCs w:val="20"/>
                <w:color w:val="auto"/>
              </w:rPr>
            </w:pPr>
            <w:r>
              <w:rPr>
                <w:rFonts w:ascii="Arial" w:cs="Arial" w:eastAsia="Arial" w:hAnsi="Arial"/>
                <w:sz w:val="17"/>
                <w:szCs w:val="17"/>
                <w:color w:val="auto"/>
              </w:rPr>
              <w:t>191,617</w:t>
            </w:r>
          </w:p>
        </w:tc>
        <w:tc>
          <w:tcPr>
            <w:tcW w:w="100" w:type="dxa"/>
            <w:vAlign w:val="bottom"/>
            <w:shd w:val="clear" w:color="auto" w:fill="D1EFFA"/>
          </w:tcPr>
          <w:p>
            <w:pPr>
              <w:spacing w:after="0"/>
              <w:rPr>
                <w:sz w:val="18"/>
                <w:szCs w:val="18"/>
                <w:color w:val="auto"/>
              </w:rPr>
            </w:pPr>
          </w:p>
        </w:tc>
        <w:tc>
          <w:tcPr>
            <w:tcW w:w="140" w:type="dxa"/>
            <w:vAlign w:val="bottom"/>
            <w:shd w:val="clear" w:color="auto" w:fill="D1EFFA"/>
          </w:tcPr>
          <w:p>
            <w:pPr>
              <w:spacing w:after="0"/>
              <w:rPr>
                <w:sz w:val="18"/>
                <w:szCs w:val="18"/>
                <w:color w:val="auto"/>
              </w:rPr>
            </w:pPr>
          </w:p>
        </w:tc>
        <w:tc>
          <w:tcPr>
            <w:tcW w:w="1160" w:type="dxa"/>
            <w:vAlign w:val="bottom"/>
            <w:shd w:val="clear" w:color="auto" w:fill="D1EFFA"/>
          </w:tcPr>
          <w:p>
            <w:pPr>
              <w:jc w:val="right"/>
              <w:spacing w:after="0"/>
              <w:rPr>
                <w:sz w:val="20"/>
                <w:szCs w:val="20"/>
                <w:color w:val="auto"/>
              </w:rPr>
            </w:pPr>
            <w:r>
              <w:rPr>
                <w:rFonts w:ascii="Arial" w:cs="Arial" w:eastAsia="Arial" w:hAnsi="Arial"/>
                <w:sz w:val="17"/>
                <w:szCs w:val="17"/>
                <w:color w:val="auto"/>
              </w:rPr>
              <w:t>9,581</w:t>
            </w:r>
          </w:p>
        </w:tc>
        <w:tc>
          <w:tcPr>
            <w:tcW w:w="100" w:type="dxa"/>
            <w:vAlign w:val="bottom"/>
            <w:shd w:val="clear" w:color="auto" w:fill="D1EFFA"/>
          </w:tcPr>
          <w:p>
            <w:pPr>
              <w:spacing w:after="0"/>
              <w:rPr>
                <w:sz w:val="18"/>
                <w:szCs w:val="18"/>
                <w:color w:val="auto"/>
              </w:rPr>
            </w:pPr>
          </w:p>
        </w:tc>
        <w:tc>
          <w:tcPr>
            <w:tcW w:w="160" w:type="dxa"/>
            <w:vAlign w:val="bottom"/>
            <w:shd w:val="clear" w:color="auto" w:fill="D1EFFA"/>
          </w:tcPr>
          <w:p>
            <w:pPr>
              <w:spacing w:after="0"/>
              <w:rPr>
                <w:sz w:val="18"/>
                <w:szCs w:val="18"/>
                <w:color w:val="auto"/>
              </w:rPr>
            </w:pPr>
          </w:p>
        </w:tc>
        <w:tc>
          <w:tcPr>
            <w:tcW w:w="1420" w:type="dxa"/>
            <w:vAlign w:val="bottom"/>
            <w:gridSpan w:val="2"/>
            <w:shd w:val="clear" w:color="auto" w:fill="D1EFFA"/>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gridSpan w:val="3"/>
            <w:shd w:val="clear" w:color="auto" w:fill="D1EFFA"/>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D1EFFA"/>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Arial" w:cs="Arial" w:eastAsia="Arial" w:hAnsi="Arial"/>
                <w:sz w:val="17"/>
                <w:szCs w:val="17"/>
                <w:color w:val="auto"/>
              </w:rPr>
              <w:t>Issued</w:t>
            </w:r>
          </w:p>
        </w:tc>
        <w:tc>
          <w:tcPr>
            <w:tcW w:w="14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383,235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0"/>
        </w:trPr>
        <w:tc>
          <w:tcPr>
            <w:tcW w:w="3360" w:type="dxa"/>
            <w:vAlign w:val="bottom"/>
            <w:shd w:val="clear" w:color="auto" w:fill="D1EFFA"/>
          </w:tcPr>
          <w:p>
            <w:pPr>
              <w:spacing w:after="0"/>
              <w:rPr>
                <w:sz w:val="20"/>
                <w:szCs w:val="20"/>
                <w:color w:val="auto"/>
              </w:rPr>
            </w:pPr>
            <w:r>
              <w:rPr>
                <w:rFonts w:ascii="Arial" w:cs="Arial" w:eastAsia="Arial" w:hAnsi="Arial"/>
                <w:sz w:val="17"/>
                <w:szCs w:val="17"/>
                <w:color w:val="auto"/>
              </w:rPr>
              <w:t>Exercised</w:t>
            </w:r>
          </w:p>
        </w:tc>
        <w:tc>
          <w:tcPr>
            <w:tcW w:w="1280" w:type="dxa"/>
            <w:vAlign w:val="bottom"/>
            <w:gridSpan w:val="2"/>
            <w:shd w:val="clear" w:color="auto" w:fill="D1EFFA"/>
          </w:tcPr>
          <w:p>
            <w:pPr>
              <w:jc w:val="right"/>
              <w:ind w:right="60"/>
              <w:spacing w:after="0"/>
              <w:rPr>
                <w:sz w:val="20"/>
                <w:szCs w:val="20"/>
                <w:color w:val="auto"/>
              </w:rPr>
            </w:pPr>
            <w:r>
              <w:rPr>
                <w:rFonts w:ascii="Arial" w:cs="Arial" w:eastAsia="Arial" w:hAnsi="Arial"/>
                <w:sz w:val="17"/>
                <w:szCs w:val="17"/>
                <w:color w:val="auto"/>
              </w:rPr>
              <w:t>(191,617)</w:t>
            </w:r>
          </w:p>
        </w:tc>
        <w:tc>
          <w:tcPr>
            <w:tcW w:w="120" w:type="dxa"/>
            <w:vAlign w:val="bottom"/>
            <w:shd w:val="clear" w:color="auto" w:fill="D1EFFA"/>
          </w:tcPr>
          <w:p>
            <w:pPr>
              <w:spacing w:after="0"/>
              <w:rPr>
                <w:sz w:val="19"/>
                <w:szCs w:val="19"/>
                <w:color w:val="auto"/>
              </w:rPr>
            </w:pPr>
          </w:p>
        </w:tc>
        <w:tc>
          <w:tcPr>
            <w:tcW w:w="1260" w:type="dxa"/>
            <w:vAlign w:val="bottom"/>
            <w:gridSpan w:val="2"/>
            <w:shd w:val="clear" w:color="auto" w:fill="D1EFFA"/>
          </w:tcPr>
          <w:p>
            <w:pPr>
              <w:jc w:val="right"/>
              <w:ind w:right="40"/>
              <w:spacing w:after="0"/>
              <w:rPr>
                <w:sz w:val="20"/>
                <w:szCs w:val="20"/>
                <w:color w:val="auto"/>
              </w:rPr>
            </w:pPr>
            <w:r>
              <w:rPr>
                <w:rFonts w:ascii="Arial" w:cs="Arial" w:eastAsia="Arial" w:hAnsi="Arial"/>
                <w:sz w:val="17"/>
                <w:szCs w:val="17"/>
                <w:color w:val="auto"/>
              </w:rPr>
              <w:t>(191,617)</w:t>
            </w:r>
          </w:p>
        </w:tc>
        <w:tc>
          <w:tcPr>
            <w:tcW w:w="140" w:type="dxa"/>
            <w:vAlign w:val="bottom"/>
            <w:shd w:val="clear" w:color="auto" w:fill="D1EFFA"/>
          </w:tcPr>
          <w:p>
            <w:pPr>
              <w:spacing w:after="0"/>
              <w:rPr>
                <w:sz w:val="19"/>
                <w:szCs w:val="19"/>
                <w:color w:val="auto"/>
              </w:rPr>
            </w:pPr>
          </w:p>
        </w:tc>
        <w:tc>
          <w:tcPr>
            <w:tcW w:w="1420" w:type="dxa"/>
            <w:vAlign w:val="bottom"/>
            <w:gridSpan w:val="3"/>
            <w:shd w:val="clear" w:color="auto" w:fill="D1EFFA"/>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D1EFFA"/>
          </w:tcPr>
          <w:p>
            <w:pPr>
              <w:jc w:val="right"/>
              <w:ind w:right="200"/>
              <w:spacing w:after="0"/>
              <w:rPr>
                <w:sz w:val="20"/>
                <w:szCs w:val="20"/>
                <w:color w:val="auto"/>
              </w:rPr>
            </w:pPr>
            <w:r>
              <w:rPr>
                <w:rFonts w:ascii="Arial" w:cs="Arial" w:eastAsia="Arial" w:hAnsi="Arial"/>
                <w:sz w:val="17"/>
                <w:szCs w:val="17"/>
                <w:color w:val="auto"/>
              </w:rPr>
              <w:t>(64,171)</w:t>
            </w:r>
          </w:p>
        </w:tc>
        <w:tc>
          <w:tcPr>
            <w:tcW w:w="1280" w:type="dxa"/>
            <w:vAlign w:val="bottom"/>
            <w:gridSpan w:val="2"/>
            <w:shd w:val="clear" w:color="auto" w:fill="D1EFFA"/>
          </w:tcPr>
          <w:p>
            <w:pPr>
              <w:jc w:val="right"/>
              <w:ind w:right="40"/>
              <w:spacing w:after="0"/>
              <w:rPr>
                <w:sz w:val="20"/>
                <w:szCs w:val="20"/>
                <w:color w:val="auto"/>
              </w:rPr>
            </w:pPr>
            <w:r>
              <w:rPr>
                <w:rFonts w:ascii="Arial" w:cs="Arial" w:eastAsia="Arial" w:hAnsi="Arial"/>
                <w:sz w:val="17"/>
                <w:szCs w:val="17"/>
                <w:color w:val="auto"/>
              </w:rPr>
              <w:t>(9,985)</w:t>
            </w:r>
          </w:p>
        </w:tc>
        <w:tc>
          <w:tcPr>
            <w:tcW w:w="120" w:type="dxa"/>
            <w:vAlign w:val="bottom"/>
            <w:shd w:val="clear" w:color="auto" w:fill="D1EFFA"/>
          </w:tcPr>
          <w:p>
            <w:pPr>
              <w:spacing w:after="0"/>
              <w:rPr>
                <w:sz w:val="19"/>
                <w:szCs w:val="19"/>
                <w:color w:val="auto"/>
              </w:rPr>
            </w:pPr>
          </w:p>
        </w:tc>
        <w:tc>
          <w:tcPr>
            <w:tcW w:w="940" w:type="dxa"/>
            <w:vAlign w:val="bottom"/>
            <w:shd w:val="clear" w:color="auto" w:fill="D1EFFA"/>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18"/>
        </w:trPr>
        <w:tc>
          <w:tcPr>
            <w:tcW w:w="3360" w:type="dxa"/>
            <w:vAlign w:val="bottom"/>
            <w:tcBorders>
              <w:bottom w:val="single" w:sz="8" w:color="D1EFFA"/>
            </w:tcBorders>
          </w:tcPr>
          <w:p>
            <w:pPr>
              <w:spacing w:after="0"/>
              <w:rPr>
                <w:sz w:val="20"/>
                <w:szCs w:val="20"/>
                <w:color w:val="auto"/>
              </w:rPr>
            </w:pPr>
            <w:r>
              <w:rPr>
                <w:rFonts w:ascii="Arial" w:cs="Arial" w:eastAsia="Arial" w:hAnsi="Arial"/>
                <w:sz w:val="17"/>
                <w:szCs w:val="17"/>
                <w:color w:val="auto"/>
              </w:rPr>
              <w:t>Cancelled/Expired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D1EFFA"/>
            </w:tcBorders>
            <w:gridSpan w:val="2"/>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D1EFFA"/>
            </w:tcBorders>
            <w:gridSpan w:val="2"/>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D1EFFA"/>
            </w:tcBorders>
            <w:gridSpan w:val="2"/>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D1EFFA"/>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D1EFFA"/>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D1EFFA"/>
          </w:tcPr>
          <w:p>
            <w:pPr>
              <w:spacing w:after="0"/>
              <w:rPr>
                <w:sz w:val="20"/>
                <w:szCs w:val="20"/>
                <w:color w:val="auto"/>
              </w:rPr>
            </w:pPr>
            <w:r>
              <w:rPr>
                <w:rFonts w:ascii="Arial" w:cs="Arial" w:eastAsia="Arial" w:hAnsi="Arial"/>
                <w:sz w:val="17"/>
                <w:szCs w:val="17"/>
                <w:color w:val="auto"/>
              </w:rPr>
              <w:t>Balance as of December 31, 2020</w:t>
            </w:r>
          </w:p>
        </w:tc>
        <w:tc>
          <w:tcPr>
            <w:tcW w:w="1400" w:type="dxa"/>
            <w:vAlign w:val="bottom"/>
            <w:gridSpan w:val="3"/>
            <w:shd w:val="clear" w:color="auto" w:fill="D1EFFA"/>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gridSpan w:val="3"/>
            <w:shd w:val="clear" w:color="auto" w:fill="D1EFFA"/>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1EFFA"/>
          </w:tcPr>
          <w:p>
            <w:pPr>
              <w:jc w:val="right"/>
              <w:spacing w:after="0"/>
              <w:rPr>
                <w:sz w:val="20"/>
                <w:szCs w:val="20"/>
                <w:color w:val="auto"/>
              </w:rPr>
            </w:pPr>
            <w:r>
              <w:rPr>
                <w:rFonts w:ascii="Arial" w:cs="Arial" w:eastAsia="Arial" w:hAnsi="Arial"/>
                <w:sz w:val="17"/>
                <w:szCs w:val="17"/>
                <w:color w:val="auto"/>
              </w:rPr>
              <w:t>9,581</w:t>
            </w:r>
          </w:p>
        </w:tc>
        <w:tc>
          <w:tcPr>
            <w:tcW w:w="100" w:type="dxa"/>
            <w:vAlign w:val="bottom"/>
            <w:shd w:val="clear" w:color="auto" w:fill="D1EFFA"/>
          </w:tcPr>
          <w:p>
            <w:pPr>
              <w:spacing w:after="0"/>
              <w:rPr>
                <w:sz w:val="18"/>
                <w:szCs w:val="18"/>
                <w:color w:val="auto"/>
              </w:rPr>
            </w:pPr>
          </w:p>
        </w:tc>
        <w:tc>
          <w:tcPr>
            <w:tcW w:w="160" w:type="dxa"/>
            <w:vAlign w:val="bottom"/>
            <w:shd w:val="clear" w:color="auto" w:fill="D1EFFA"/>
          </w:tcPr>
          <w:p>
            <w:pPr>
              <w:spacing w:after="0"/>
              <w:rPr>
                <w:sz w:val="18"/>
                <w:szCs w:val="18"/>
                <w:color w:val="auto"/>
              </w:rPr>
            </w:pPr>
          </w:p>
        </w:tc>
        <w:tc>
          <w:tcPr>
            <w:tcW w:w="1160" w:type="dxa"/>
            <w:vAlign w:val="bottom"/>
            <w:shd w:val="clear" w:color="auto" w:fill="D1EFFA"/>
          </w:tcPr>
          <w:p>
            <w:pPr>
              <w:jc w:val="right"/>
              <w:spacing w:after="0"/>
              <w:rPr>
                <w:sz w:val="20"/>
                <w:szCs w:val="20"/>
                <w:color w:val="auto"/>
              </w:rPr>
            </w:pPr>
            <w:r>
              <w:rPr>
                <w:rFonts w:ascii="Arial" w:cs="Arial" w:eastAsia="Arial" w:hAnsi="Arial"/>
                <w:sz w:val="17"/>
                <w:szCs w:val="17"/>
                <w:color w:val="auto"/>
              </w:rPr>
              <w:t>319,064</w:t>
            </w:r>
          </w:p>
        </w:tc>
        <w:tc>
          <w:tcPr>
            <w:tcW w:w="260" w:type="dxa"/>
            <w:vAlign w:val="bottom"/>
            <w:shd w:val="clear" w:color="auto" w:fill="D1EFFA"/>
          </w:tcPr>
          <w:p>
            <w:pPr>
              <w:spacing w:after="0"/>
              <w:rPr>
                <w:sz w:val="18"/>
                <w:szCs w:val="18"/>
                <w:color w:val="auto"/>
              </w:rPr>
            </w:pPr>
          </w:p>
        </w:tc>
        <w:tc>
          <w:tcPr>
            <w:tcW w:w="1180" w:type="dxa"/>
            <w:vAlign w:val="bottom"/>
            <w:shd w:val="clear" w:color="auto" w:fill="D1EFFA"/>
          </w:tcPr>
          <w:p>
            <w:pPr>
              <w:jc w:val="right"/>
              <w:spacing w:after="0"/>
              <w:rPr>
                <w:sz w:val="20"/>
                <w:szCs w:val="20"/>
                <w:color w:val="auto"/>
              </w:rPr>
            </w:pPr>
            <w:r>
              <w:rPr>
                <w:rFonts w:ascii="Arial" w:cs="Arial" w:eastAsia="Arial" w:hAnsi="Arial"/>
                <w:sz w:val="17"/>
                <w:szCs w:val="17"/>
                <w:color w:val="auto"/>
              </w:rPr>
              <w:t>9,177</w:t>
            </w:r>
          </w:p>
        </w:tc>
        <w:tc>
          <w:tcPr>
            <w:tcW w:w="100" w:type="dxa"/>
            <w:vAlign w:val="bottom"/>
            <w:shd w:val="clear" w:color="auto" w:fill="D1EFFA"/>
          </w:tcPr>
          <w:p>
            <w:pPr>
              <w:spacing w:after="0"/>
              <w:rPr>
                <w:sz w:val="18"/>
                <w:szCs w:val="18"/>
                <w:color w:val="auto"/>
              </w:rPr>
            </w:pPr>
          </w:p>
        </w:tc>
        <w:tc>
          <w:tcPr>
            <w:tcW w:w="120" w:type="dxa"/>
            <w:vAlign w:val="bottom"/>
            <w:shd w:val="clear" w:color="auto" w:fill="D1EFFA"/>
          </w:tcPr>
          <w:p>
            <w:pPr>
              <w:spacing w:after="0"/>
              <w:rPr>
                <w:sz w:val="18"/>
                <w:szCs w:val="18"/>
                <w:color w:val="auto"/>
              </w:rPr>
            </w:pPr>
          </w:p>
        </w:tc>
        <w:tc>
          <w:tcPr>
            <w:tcW w:w="940" w:type="dxa"/>
            <w:vAlign w:val="bottom"/>
            <w:shd w:val="clear" w:color="auto" w:fill="D1EFFA"/>
          </w:tcPr>
          <w:p>
            <w:pPr>
              <w:jc w:val="right"/>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0"/>
        </w:trPr>
        <w:tc>
          <w:tcPr>
            <w:tcW w:w="3360" w:type="dxa"/>
            <w:vAlign w:val="bottom"/>
            <w:tcBorders>
              <w:top w:val="single" w:sz="8" w:color="D1EFF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1EFFA"/>
            </w:tcBorders>
          </w:tcPr>
          <w:p>
            <w:pPr>
              <w:spacing w:after="0" w:line="20" w:lineRule="exact"/>
              <w:rPr>
                <w:sz w:val="1"/>
                <w:szCs w:val="1"/>
                <w:color w:val="auto"/>
              </w:rPr>
            </w:pPr>
          </w:p>
        </w:tc>
        <w:tc>
          <w:tcPr>
            <w:tcW w:w="120" w:type="dxa"/>
            <w:vAlign w:val="bottom"/>
            <w:tcBorders>
              <w:top w:val="single" w:sz="8" w:color="D1EFF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EFFA"/>
            </w:tcBorders>
          </w:tcPr>
          <w:p>
            <w:pPr>
              <w:spacing w:after="0" w:line="20" w:lineRule="exact"/>
              <w:rPr>
                <w:sz w:val="1"/>
                <w:szCs w:val="1"/>
                <w:color w:val="auto"/>
              </w:rPr>
            </w:pPr>
          </w:p>
        </w:tc>
        <w:tc>
          <w:tcPr>
            <w:tcW w:w="140" w:type="dxa"/>
            <w:vAlign w:val="bottom"/>
            <w:tcBorders>
              <w:top w:val="single" w:sz="8" w:color="D1EFF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EFFA"/>
            </w:tcBorders>
          </w:tcPr>
          <w:p>
            <w:pPr>
              <w:spacing w:after="0" w:line="20" w:lineRule="exact"/>
              <w:rPr>
                <w:sz w:val="1"/>
                <w:szCs w:val="1"/>
                <w:color w:val="auto"/>
              </w:rPr>
            </w:pPr>
          </w:p>
        </w:tc>
        <w:tc>
          <w:tcPr>
            <w:tcW w:w="160" w:type="dxa"/>
            <w:vAlign w:val="bottom"/>
            <w:tcBorders>
              <w:top w:val="single" w:sz="8" w:color="D1EFFA"/>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1EFFA"/>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EFFA"/>
            </w:tcBorders>
          </w:tcPr>
          <w:p>
            <w:pPr>
              <w:spacing w:after="0" w:line="20" w:lineRule="exact"/>
              <w:rPr>
                <w:sz w:val="1"/>
                <w:szCs w:val="1"/>
                <w:color w:val="auto"/>
              </w:rPr>
            </w:pPr>
          </w:p>
        </w:tc>
        <w:tc>
          <w:tcPr>
            <w:tcW w:w="120" w:type="dxa"/>
            <w:vAlign w:val="bottom"/>
            <w:tcBorders>
              <w:top w:val="single" w:sz="8" w:color="D1EFFA"/>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Anelixis Acquisition</w:t>
      </w:r>
    </w:p>
    <w:p>
      <w:pPr>
        <w:spacing w:after="0" w:line="217" w:lineRule="exact"/>
        <w:rPr>
          <w:sz w:val="20"/>
          <w:szCs w:val="20"/>
          <w:color w:val="auto"/>
        </w:rPr>
      </w:pPr>
    </w:p>
    <w:p>
      <w:pPr>
        <w:ind w:right="160" w:firstLine="546"/>
        <w:spacing w:after="0" w:line="275" w:lineRule="auto"/>
        <w:rPr>
          <w:sz w:val="20"/>
          <w:szCs w:val="20"/>
          <w:color w:val="auto"/>
        </w:rPr>
      </w:pPr>
      <w:r>
        <w:rPr>
          <w:rFonts w:ascii="Arial" w:cs="Arial" w:eastAsia="Arial" w:hAnsi="Arial"/>
          <w:sz w:val="16"/>
          <w:szCs w:val="16"/>
          <w:color w:val="auto"/>
        </w:rPr>
        <w:t>On September 14, 2020, the Company acquired Anelixis, after which Anelixis became a wholly-owned subsidiary of the Company. Under the terms of the acquisition, the Company issued to the stockholders of Anelixis 175,488 shares of Company common stock and 140,026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In addition to the common stock and preferred stock issued in connection with the acquisition of Anelixis, certain outstanding warrants issued by Anelixis were not settled upon completion of the acquisition, and instead were assumed and then replaced with Company warrants. As part of the acquisition, the Company assumed and replaced options for the purchase of 1,346,398 shares of common stock with an estimated total fair value of approximately $6.0 million and 55,583.875 warrants for Series X</w:t>
      </w:r>
      <w:r>
        <w:rPr>
          <w:rFonts w:ascii="Arial" w:cs="Arial" w:eastAsia="Arial" w:hAnsi="Arial"/>
          <w:sz w:val="13"/>
          <w:szCs w:val="13"/>
          <w:color w:val="auto"/>
        </w:rPr>
        <w:t>1</w:t>
      </w:r>
      <w:r>
        <w:rPr>
          <w:rFonts w:ascii="Arial" w:cs="Arial" w:eastAsia="Arial" w:hAnsi="Arial"/>
          <w:sz w:val="16"/>
          <w:szCs w:val="16"/>
          <w:color w:val="auto"/>
        </w:rPr>
        <w:t xml:space="preserve"> Preferred Stock with an estimated fair value of approximately $12.9 million. The estimated fair value of the assumed and replaced options and warrants attributed to pre-merger services were approximately $3.0 million and $12.9 million, respectively, and is included in other consideration amounts transferred and added to goodwill (see Note 10).</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340"/>
          </w:cols>
          <w:pgMar w:left="320" w:top="462" w:right="239" w:bottom="1440" w:gutter="0" w:footer="0" w:header="0"/>
        </w:sectPr>
      </w:pPr>
    </w:p>
    <w:bookmarkStart w:id="86" w:name="page87"/>
    <w:bookmarkEnd w:id="86"/>
    <w:p>
      <w:pPr>
        <w:jc w:val="both"/>
        <w:ind w:right="40" w:firstLine="546"/>
        <w:spacing w:after="0" w:line="290" w:lineRule="auto"/>
        <w:rPr>
          <w:sz w:val="20"/>
          <w:szCs w:val="20"/>
          <w:color w:val="auto"/>
        </w:rPr>
      </w:pPr>
      <w:r>
        <w:rPr>
          <w:rFonts w:ascii="Arial" w:cs="Arial" w:eastAsia="Arial" w:hAnsi="Arial"/>
          <w:sz w:val="16"/>
          <w:szCs w:val="16"/>
          <w:color w:val="auto"/>
        </w:rPr>
        <w:t>On December 18, 2020, at the Special Meeting, the Company’s stockholders approved the issuance of the Company’s common stock, upon conversion of the Company’s Series X</w:t>
      </w:r>
      <w:r>
        <w:rPr>
          <w:rFonts w:ascii="Arial" w:cs="Arial" w:eastAsia="Arial" w:hAnsi="Arial"/>
          <w:sz w:val="13"/>
          <w:szCs w:val="13"/>
          <w:color w:val="auto"/>
        </w:rPr>
        <w:t>1</w:t>
      </w:r>
      <w:r>
        <w:rPr>
          <w:rFonts w:ascii="Arial" w:cs="Arial" w:eastAsia="Arial" w:hAnsi="Arial"/>
          <w:sz w:val="16"/>
          <w:szCs w:val="16"/>
          <w:color w:val="auto"/>
        </w:rPr>
        <w:t xml:space="preserve"> Preferred Stock, par value $0.001 per share, issued in September 2020. As such, the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underlying the assumed and replaced warrants in connection with the Anelixis acquisition were converted into shares of Eledon common stock.</w:t>
      </w:r>
    </w:p>
    <w:p>
      <w:pPr>
        <w:spacing w:after="0" w:line="157" w:lineRule="exact"/>
        <w:rPr>
          <w:sz w:val="20"/>
          <w:szCs w:val="20"/>
          <w:color w:val="auto"/>
        </w:rPr>
      </w:pPr>
    </w:p>
    <w:p>
      <w:pPr>
        <w:jc w:val="both"/>
        <w:ind w:right="80" w:firstLine="546"/>
        <w:spacing w:after="0" w:line="267" w:lineRule="auto"/>
        <w:rPr>
          <w:sz w:val="20"/>
          <w:szCs w:val="20"/>
          <w:color w:val="auto"/>
        </w:rPr>
      </w:pPr>
      <w:r>
        <w:rPr>
          <w:rFonts w:ascii="Arial" w:cs="Arial" w:eastAsia="Arial" w:hAnsi="Arial"/>
          <w:sz w:val="17"/>
          <w:szCs w:val="17"/>
          <w:color w:val="auto"/>
        </w:rPr>
        <w:t>As of December 31, 2020, 55,853.875 warrants were exercisable into Series X</w:t>
      </w:r>
      <w:r>
        <w:rPr>
          <w:rFonts w:ascii="Arial" w:cs="Arial" w:eastAsia="Arial" w:hAnsi="Arial"/>
          <w:sz w:val="14"/>
          <w:szCs w:val="14"/>
          <w:color w:val="auto"/>
        </w:rPr>
        <w:t>1</w:t>
      </w:r>
      <w:r>
        <w:rPr>
          <w:rFonts w:ascii="Arial" w:cs="Arial" w:eastAsia="Arial" w:hAnsi="Arial"/>
          <w:sz w:val="17"/>
          <w:szCs w:val="17"/>
          <w:color w:val="auto"/>
        </w:rPr>
        <w:t xml:space="preserve"> Preferred Stock. The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underlying the assumed and replaced warrants in connection with the Anelixis acquisition are expected to be converted into shares of Eledon common stock in the second fiscal quarter of 2021.</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shows the warrant activity:</w:t>
      </w:r>
    </w:p>
    <w:p>
      <w:pPr>
        <w:spacing w:after="0" w:line="233" w:lineRule="exact"/>
        <w:rPr>
          <w:sz w:val="20"/>
          <w:szCs w:val="20"/>
          <w:color w:val="auto"/>
        </w:rPr>
      </w:pPr>
    </w:p>
    <w:tbl>
      <w:tblPr>
        <w:tblLayout w:type="fixed"/>
        <w:tblInd w:w="148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4"/>
                <w:szCs w:val="14"/>
                <w:b w:val="1"/>
                <w:bCs w:val="1"/>
                <w:color w:val="auto"/>
              </w:rPr>
              <w:t>Rollforward of Warrant Activity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gridSpan w:val="2"/>
          </w:tcPr>
          <w:p>
            <w:pPr>
              <w:ind w:left="200"/>
              <w:spacing w:after="0" w:line="125" w:lineRule="exact"/>
              <w:rPr>
                <w:sz w:val="20"/>
                <w:szCs w:val="20"/>
                <w:color w:val="auto"/>
              </w:rPr>
            </w:pPr>
            <w:r>
              <w:rPr>
                <w:rFonts w:ascii="Arial" w:cs="Arial" w:eastAsia="Arial" w:hAnsi="Arial"/>
                <w:sz w:val="14"/>
                <w:szCs w:val="14"/>
                <w:b w:val="1"/>
                <w:bCs w:val="1"/>
                <w:color w:val="auto"/>
              </w:rPr>
              <w:t>Warrants assumed and</w:t>
            </w:r>
          </w:p>
        </w:tc>
        <w:tc>
          <w:tcPr>
            <w:tcW w:w="164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620" w:type="dxa"/>
            <w:vAlign w:val="bottom"/>
            <w:tcBorders>
              <w:bottom w:val="single" w:sz="8" w:color="BCE2F0"/>
            </w:tcBorders>
          </w:tcPr>
          <w:p>
            <w:pPr>
              <w:spacing w:after="0"/>
              <w:rPr>
                <w:sz w:val="14"/>
                <w:szCs w:val="14"/>
                <w:color w:val="auto"/>
              </w:rPr>
            </w:pPr>
          </w:p>
        </w:tc>
        <w:tc>
          <w:tcPr>
            <w:tcW w:w="60" w:type="dxa"/>
            <w:vAlign w:val="bottom"/>
            <w:tcBorders>
              <w:bottom w:val="single" w:sz="8" w:color="BCE2F0"/>
            </w:tcBorders>
          </w:tcPr>
          <w:p>
            <w:pPr>
              <w:spacing w:after="0"/>
              <w:rPr>
                <w:sz w:val="14"/>
                <w:szCs w:val="14"/>
                <w:color w:val="auto"/>
              </w:rPr>
            </w:pPr>
          </w:p>
        </w:tc>
        <w:tc>
          <w:tcPr>
            <w:tcW w:w="1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replaced in acquisition</w:t>
            </w:r>
          </w:p>
        </w:tc>
        <w:tc>
          <w:tcPr>
            <w:tcW w:w="120" w:type="dxa"/>
            <w:vAlign w:val="bottom"/>
            <w:tcBorders>
              <w:bottom w:val="single" w:sz="8" w:color="BCE2F0"/>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BCE2F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BCE2F0"/>
          </w:tcPr>
          <w:p>
            <w:pPr>
              <w:spacing w:after="0"/>
              <w:rPr>
                <w:sz w:val="20"/>
                <w:szCs w:val="20"/>
                <w:color w:val="auto"/>
              </w:rPr>
            </w:pPr>
            <w:r>
              <w:rPr>
                <w:rFonts w:ascii="Arial" w:cs="Arial" w:eastAsia="Arial" w:hAnsi="Arial"/>
                <w:sz w:val="17"/>
                <w:szCs w:val="17"/>
                <w:color w:val="auto"/>
              </w:rPr>
              <w:t>Balance as of December 31, 2019</w:t>
            </w:r>
          </w:p>
        </w:tc>
        <w:tc>
          <w:tcPr>
            <w:tcW w:w="1900" w:type="dxa"/>
            <w:vAlign w:val="bottom"/>
            <w:gridSpan w:val="2"/>
            <w:shd w:val="clear" w:color="auto" w:fill="BCE2F0"/>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BCE2F0"/>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80" w:type="dxa"/>
            <w:vAlign w:val="bottom"/>
            <w:gridSpan w:val="2"/>
          </w:tcPr>
          <w:p>
            <w:pPr>
              <w:spacing w:after="0"/>
              <w:rPr>
                <w:sz w:val="20"/>
                <w:szCs w:val="20"/>
                <w:color w:val="auto"/>
              </w:rPr>
            </w:pPr>
            <w:r>
              <w:rPr>
                <w:rFonts w:ascii="Arial" w:cs="Arial" w:eastAsia="Arial" w:hAnsi="Arial"/>
                <w:sz w:val="17"/>
                <w:szCs w:val="17"/>
                <w:color w:val="auto"/>
              </w:rPr>
              <w:t>Assumed and replaced</w:t>
            </w:r>
          </w:p>
        </w:tc>
        <w:tc>
          <w:tcPr>
            <w:tcW w:w="1780" w:type="dxa"/>
            <w:vAlign w:val="bottom"/>
          </w:tcPr>
          <w:p>
            <w:pPr>
              <w:jc w:val="right"/>
              <w:spacing w:after="0"/>
              <w:rPr>
                <w:sz w:val="20"/>
                <w:szCs w:val="20"/>
                <w:color w:val="auto"/>
              </w:rPr>
            </w:pPr>
            <w:r>
              <w:rPr>
                <w:rFonts w:ascii="Arial" w:cs="Arial" w:eastAsia="Arial" w:hAnsi="Arial"/>
                <w:sz w:val="17"/>
                <w:szCs w:val="17"/>
                <w:color w:val="auto"/>
              </w:rPr>
              <w:t>55,583.875</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55,583.875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gridSpan w:val="2"/>
            <w:shd w:val="clear" w:color="auto" w:fill="BCE2F0"/>
          </w:tcPr>
          <w:p>
            <w:pPr>
              <w:spacing w:after="0"/>
              <w:rPr>
                <w:sz w:val="20"/>
                <w:szCs w:val="20"/>
                <w:color w:val="auto"/>
              </w:rPr>
            </w:pPr>
            <w:r>
              <w:rPr>
                <w:rFonts w:ascii="Arial" w:cs="Arial" w:eastAsia="Arial" w:hAnsi="Arial"/>
                <w:sz w:val="17"/>
                <w:szCs w:val="17"/>
                <w:color w:val="auto"/>
              </w:rPr>
              <w:t>Exercised</w:t>
            </w:r>
          </w:p>
        </w:tc>
        <w:tc>
          <w:tcPr>
            <w:tcW w:w="1900" w:type="dxa"/>
            <w:vAlign w:val="bottom"/>
            <w:gridSpan w:val="2"/>
            <w:shd w:val="clear" w:color="auto" w:fill="BCE2F0"/>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BCE2F0"/>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80" w:type="dxa"/>
            <w:vAlign w:val="bottom"/>
            <w:gridSpan w:val="2"/>
          </w:tcPr>
          <w:p>
            <w:pPr>
              <w:spacing w:after="0"/>
              <w:rPr>
                <w:sz w:val="20"/>
                <w:szCs w:val="20"/>
                <w:color w:val="auto"/>
              </w:rPr>
            </w:pPr>
            <w:r>
              <w:rPr>
                <w:rFonts w:ascii="Arial" w:cs="Arial" w:eastAsia="Arial" w:hAnsi="Arial"/>
                <w:sz w:val="17"/>
                <w:szCs w:val="17"/>
                <w:color w:val="auto"/>
              </w:rPr>
              <w:t>Cancelled/Expired</w:t>
            </w: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680" w:type="dxa"/>
            <w:vAlign w:val="bottom"/>
            <w:tcBorders>
              <w:top w:val="single" w:sz="8" w:color="BCE2F0"/>
              <w:bottom w:val="single" w:sz="8" w:color="BCE2F0"/>
            </w:tcBorders>
            <w:gridSpan w:val="2"/>
            <w:shd w:val="clear" w:color="auto" w:fill="BCE2F0"/>
          </w:tcPr>
          <w:p>
            <w:pPr>
              <w:spacing w:after="0"/>
              <w:rPr>
                <w:sz w:val="20"/>
                <w:szCs w:val="20"/>
                <w:color w:val="auto"/>
              </w:rPr>
            </w:pPr>
            <w:r>
              <w:rPr>
                <w:rFonts w:ascii="Arial" w:cs="Arial" w:eastAsia="Arial" w:hAnsi="Arial"/>
                <w:sz w:val="17"/>
                <w:szCs w:val="17"/>
                <w:color w:val="auto"/>
              </w:rPr>
              <w:t>Balance as of December 31, 2020</w:t>
            </w:r>
          </w:p>
        </w:tc>
        <w:tc>
          <w:tcPr>
            <w:tcW w:w="178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7"/>
                <w:szCs w:val="17"/>
                <w:color w:val="auto"/>
              </w:rPr>
              <w:t>55,583.875</w:t>
            </w:r>
          </w:p>
        </w:tc>
        <w:tc>
          <w:tcPr>
            <w:tcW w:w="120" w:type="dxa"/>
            <w:vAlign w:val="bottom"/>
            <w:tcBorders>
              <w:top w:val="single" w:sz="8" w:color="BCE2F0"/>
              <w:bottom w:val="single" w:sz="8" w:color="BCE2F0"/>
            </w:tcBorders>
            <w:shd w:val="clear" w:color="auto" w:fill="BCE2F0"/>
          </w:tcPr>
          <w:p>
            <w:pPr>
              <w:spacing w:after="0"/>
              <w:rPr>
                <w:sz w:val="18"/>
                <w:szCs w:val="18"/>
                <w:color w:val="auto"/>
              </w:rPr>
            </w:pPr>
          </w:p>
        </w:tc>
        <w:tc>
          <w:tcPr>
            <w:tcW w:w="164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7"/>
                <w:szCs w:val="17"/>
                <w:color w:val="auto"/>
              </w:rPr>
              <w:t>55,583.875</w:t>
            </w:r>
          </w:p>
        </w:tc>
        <w:tc>
          <w:tcPr>
            <w:tcW w:w="80" w:type="dxa"/>
            <w:vAlign w:val="bottom"/>
            <w:tcBorders>
              <w:top w:val="single" w:sz="8" w:color="BCE2F0"/>
              <w:bottom w:val="single" w:sz="8" w:color="BCE2F0"/>
            </w:tcBorders>
            <w:shd w:val="clear" w:color="auto" w:fill="BCE2F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Exchange Agreement</w:t>
      </w:r>
    </w:p>
    <w:p>
      <w:pPr>
        <w:spacing w:after="0" w:line="217" w:lineRule="exact"/>
        <w:rPr>
          <w:sz w:val="20"/>
          <w:szCs w:val="20"/>
          <w:color w:val="auto"/>
        </w:rPr>
      </w:pPr>
    </w:p>
    <w:p>
      <w:pPr>
        <w:ind w:firstLine="546"/>
        <w:spacing w:after="0" w:line="258" w:lineRule="auto"/>
        <w:rPr>
          <w:sz w:val="20"/>
          <w:szCs w:val="20"/>
          <w:color w:val="auto"/>
        </w:rPr>
      </w:pPr>
      <w:r>
        <w:rPr>
          <w:rFonts w:ascii="Arial" w:cs="Arial" w:eastAsia="Arial" w:hAnsi="Arial"/>
          <w:sz w:val="17"/>
          <w:szCs w:val="17"/>
          <w:color w:val="auto"/>
        </w:rPr>
        <w:t>On February 13, 2020, the Company entered into an exchange agreement (the “Exchange Agreement”) with Biotechnology Value Fund, L.P., Biotechnology Value Fund II, L.P. and Biotechnology Value Trading Fund OS, L.P. (the “Exchanging Stockholders”), pursuant to which the Exchanging Stockholders exchanged (the “Exchange”) 210,888 shares of the Company’s common stock for 3,796 shares of newly designated Series X Convertible Preferred Stock (the “Series X Preferred Stock”). The Company agreed to reimburse the Exchanging Stockholders for their expenses in connection with the Exchange up to a total of $25,000, which was recorded as operating expense in the Company’s condensed consolidated statements of operations and comprehensive loss. The Exchange was completed on February 19, 2020.</w:t>
      </w:r>
    </w:p>
    <w:p>
      <w:pPr>
        <w:spacing w:after="0" w:line="183" w:lineRule="exact"/>
        <w:rPr>
          <w:sz w:val="20"/>
          <w:szCs w:val="20"/>
          <w:color w:val="auto"/>
        </w:rPr>
      </w:pPr>
    </w:p>
    <w:p>
      <w:pPr>
        <w:ind w:firstLine="602"/>
        <w:spacing w:after="0" w:line="293" w:lineRule="auto"/>
        <w:rPr>
          <w:sz w:val="20"/>
          <w:szCs w:val="20"/>
          <w:color w:val="auto"/>
        </w:rPr>
      </w:pPr>
      <w:r>
        <w:rPr>
          <w:rFonts w:ascii="Arial" w:cs="Arial" w:eastAsia="Arial" w:hAnsi="Arial"/>
          <w:sz w:val="15"/>
          <w:szCs w:val="15"/>
          <w:color w:val="auto"/>
        </w:rPr>
        <w:t>On February 13, 2020, in connection with the Exchange, the Company filed a Certificate of Designation setting forth the preferences, rights and limitations of the Series X Preferred Stock with the Secretary of State of the State of Delaware. The number of shares so designated shall be 10,000 and Series X Preferred Stock shall have a par value of $0.001 per share. Each share of Series X Preferred Stock will be convertible into 55.5556 shares of common stock at the option of the holder at any time; subject to certain limitations, including, that the holder will be prohibited from converting Series X Preferred Stock into common stock if, as a result of such conversion, the holder, together with its affiliates, would beneficially own a number of shares of common stock above a conversion blocker, which is initially set at 9.99% of the total common stock then issued and outstanding immediately following the conversion of such shares of Series X Preferred Stock. In the event of the Company’s liquidation, dissolution or winding up, holders of Series X Preferred Stock will participate pari passu with any distribution of proceeds to holders of common stock. Holders of Series X Preferred Stock are entitled to receive dividends on shares of Series X Preferred Stock equal (on an as-if-converted-to-common stock basis) to and in the same form as dividends actually paid on the common stock or other junior securities of the Company. Shares of Series X Preferred Stock will generally have no voting rights, except as required by law and except that the consent of a majority of the holders of the outstanding Series X Preferred Stock will be required to amend the terms of the Series X Preferred Stock.</w:t>
      </w:r>
    </w:p>
    <w:p>
      <w:pPr>
        <w:spacing w:after="0" w:line="159" w:lineRule="exact"/>
        <w:rPr>
          <w:sz w:val="20"/>
          <w:szCs w:val="20"/>
          <w:color w:val="auto"/>
        </w:rPr>
      </w:pPr>
    </w:p>
    <w:p>
      <w:pPr>
        <w:ind w:right="140" w:firstLine="602"/>
        <w:spacing w:after="0" w:line="258" w:lineRule="auto"/>
        <w:rPr>
          <w:sz w:val="20"/>
          <w:szCs w:val="20"/>
          <w:color w:val="auto"/>
        </w:rPr>
      </w:pPr>
      <w:r>
        <w:rPr>
          <w:rFonts w:ascii="Arial" w:cs="Arial" w:eastAsia="Arial" w:hAnsi="Arial"/>
          <w:sz w:val="17"/>
          <w:szCs w:val="17"/>
          <w:color w:val="auto"/>
        </w:rPr>
        <w:t>SEC Accounting Series Release No. 268</w:t>
      </w:r>
      <w:r>
        <w:rPr>
          <w:rFonts w:ascii="Arial" w:cs="Arial" w:eastAsia="Arial" w:hAnsi="Arial"/>
          <w:sz w:val="17"/>
          <w:szCs w:val="17"/>
          <w:i w:val="1"/>
          <w:iCs w:val="1"/>
          <w:color w:val="auto"/>
        </w:rPr>
        <w:t>, Presentation in Financial Statements of “Redeemable Preferred Stocks”</w:t>
      </w:r>
      <w:r>
        <w:rPr>
          <w:rFonts w:ascii="Arial" w:cs="Arial" w:eastAsia="Arial" w:hAnsi="Arial"/>
          <w:sz w:val="17"/>
          <w:szCs w:val="17"/>
          <w:color w:val="auto"/>
        </w:rPr>
        <w:t xml:space="preserve"> (“ASR 268”) requires equity instruments with redemption features that are not solely within the control of the issuer to be classified outside of permanent equity, often referred to as classification in “temporary equity”).The Company evaluated Series X Preferred Stock redemption features and concluded that there are no redemption features with the Series X Preferred Stock that are not solely within the control of the Company and permanent equity classification was appropriate. Series X Preferred Stock has two (2) separate and distinct embedded features. They are: (1) optional conversion by holder and (2) redemption put feature upon fundamental transaction.</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40"/>
          </w:cols>
          <w:pgMar w:left="320" w:top="565" w:right="439" w:bottom="1440" w:gutter="0" w:footer="0" w:header="0"/>
        </w:sectPr>
      </w:pPr>
    </w:p>
    <w:bookmarkStart w:id="87" w:name="page88"/>
    <w:bookmarkEnd w:id="87"/>
    <w:p>
      <w:pPr>
        <w:ind w:right="120" w:firstLine="602"/>
        <w:spacing w:after="0" w:line="279" w:lineRule="auto"/>
        <w:rPr>
          <w:sz w:val="20"/>
          <w:szCs w:val="20"/>
          <w:color w:val="auto"/>
        </w:rPr>
      </w:pPr>
      <w:r>
        <w:rPr>
          <w:rFonts w:ascii="Arial" w:cs="Arial" w:eastAsia="Arial" w:hAnsi="Arial"/>
          <w:sz w:val="16"/>
          <w:szCs w:val="16"/>
          <w:color w:val="auto"/>
        </w:rPr>
        <w:t xml:space="preserve">Each share of Series X Preferred Stock shall be convertible into 55.5556 shares of common stock, at the option of the holder, at any time after the date of issuance. The Company evaluated the embedded optional conversion feature in accordance with the guidance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determined it is exempt from derivative accounting as the embedded feature is deemed to be indexed to the Company’s own stock and classified in stockholder’s equity if freestanding. Further, because the conversion ratio is fixed and equal to the ratio of the original exchange of 55.5556 common stock to each share of Series X Preferred Stock, the Company concluded that there is no intrinsic value to the beneficial conversion feature.</w:t>
      </w:r>
    </w:p>
    <w:p>
      <w:pPr>
        <w:spacing w:after="0" w:line="168" w:lineRule="exact"/>
        <w:rPr>
          <w:sz w:val="20"/>
          <w:szCs w:val="20"/>
          <w:color w:val="auto"/>
        </w:rPr>
      </w:pPr>
    </w:p>
    <w:p>
      <w:pPr>
        <w:ind w:right="20" w:firstLine="602"/>
        <w:spacing w:after="0" w:line="257" w:lineRule="auto"/>
        <w:rPr>
          <w:sz w:val="20"/>
          <w:szCs w:val="20"/>
          <w:color w:val="auto"/>
        </w:rPr>
      </w:pPr>
      <w:r>
        <w:rPr>
          <w:rFonts w:ascii="Arial" w:cs="Arial" w:eastAsia="Arial" w:hAnsi="Arial"/>
          <w:sz w:val="17"/>
          <w:szCs w:val="17"/>
          <w:color w:val="auto"/>
        </w:rPr>
        <w:t xml:space="preserve">Each share of Series X Preferred Stock contains redemption put features that allow the holders of the Series X Preferred Stock the right to receive, in lieu of the right to receive conversion shares, for each conversion share that would have been issuable upon such conversion immediately prior to the occurrence of an effective change in control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Company evaluated the redemption put feature contained in each Series X Preferred Stock under the guidance of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and concluded that the embedded redemption put feature do not meet the definition of a derivative, if freestanding, under ASC 815 as net settlement could not be achieved. Accordingly, the redemption put features contained in the Series X Preferred Stock were not bifurcated and accounted for as freestanding derivative instruments.</w:t>
      </w:r>
    </w:p>
    <w:p>
      <w:pPr>
        <w:spacing w:after="0" w:line="182" w:lineRule="exact"/>
        <w:rPr>
          <w:sz w:val="20"/>
          <w:szCs w:val="20"/>
          <w:color w:val="auto"/>
        </w:rPr>
      </w:pPr>
    </w:p>
    <w:p>
      <w:pPr>
        <w:ind w:right="340" w:firstLine="602"/>
        <w:spacing w:after="0" w:line="262" w:lineRule="auto"/>
        <w:rPr>
          <w:sz w:val="20"/>
          <w:szCs w:val="20"/>
          <w:color w:val="auto"/>
        </w:rPr>
      </w:pPr>
      <w:r>
        <w:rPr>
          <w:rFonts w:ascii="Arial" w:cs="Arial" w:eastAsia="Arial" w:hAnsi="Arial"/>
          <w:sz w:val="17"/>
          <w:szCs w:val="17"/>
          <w:color w:val="auto"/>
        </w:rPr>
        <w:t>On June 1, 2020 and June 10, 2020, the Exchanging Stockholders converted a total of 3,285 shares of Series X Preferred Stock into 182,500 shares of common stock. On December 18, 2020, at the Special Meeting, the Company’s stockholders approved the issuance of the Company’s common stock, upon conversion of the Company’s remaining 511 shares of Series X Preferred Stock, par value $0.001 per share. As of December 31, 2020, no shares of Series X Preferred Stock remain outstanding.</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September 2020 Stock Purchase Agreement</w:t>
      </w:r>
    </w:p>
    <w:p>
      <w:pPr>
        <w:spacing w:after="0" w:line="153" w:lineRule="exact"/>
        <w:rPr>
          <w:sz w:val="20"/>
          <w:szCs w:val="20"/>
          <w:color w:val="auto"/>
        </w:rPr>
      </w:pPr>
    </w:p>
    <w:p>
      <w:pPr>
        <w:ind w:firstLine="602"/>
        <w:spacing w:after="0" w:line="256" w:lineRule="auto"/>
        <w:rPr>
          <w:sz w:val="20"/>
          <w:szCs w:val="20"/>
          <w:color w:val="auto"/>
        </w:rPr>
      </w:pPr>
      <w:r>
        <w:rPr>
          <w:rFonts w:ascii="Arial" w:cs="Arial" w:eastAsia="Arial" w:hAnsi="Arial"/>
          <w:sz w:val="17"/>
          <w:szCs w:val="17"/>
          <w:color w:val="auto"/>
        </w:rPr>
        <w:t>On September 14, 2020, Eledon entered into the Purchase Agreement with the Investors. Pursuant to the Purchase Agreement, Novus agreed to sell an aggregate of approximately 199,112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for an aggregate purchase price of approximately $99.1 million, or net proceeds of approximately $95.2 million after deducting offering costs, in the Financing. Eledon had commitments for an additional $9.0 million in equity financing that was contingent upon the satisfaction of certain incremental closing conditions, including stockholders approval of the issuance of the Company’s common stock upon the conversion of the Company’s X</w:t>
      </w:r>
      <w:r>
        <w:rPr>
          <w:rFonts w:ascii="Arial" w:cs="Arial" w:eastAsia="Arial" w:hAnsi="Arial"/>
          <w:sz w:val="14"/>
          <w:szCs w:val="14"/>
          <w:color w:val="auto"/>
        </w:rPr>
        <w:t>1</w:t>
      </w:r>
      <w:r>
        <w:rPr>
          <w:rFonts w:ascii="Arial" w:cs="Arial" w:eastAsia="Arial" w:hAnsi="Arial"/>
          <w:sz w:val="17"/>
          <w:szCs w:val="17"/>
          <w:color w:val="auto"/>
        </w:rPr>
        <w:t xml:space="preserve"> Preferred Stock and the effective registration of its common stock. Subject to stockholder approval, each share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is convertible into 55.5556 shares of Common Stock, as described below. The preferences, rights and limitations applicable to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are set forth in the Certificate of Designation, as filed with the SEC. The Financing is 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183" w:lineRule="exact"/>
        <w:rPr>
          <w:sz w:val="20"/>
          <w:szCs w:val="20"/>
          <w:color w:val="auto"/>
        </w:rPr>
      </w:pPr>
    </w:p>
    <w:p>
      <w:pPr>
        <w:ind w:right="120" w:firstLine="602"/>
        <w:spacing w:after="0" w:line="260" w:lineRule="auto"/>
        <w:rPr>
          <w:sz w:val="20"/>
          <w:szCs w:val="20"/>
          <w:color w:val="auto"/>
        </w:rPr>
      </w:pPr>
      <w:r>
        <w:rPr>
          <w:rFonts w:ascii="Arial" w:cs="Arial" w:eastAsia="Arial" w:hAnsi="Arial"/>
          <w:sz w:val="17"/>
          <w:szCs w:val="17"/>
          <w:color w:val="auto"/>
        </w:rPr>
        <w:t>The Company records shares of preferred stock at their respective fair values on the dates of issuance, net of issuance costs. Holders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do not have voting rights and are entitled to receive dividends on shares of X</w:t>
      </w:r>
      <w:r>
        <w:rPr>
          <w:rFonts w:ascii="Arial" w:cs="Arial" w:eastAsia="Arial" w:hAnsi="Arial"/>
          <w:sz w:val="14"/>
          <w:szCs w:val="14"/>
          <w:color w:val="auto"/>
        </w:rPr>
        <w:t>1</w:t>
      </w:r>
      <w:r>
        <w:rPr>
          <w:rFonts w:ascii="Arial" w:cs="Arial" w:eastAsia="Arial" w:hAnsi="Arial"/>
          <w:sz w:val="17"/>
          <w:szCs w:val="17"/>
          <w:color w:val="auto"/>
        </w:rPr>
        <w:t xml:space="preserve"> Preferred Stock on an as-if converted to common stock basis equal to dividends actually paid on shares of common stock. The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shall automatically be converted into shares of common stock equal to the conversion ratio of 55.5556 upon stockholder approval of the conversion of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into shares of common stock in accordance with the listing rules of the Nasdaq Stock Market.</w:t>
      </w:r>
    </w:p>
    <w:p>
      <w:pPr>
        <w:spacing w:after="0" w:line="180" w:lineRule="exact"/>
        <w:rPr>
          <w:sz w:val="20"/>
          <w:szCs w:val="20"/>
          <w:color w:val="auto"/>
        </w:rPr>
      </w:pPr>
    </w:p>
    <w:p>
      <w:pPr>
        <w:ind w:right="20" w:firstLine="685"/>
        <w:spacing w:after="0" w:line="262" w:lineRule="auto"/>
        <w:rPr>
          <w:sz w:val="20"/>
          <w:szCs w:val="20"/>
          <w:color w:val="auto"/>
        </w:rPr>
      </w:pPr>
      <w:r>
        <w:rPr>
          <w:rFonts w:ascii="Arial" w:cs="Arial" w:eastAsia="Arial" w:hAnsi="Arial"/>
          <w:sz w:val="17"/>
          <w:szCs w:val="17"/>
          <w:color w:val="auto"/>
        </w:rPr>
        <w:t>The Company applied the guidance in ASC 480-10-S99-3A, SEC Staff Announcement: Classification and Measurement of Redeemable Securities, and classified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outside of stockholders’ equity for the period prior to the shareholder approval of the conversion to common stock because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will be redeemable at the option of the holders for cash equal to the closing price of the common stock on the last trading day prior to the holder’s redemption request, if there was no shareholder approval.</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analyzed the conversion provision related to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and determined there was not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 contingent beneficial conversion feature (“BCF”) that would be recognized when the contingency of stockholder approval is resolved.</w:t>
      </w:r>
    </w:p>
    <w:p>
      <w:pPr>
        <w:spacing w:after="0" w:line="103" w:lineRule="exact"/>
        <w:rPr>
          <w:sz w:val="20"/>
          <w:szCs w:val="20"/>
          <w:color w:val="auto"/>
        </w:rPr>
      </w:pPr>
    </w:p>
    <w:p>
      <w:pPr>
        <w:ind w:right="700" w:firstLine="602"/>
        <w:spacing w:after="0" w:line="279" w:lineRule="auto"/>
        <w:rPr>
          <w:sz w:val="20"/>
          <w:szCs w:val="20"/>
          <w:color w:val="auto"/>
        </w:rPr>
      </w:pPr>
      <w:r>
        <w:rPr>
          <w:rFonts w:ascii="Arial" w:cs="Arial" w:eastAsia="Arial" w:hAnsi="Arial"/>
          <w:sz w:val="17"/>
          <w:szCs w:val="17"/>
          <w:color w:val="auto"/>
        </w:rPr>
        <w:t>On December 18, 2020, the Company held a Special Meeting. At the Special Meeting, the Company’s stockholders approved the issuance of the Company’s common stock, upon conversion of the Company’s Series X</w:t>
      </w:r>
      <w:r>
        <w:rPr>
          <w:rFonts w:ascii="Arial" w:cs="Arial" w:eastAsia="Arial" w:hAnsi="Arial"/>
          <w:sz w:val="14"/>
          <w:szCs w:val="14"/>
          <w:color w:val="auto"/>
        </w:rPr>
        <w:t>1</w:t>
      </w:r>
      <w:r>
        <w:rPr>
          <w:rFonts w:ascii="Arial" w:cs="Arial" w:eastAsia="Arial" w:hAnsi="Arial"/>
          <w:sz w:val="17"/>
          <w:szCs w:val="17"/>
          <w:color w:val="auto"/>
        </w:rPr>
        <w:t xml:space="preserve"> Preferred Stock, par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88" w:name="page89"/>
    <w:bookmarkEnd w:id="88"/>
    <w:p>
      <w:pPr>
        <w:ind w:right="720"/>
        <w:spacing w:after="0" w:line="313" w:lineRule="auto"/>
        <w:rPr>
          <w:sz w:val="20"/>
          <w:szCs w:val="20"/>
          <w:color w:val="auto"/>
        </w:rPr>
      </w:pPr>
      <w:r>
        <w:rPr>
          <w:rFonts w:ascii="Arial" w:cs="Arial" w:eastAsia="Arial" w:hAnsi="Arial"/>
          <w:sz w:val="16"/>
          <w:szCs w:val="16"/>
          <w:color w:val="auto"/>
        </w:rPr>
        <w:t>value $0.001 per share, issued in September 2020. As a result, 231,068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were converted into 12,837,056 shares of the Company’s common stock. As of December 31, 2020, 108,070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remain outstanding.</w:t>
      </w:r>
    </w:p>
    <w:p>
      <w:pPr>
        <w:spacing w:after="0" w:line="37" w:lineRule="exact"/>
        <w:rPr>
          <w:sz w:val="20"/>
          <w:szCs w:val="20"/>
          <w:color w:val="auto"/>
        </w:rPr>
      </w:pPr>
    </w:p>
    <w:p>
      <w:pPr>
        <w:ind w:right="660" w:firstLine="602"/>
        <w:spacing w:after="0" w:line="279" w:lineRule="auto"/>
        <w:rPr>
          <w:sz w:val="20"/>
          <w:szCs w:val="20"/>
          <w:color w:val="auto"/>
        </w:rPr>
      </w:pPr>
      <w:r>
        <w:rPr>
          <w:rFonts w:ascii="Arial" w:cs="Arial" w:eastAsia="Arial" w:hAnsi="Arial"/>
          <w:sz w:val="17"/>
          <w:szCs w:val="17"/>
          <w:color w:val="auto"/>
        </w:rPr>
        <w:t>On December 23, 2020, the Company sold 1,004,111 shares of its common stock for gross proceeds of $9.0 million that was contingent upon the satisfaction of certain incremental closing conditions, as described above.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Agreements</w:t>
      </w:r>
    </w:p>
    <w:p>
      <w:pPr>
        <w:spacing w:after="0" w:line="153" w:lineRule="exact"/>
        <w:rPr>
          <w:sz w:val="20"/>
          <w:szCs w:val="20"/>
          <w:color w:val="auto"/>
        </w:rPr>
      </w:pPr>
    </w:p>
    <w:p>
      <w:pPr>
        <w:ind w:right="20" w:firstLine="546"/>
        <w:spacing w:after="0" w:line="259" w:lineRule="auto"/>
        <w:rPr>
          <w:sz w:val="20"/>
          <w:szCs w:val="20"/>
          <w:color w:val="auto"/>
        </w:rPr>
      </w:pPr>
      <w:r>
        <w:rPr>
          <w:rFonts w:ascii="Arial" w:cs="Arial" w:eastAsia="Arial" w:hAnsi="Arial"/>
          <w:sz w:val="17"/>
          <w:szCs w:val="17"/>
          <w:color w:val="auto"/>
        </w:rPr>
        <w:t>On December 31, 2020, the Company entered into an exchange agreement (the “Series X Exchange Agreement”) with Biotechnology Value Fund, L.P., Biotechnology Value Fund II, L.P., Biotechnology Value Trading Fund OS, L.P. , MSI BVF SPV, L.L.C. (collectively, the “BVF Exchanging Stockholders”) and Cormorant Global Healthcare Master Fund, LP (together with the BVF Exchanging Stockholders, the “Series X Exchanging Stockholders”), pursuant to which the Series X Exchanging Stockholders exchanged (the “Series X Exchange”) 344,666 shares of the Company’s common stock for 6,203.98 shares of Series X Convertible Preferred Stock.</w:t>
      </w:r>
    </w:p>
    <w:p>
      <w:pPr>
        <w:spacing w:after="0" w:line="183" w:lineRule="exact"/>
        <w:rPr>
          <w:sz w:val="20"/>
          <w:szCs w:val="20"/>
          <w:color w:val="auto"/>
        </w:rPr>
      </w:pPr>
    </w:p>
    <w:p>
      <w:pPr>
        <w:ind w:right="20" w:firstLine="546"/>
        <w:spacing w:after="0" w:line="283" w:lineRule="auto"/>
        <w:rPr>
          <w:sz w:val="20"/>
          <w:szCs w:val="20"/>
          <w:color w:val="auto"/>
        </w:rPr>
      </w:pPr>
      <w:r>
        <w:rPr>
          <w:rFonts w:ascii="Arial" w:cs="Arial" w:eastAsia="Arial" w:hAnsi="Arial"/>
          <w:sz w:val="16"/>
          <w:szCs w:val="16"/>
          <w:color w:val="auto"/>
        </w:rPr>
        <w:t>In addition, on December 31, 2020 the Company entered into an exchange agreement (the “Warrant Exchange Agreement,” and together with the Series X Exchange Agreement, the “Exchange Agreements”) with the BVF Exchanging Stockholders, pursuant to which the BVF Exchanging Stockholders exchanged (the “Warrant Exchange,” and together with the Series X Exchange, “the Exchanges”) 509,117 shares of the Common Stock for one or more pre-funded warrants to purchase an aggregate of 509,117 shares of the Common Stock at a nominal exercise price (the “Warrants”).</w:t>
      </w:r>
    </w:p>
    <w:p>
      <w:pPr>
        <w:spacing w:after="0" w:line="164" w:lineRule="exact"/>
        <w:rPr>
          <w:sz w:val="20"/>
          <w:szCs w:val="20"/>
          <w:color w:val="auto"/>
        </w:rPr>
      </w:pPr>
    </w:p>
    <w:p>
      <w:pPr>
        <w:ind w:right="220" w:firstLine="602"/>
        <w:spacing w:after="0" w:line="313" w:lineRule="auto"/>
        <w:rPr>
          <w:sz w:val="20"/>
          <w:szCs w:val="20"/>
          <w:color w:val="auto"/>
        </w:rPr>
      </w:pPr>
      <w:r>
        <w:rPr>
          <w:rFonts w:ascii="Arial" w:cs="Arial" w:eastAsia="Arial" w:hAnsi="Arial"/>
          <w:sz w:val="15"/>
          <w:szCs w:val="15"/>
          <w:color w:val="auto"/>
        </w:rPr>
        <w:t>The Company recorded the shares of Series X Convertible Preferred Stock and Warrants issuable as preferred stock and warrant subscriptions at December 31, 2020 since the physical settlement of the Exchanges was made on January 5, 2021, whereby the transfer agent recorded the exchange of common stock for the issuance of preferred stock and warrants. Following the Exchanges, the Company will have 14,306,614 shares of Common Stock outstanding and 6,203.98 shares of Series X Preferred Stock outstanding, which are convertible into 344,663 shares of Common Stock (after rounding for fractional shares).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Stock-Based Compensation</w:t>
      </w:r>
    </w:p>
    <w:p>
      <w:pPr>
        <w:spacing w:after="0" w:line="223" w:lineRule="exact"/>
        <w:rPr>
          <w:sz w:val="20"/>
          <w:szCs w:val="20"/>
          <w:color w:val="auto"/>
        </w:rPr>
      </w:pPr>
    </w:p>
    <w:p>
      <w:pPr>
        <w:ind w:firstLine="546"/>
        <w:spacing w:after="0" w:line="293" w:lineRule="auto"/>
        <w:rPr>
          <w:sz w:val="20"/>
          <w:szCs w:val="20"/>
          <w:color w:val="auto"/>
        </w:rPr>
      </w:pPr>
      <w:r>
        <w:rPr>
          <w:rFonts w:ascii="Arial" w:cs="Arial" w:eastAsia="Arial" w:hAnsi="Arial"/>
          <w:sz w:val="15"/>
          <w:szCs w:val="15"/>
          <w:color w:val="auto"/>
        </w:rPr>
        <w:t>The Company has three stock compensation plans, the 2020 Stock Incentive Plan (the “2020 Plan”), the 2014 Stock Incentive Plan (the “2014 Plan”) and the 2007 Stock Incentive Plan (the “2007 Plan”). The 2020 Plan permits the Company to make grants of incentive stock options, non-statutory stock options, restricted stock, restricted stock units, stock appreciation rights and other stock-based awards to the Company’s employees, officers, directors, consultants and advisors; however, incentive stock options may only be granted to the Company’s employees. The number of shares initially reserved for issuance under the 2020 Plan was 4,860,000 shares of common stock and may be increased by the number of shares under the 2014 Plan that expire, terminate or are otherwise surrendered, cancelled, forfeited or repurchased by the Company. Options remain outstanding under the 2007, 2014 and the 2020 Plan. The number of shares subject to and the exercise prices applicable to these outstanding options were adjusted in connection with the one-for-eighteen reverse stock-split. As of December 31, 2020, there were 1,151 and 126,974 options outstanding under the 2007 Plan and 2014 Plan, respectively. Options granted under the 2007, 2014 and 2020 Plans generally expire ten years from the date of grant. The Company intends for the 2020 Plan to be its primary stock compensation plan in the future. As of December 31, 2020, there were 692,956 options outstanding and 4,167,044 shares available to issue under the 2020 Plan.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461" w:right="35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i w:val="1"/>
          <w:iCs w:val="1"/>
          <w:color w:val="auto"/>
        </w:rPr>
        <w:t>Stock Option and PRSU Activity</w:t>
      </w:r>
    </w:p>
    <w:p>
      <w:pPr>
        <w:spacing w:after="0" w:line="217" w:lineRule="exact"/>
        <w:rPr>
          <w:sz w:val="20"/>
          <w:szCs w:val="20"/>
          <w:color w:val="auto"/>
        </w:rPr>
      </w:pPr>
    </w:p>
    <w:p>
      <w:pPr>
        <w:ind w:right="600" w:firstLine="546"/>
        <w:spacing w:after="0" w:line="349" w:lineRule="auto"/>
        <w:rPr>
          <w:sz w:val="20"/>
          <w:szCs w:val="20"/>
          <w:color w:val="auto"/>
        </w:rPr>
      </w:pPr>
      <w:r>
        <w:rPr>
          <w:rFonts w:ascii="Arial" w:cs="Arial" w:eastAsia="Arial" w:hAnsi="Arial"/>
          <w:sz w:val="15"/>
          <w:szCs w:val="15"/>
          <w:color w:val="auto"/>
        </w:rPr>
        <w:t>As of December 31, 2020, a total of 4,167,044 stock awards were available for grant under the 2020 Plan. The 2014 Plan was closed to new grants following the approval of the 2020 Plan, and therefore, there were no shares reserved for issuance under the 2014 Plan as of December 31, 2020.</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shows the stock option activity, as follows:</w:t>
      </w: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Weighted</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Issuable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Average</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Under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Exercise 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Outstanding as of January 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49,798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233.45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42,244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28.87</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Forfeited / Canceled</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79.38</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91,403</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139.96</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2,191,462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9.15</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assumed in connection with acquisition</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1,346,398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Exercised</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Forfeited / Canceled</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(7,784)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586.16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Outstanding as of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3,621,479</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10.63</w:t>
            </w: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8.9</w:t>
            </w:r>
          </w:p>
        </w:tc>
        <w:tc>
          <w:tcPr>
            <w:tcW w:w="42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23,938,701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820" w:type="dxa"/>
            <w:vAlign w:val="bottom"/>
            <w:shd w:val="clear" w:color="auto" w:fill="CFF0FC"/>
          </w:tcPr>
          <w:p>
            <w:pPr>
              <w:spacing w:after="0" w:line="186" w:lineRule="exact"/>
              <w:rPr>
                <w:sz w:val="20"/>
                <w:szCs w:val="20"/>
                <w:color w:val="auto"/>
              </w:rPr>
            </w:pPr>
            <w:r>
              <w:rPr>
                <w:rFonts w:ascii="Arial" w:cs="Arial" w:eastAsia="Arial" w:hAnsi="Arial"/>
                <w:sz w:val="17"/>
                <w:szCs w:val="17"/>
                <w:color w:val="auto"/>
              </w:rPr>
              <w:t>Options vested and expected to vest as of</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3,621,479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23,938,701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tcPr>
          <w:p>
            <w:pPr>
              <w:spacing w:after="0"/>
              <w:rPr>
                <w:sz w:val="20"/>
                <w:szCs w:val="20"/>
                <w:color w:val="auto"/>
              </w:rPr>
            </w:pPr>
            <w:r>
              <w:rPr>
                <w:rFonts w:ascii="Arial" w:cs="Arial" w:eastAsia="Arial" w:hAnsi="Arial"/>
                <w:sz w:val="17"/>
                <w:szCs w:val="17"/>
                <w:color w:val="auto"/>
              </w:rPr>
              <w:t>Options exercisable as of December 31, 2020</w:t>
            </w:r>
          </w:p>
        </w:tc>
        <w:tc>
          <w:tcPr>
            <w:tcW w:w="1140" w:type="dxa"/>
            <w:vAlign w:val="bottom"/>
          </w:tcPr>
          <w:p>
            <w:pPr>
              <w:jc w:val="right"/>
              <w:spacing w:after="0"/>
              <w:rPr>
                <w:sz w:val="20"/>
                <w:szCs w:val="20"/>
                <w:color w:val="auto"/>
              </w:rPr>
            </w:pPr>
            <w:r>
              <w:rPr>
                <w:rFonts w:ascii="Arial" w:cs="Arial" w:eastAsia="Arial" w:hAnsi="Arial"/>
                <w:sz w:val="17"/>
                <w:szCs w:val="17"/>
                <w:color w:val="auto"/>
              </w:rPr>
              <w:t>878,033</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6,297,510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5820" w:type="dxa"/>
            <w:vAlign w:val="bottom"/>
          </w:tcPr>
          <w:p>
            <w:pPr>
              <w:ind w:left="600"/>
              <w:spacing w:after="0"/>
              <w:rPr>
                <w:sz w:val="20"/>
                <w:szCs w:val="20"/>
                <w:color w:val="auto"/>
              </w:rPr>
            </w:pPr>
            <w:r>
              <w:rPr>
                <w:rFonts w:ascii="Arial" w:cs="Arial" w:eastAsia="Arial" w:hAnsi="Arial"/>
                <w:sz w:val="17"/>
                <w:szCs w:val="17"/>
                <w:color w:val="auto"/>
              </w:rPr>
              <w:t>The following table shows the PRSU activity, as follows: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Weighted</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Issuable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Average</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Under PRSUs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Exercise 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Outstanding as of January 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3,056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66.96</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PRSUs Vested</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(4,358)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Forfeited / Canceled</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3,056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66.96</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820" w:type="dxa"/>
            <w:vAlign w:val="bottom"/>
          </w:tcPr>
          <w:p>
            <w:pPr>
              <w:ind w:left="240"/>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PRSUs Vested</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Forfeited / Canceled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Outstanding as of December 31, 2020</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PRSUs vested and expected to vest as of</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20" w:type="dxa"/>
            <w:vAlign w:val="bottom"/>
          </w:tcPr>
          <w:p>
            <w:pPr>
              <w:ind w:left="140"/>
              <w:spacing w:after="0"/>
              <w:rPr>
                <w:sz w:val="20"/>
                <w:szCs w:val="20"/>
                <w:color w:val="auto"/>
              </w:rPr>
            </w:pPr>
            <w:r>
              <w:rPr>
                <w:rFonts w:ascii="Arial" w:cs="Arial" w:eastAsia="Arial" w:hAnsi="Arial"/>
                <w:sz w:val="17"/>
                <w:szCs w:val="17"/>
                <w:color w:val="auto"/>
              </w:rPr>
              <w:t>December 31, 2020</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Options exercisable as of December 31, 2020</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December 31, 2020, the range of exercise prices was between $0.96 and $2,147 for options outstanding.</w:t>
      </w:r>
    </w:p>
    <w:p>
      <w:pPr>
        <w:spacing w:after="0" w:line="217" w:lineRule="exact"/>
        <w:rPr>
          <w:sz w:val="20"/>
          <w:szCs w:val="20"/>
          <w:color w:val="auto"/>
        </w:rPr>
      </w:pPr>
    </w:p>
    <w:p>
      <w:pPr>
        <w:ind w:firstLine="546"/>
        <w:spacing w:after="0" w:line="266" w:lineRule="auto"/>
        <w:rPr>
          <w:sz w:val="20"/>
          <w:szCs w:val="20"/>
          <w:color w:val="auto"/>
        </w:rPr>
      </w:pPr>
      <w:r>
        <w:rPr>
          <w:rFonts w:ascii="Arial" w:cs="Arial" w:eastAsia="Arial" w:hAnsi="Arial"/>
          <w:sz w:val="17"/>
          <w:szCs w:val="17"/>
          <w:color w:val="auto"/>
        </w:rPr>
        <w:t>Intrinsic value is calculated as the difference between the exercise price of the underlying options and the fair value of the common stock for the options that had exercise prices that were lower than the fair value per share of the common stock on the date of exercise. There was no aggregate intrinsic value of options exercised during the years ended December 31, 2020 and 2019.</w:t>
      </w:r>
    </w:p>
    <w:p>
      <w:pPr>
        <w:spacing w:after="0" w:line="175"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As of December 31, 2020, total unrecognized stock-based compensation expense related to non-vested equity awards was $17.1 million, which is expected to be recognized over an estimated weighted-average period of 2.7 years.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4" w:lineRule="exact"/>
        <w:rPr>
          <w:sz w:val="20"/>
          <w:szCs w:val="20"/>
          <w:color w:val="auto"/>
        </w:rPr>
      </w:pPr>
    </w:p>
    <w:p>
      <w:pPr>
        <w:ind w:right="300" w:firstLine="546"/>
        <w:spacing w:after="0" w:line="259" w:lineRule="auto"/>
        <w:rPr>
          <w:sz w:val="20"/>
          <w:szCs w:val="20"/>
          <w:color w:val="auto"/>
        </w:rPr>
      </w:pPr>
      <w:r>
        <w:rPr>
          <w:rFonts w:ascii="Arial" w:cs="Arial" w:eastAsia="Arial" w:hAnsi="Arial"/>
          <w:sz w:val="17"/>
          <w:szCs w:val="17"/>
          <w:color w:val="auto"/>
        </w:rPr>
        <w:t>Total compensation expense related to all of the Company’s stock-based awards for the years ended December 31, 2020 and 2019 was comprised of the following (in thousands):</w:t>
      </w:r>
    </w:p>
    <w:p>
      <w:pPr>
        <w:jc w:val="center"/>
        <w:ind w:left="7600"/>
        <w:spacing w:after="0" w:line="225" w:lineRule="auto"/>
        <w:rPr>
          <w:sz w:val="20"/>
          <w:szCs w:val="20"/>
          <w:color w:val="auto"/>
        </w:rPr>
      </w:pPr>
      <w:r>
        <w:rPr>
          <w:rFonts w:ascii="Arial" w:cs="Arial" w:eastAsia="Arial" w:hAnsi="Arial"/>
          <w:sz w:val="14"/>
          <w:szCs w:val="14"/>
          <w:b w:val="1"/>
          <w:bCs w:val="1"/>
          <w:color w:val="auto"/>
        </w:rPr>
        <w:t>Year Ended</w:t>
      </w:r>
    </w:p>
    <w:p>
      <w:pPr>
        <w:jc w:val="center"/>
        <w:ind w:left="760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8"/>
        </w:trPr>
        <w:tc>
          <w:tcPr>
            <w:tcW w:w="5260" w:type="dxa"/>
            <w:vAlign w:val="bottom"/>
            <w:tcBorders>
              <w:bottom w:val="single" w:sz="8" w:color="CFF0FC"/>
            </w:tcBorders>
          </w:tcPr>
          <w:p>
            <w:pPr>
              <w:spacing w:after="0"/>
              <w:rPr>
                <w:sz w:val="12"/>
                <w:szCs w:val="12"/>
                <w:color w:val="auto"/>
              </w:rPr>
            </w:pPr>
          </w:p>
        </w:tc>
        <w:tc>
          <w:tcPr>
            <w:tcW w:w="2480" w:type="dxa"/>
            <w:vAlign w:val="bottom"/>
            <w:tcBorders>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71"/>
              <w:spacing w:after="0" w:line="148"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8"/>
              <w:spacing w:after="0" w:line="148"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12"/>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 classified as:</w:t>
            </w:r>
          </w:p>
        </w:tc>
        <w:tc>
          <w:tcPr>
            <w:tcW w:w="2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8"/>
        </w:trPr>
        <w:tc>
          <w:tcPr>
            <w:tcW w:w="5260" w:type="dxa"/>
            <w:vAlign w:val="bottom"/>
          </w:tcPr>
          <w:p>
            <w:pPr>
              <w:ind w:left="240"/>
              <w:spacing w:after="0"/>
              <w:rPr>
                <w:sz w:val="20"/>
                <w:szCs w:val="20"/>
                <w:color w:val="auto"/>
              </w:rPr>
            </w:pPr>
            <w:r>
              <w:rPr>
                <w:rFonts w:ascii="Arial" w:cs="Arial" w:eastAsia="Arial" w:hAnsi="Arial"/>
                <w:sz w:val="17"/>
                <w:szCs w:val="17"/>
                <w:color w:val="auto"/>
              </w:rPr>
              <w:t>Research and development expense</w:t>
            </w:r>
          </w:p>
        </w:tc>
        <w:tc>
          <w:tcPr>
            <w:tcW w:w="352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1,254</w:t>
            </w:r>
          </w:p>
        </w:tc>
        <w:tc>
          <w:tcPr>
            <w:tcW w:w="2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8"/>
                <w:szCs w:val="18"/>
                <w:color w:val="auto"/>
              </w:rPr>
            </w:pPr>
          </w:p>
        </w:tc>
      </w:tr>
      <w:tr>
        <w:trPr>
          <w:trHeight w:val="220"/>
        </w:trPr>
        <w:tc>
          <w:tcPr>
            <w:tcW w:w="5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 expense</w:t>
            </w:r>
          </w:p>
        </w:tc>
        <w:tc>
          <w:tcPr>
            <w:tcW w:w="24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965</w:t>
            </w:r>
          </w:p>
        </w:tc>
        <w:tc>
          <w:tcPr>
            <w:tcW w:w="100" w:type="dxa"/>
            <w:vAlign w:val="bottom"/>
            <w:shd w:val="clear" w:color="auto" w:fill="CFF0FC"/>
          </w:tcPr>
          <w:p>
            <w:pPr>
              <w:spacing w:after="0"/>
              <w:rPr>
                <w:sz w:val="19"/>
                <w:szCs w:val="19"/>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7"/>
                <w:szCs w:val="17"/>
                <w:color w:val="auto"/>
              </w:rPr>
              <w:t>Total stock-based compensation expense</w:t>
            </w:r>
          </w:p>
        </w:tc>
        <w:tc>
          <w:tcPr>
            <w:tcW w:w="352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3,171</w:t>
            </w:r>
          </w:p>
        </w:tc>
        <w:tc>
          <w:tcPr>
            <w:tcW w:w="2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1,308</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Stock-based compensation expense for the year ended December 31, 2020 included no stock-based compensation expense related to performance-based options granted during 2020.</w:t>
      </w:r>
    </w:p>
    <w:p>
      <w:pPr>
        <w:spacing w:after="0" w:line="61"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During the year ended December 31, 2020, PRSUs awarded to employees totaling 3,059 shares vested and resulted in the recognition of $205,000 in stock-based compensation expense.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Assumptions</w:t>
      </w:r>
    </w:p>
    <w:p>
      <w:pPr>
        <w:spacing w:after="0" w:line="114" w:lineRule="exact"/>
        <w:rPr>
          <w:sz w:val="20"/>
          <w:szCs w:val="20"/>
          <w:color w:val="auto"/>
        </w:rPr>
      </w:pPr>
    </w:p>
    <w:p>
      <w:pPr>
        <w:ind w:right="340" w:firstLine="546"/>
        <w:spacing w:after="0" w:line="259" w:lineRule="auto"/>
        <w:rPr>
          <w:sz w:val="20"/>
          <w:szCs w:val="20"/>
          <w:color w:val="auto"/>
        </w:rPr>
      </w:pPr>
      <w:r>
        <w:rPr>
          <w:rFonts w:ascii="Arial" w:cs="Arial" w:eastAsia="Arial" w:hAnsi="Arial"/>
          <w:sz w:val="17"/>
          <w:szCs w:val="17"/>
          <w:color w:val="auto"/>
        </w:rPr>
        <w:t>The following table presents the assumptions used in the Black-Scholes option pricing model to determine the fair value of stock options granted in the periods presented, as follows:</w:t>
      </w:r>
    </w:p>
    <w:p>
      <w:pPr>
        <w:jc w:val="center"/>
        <w:ind w:left="6540"/>
        <w:spacing w:after="0" w:line="225" w:lineRule="auto"/>
        <w:rPr>
          <w:sz w:val="20"/>
          <w:szCs w:val="20"/>
          <w:color w:val="auto"/>
        </w:rPr>
      </w:pPr>
      <w:r>
        <w:rPr>
          <w:rFonts w:ascii="Arial" w:cs="Arial" w:eastAsia="Arial" w:hAnsi="Arial"/>
          <w:sz w:val="14"/>
          <w:szCs w:val="14"/>
          <w:b w:val="1"/>
          <w:bCs w:val="1"/>
          <w:color w:val="auto"/>
        </w:rPr>
        <w:t>Year Ended</w:t>
      </w:r>
    </w:p>
    <w:p>
      <w:pPr>
        <w:jc w:val="center"/>
        <w:ind w:left="654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8"/>
        </w:trPr>
        <w:tc>
          <w:tcPr>
            <w:tcW w:w="6680" w:type="dxa"/>
            <w:vAlign w:val="bottom"/>
            <w:tcBorders>
              <w:bottom w:val="single" w:sz="8" w:color="CFF0FC"/>
            </w:tcBorders>
          </w:tcPr>
          <w:p>
            <w:pPr>
              <w:spacing w:after="0"/>
              <w:rPr>
                <w:sz w:val="12"/>
                <w:szCs w:val="12"/>
                <w:color w:val="auto"/>
              </w:rPr>
            </w:pPr>
          </w:p>
        </w:tc>
        <w:tc>
          <w:tcPr>
            <w:tcW w:w="2060" w:type="dxa"/>
            <w:vAlign w:val="bottom"/>
            <w:tcBorders>
              <w:top w:val="single" w:sz="8" w:color="auto"/>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CFF0FC"/>
            </w:tcBorders>
          </w:tcPr>
          <w:p>
            <w:pPr>
              <w:spacing w:after="0"/>
              <w:rPr>
                <w:sz w:val="12"/>
                <w:szCs w:val="12"/>
                <w:color w:val="auto"/>
              </w:rPr>
            </w:pPr>
          </w:p>
        </w:tc>
        <w:tc>
          <w:tcPr>
            <w:tcW w:w="2060" w:type="dxa"/>
            <w:vAlign w:val="bottom"/>
            <w:tcBorders>
              <w:top w:val="single" w:sz="8" w:color="auto"/>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2"/>
                <w:szCs w:val="12"/>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Expected stock price volatility</w:t>
            </w:r>
          </w:p>
        </w:tc>
        <w:tc>
          <w:tcPr>
            <w:tcW w:w="2060" w:type="dxa"/>
            <w:vAlign w:val="bottom"/>
            <w:gridSpan w:val="2"/>
            <w:shd w:val="clear" w:color="auto" w:fill="CFF0FC"/>
          </w:tcPr>
          <w:p>
            <w:pPr>
              <w:jc w:val="center"/>
              <w:spacing w:after="0"/>
              <w:rPr>
                <w:sz w:val="20"/>
                <w:szCs w:val="20"/>
                <w:color w:val="auto"/>
              </w:rPr>
            </w:pPr>
            <w:r>
              <w:rPr>
                <w:rFonts w:ascii="Arial" w:cs="Arial" w:eastAsia="Arial" w:hAnsi="Arial"/>
                <w:sz w:val="17"/>
                <w:szCs w:val="17"/>
                <w:color w:val="auto"/>
                <w:w w:val="92"/>
              </w:rPr>
              <w:t>77% - 107%</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100" w:type="dxa"/>
            <w:vAlign w:val="bottom"/>
            <w:shd w:val="clear" w:color="auto" w:fill="CFF0FC"/>
          </w:tcPr>
          <w:p>
            <w:pPr>
              <w:ind w:left="40"/>
              <w:spacing w:after="0"/>
              <w:rPr>
                <w:sz w:val="20"/>
                <w:szCs w:val="20"/>
                <w:color w:val="auto"/>
              </w:rPr>
            </w:pPr>
            <w:r>
              <w:rPr>
                <w:rFonts w:ascii="Arial" w:cs="Arial" w:eastAsia="Arial" w:hAnsi="Arial"/>
                <w:sz w:val="17"/>
                <w:szCs w:val="17"/>
                <w:color w:val="auto"/>
              </w:rPr>
              <w:t>- 87%</w:t>
            </w:r>
          </w:p>
        </w:tc>
        <w:tc>
          <w:tcPr>
            <w:tcW w:w="120" w:type="dxa"/>
            <w:vAlign w:val="bottom"/>
            <w:shd w:val="clear" w:color="auto" w:fill="CFF0FC"/>
          </w:tcPr>
          <w:p>
            <w:pPr>
              <w:spacing w:after="0"/>
              <w:rPr>
                <w:sz w:val="18"/>
                <w:szCs w:val="18"/>
                <w:color w:val="auto"/>
              </w:rPr>
            </w:pPr>
          </w:p>
        </w:tc>
      </w:tr>
      <w:tr>
        <w:trPr>
          <w:trHeight w:val="218"/>
        </w:trPr>
        <w:tc>
          <w:tcPr>
            <w:tcW w:w="66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7"/>
                <w:szCs w:val="17"/>
                <w:color w:val="auto"/>
              </w:rPr>
              <w:t>0%</w:t>
            </w:r>
          </w:p>
        </w:tc>
        <w:tc>
          <w:tcPr>
            <w:tcW w:w="1080" w:type="dxa"/>
            <w:vAlign w:val="bottom"/>
          </w:tcPr>
          <w:p>
            <w:pPr>
              <w:ind w:left="20"/>
              <w:spacing w:after="0"/>
              <w:rPr>
                <w:sz w:val="20"/>
                <w:szCs w:val="20"/>
                <w:color w:val="auto"/>
              </w:rPr>
            </w:pPr>
            <w:r>
              <w:rPr>
                <w:rFonts w:ascii="Arial" w:cs="Arial" w:eastAsia="Arial" w:hAnsi="Arial"/>
                <w:sz w:val="17"/>
                <w:szCs w:val="17"/>
                <w:color w:val="auto"/>
              </w:rPr>
              <w:t>- 1%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1100" w:type="dxa"/>
            <w:vAlign w:val="bottom"/>
          </w:tcPr>
          <w:p>
            <w:pPr>
              <w:ind w:left="40"/>
              <w:spacing w:after="0"/>
              <w:rPr>
                <w:sz w:val="20"/>
                <w:szCs w:val="20"/>
                <w:color w:val="auto"/>
              </w:rPr>
            </w:pPr>
            <w:r>
              <w:rPr>
                <w:rFonts w:ascii="Arial" w:cs="Arial" w:eastAsia="Arial" w:hAnsi="Arial"/>
                <w:sz w:val="17"/>
                <w:szCs w:val="17"/>
                <w:color w:val="auto"/>
              </w:rPr>
              <w:t>- 3%</w:t>
            </w:r>
          </w:p>
        </w:tc>
        <w:tc>
          <w:tcPr>
            <w:tcW w:w="120" w:type="dxa"/>
            <w:vAlign w:val="bottom"/>
          </w:tcPr>
          <w:p>
            <w:pPr>
              <w:spacing w:after="0"/>
              <w:rPr>
                <w:sz w:val="18"/>
                <w:szCs w:val="18"/>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Expected life of option (in years)</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80" w:type="dxa"/>
            <w:vAlign w:val="bottom"/>
            <w:shd w:val="clear" w:color="auto" w:fill="CFF0FC"/>
          </w:tcPr>
          <w:p>
            <w:pPr>
              <w:ind w:left="20"/>
              <w:spacing w:after="0"/>
              <w:rPr>
                <w:sz w:val="20"/>
                <w:szCs w:val="20"/>
                <w:color w:val="auto"/>
              </w:rPr>
            </w:pPr>
            <w:r>
              <w:rPr>
                <w:rFonts w:ascii="Arial" w:cs="Arial" w:eastAsia="Arial" w:hAnsi="Arial"/>
                <w:sz w:val="17"/>
                <w:szCs w:val="17"/>
                <w:color w:val="auto"/>
              </w:rPr>
              <w:t>- 6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right="894"/>
              <w:spacing w:after="0"/>
              <w:rPr>
                <w:sz w:val="20"/>
                <w:szCs w:val="20"/>
                <w:color w:val="auto"/>
              </w:rPr>
            </w:pPr>
            <w:r>
              <w:rPr>
                <w:rFonts w:ascii="Arial" w:cs="Arial" w:eastAsia="Arial" w:hAnsi="Arial"/>
                <w:sz w:val="17"/>
                <w:szCs w:val="17"/>
                <w:color w:val="auto"/>
                <w:w w:val="84"/>
              </w:rPr>
              <w:t>6</w:t>
            </w:r>
          </w:p>
        </w:tc>
        <w:tc>
          <w:tcPr>
            <w:tcW w:w="120" w:type="dxa"/>
            <w:vAlign w:val="bottom"/>
            <w:shd w:val="clear" w:color="auto" w:fill="CFF0FC"/>
          </w:tcPr>
          <w:p>
            <w:pPr>
              <w:spacing w:after="0"/>
              <w:rPr>
                <w:sz w:val="19"/>
                <w:szCs w:val="19"/>
                <w:color w:val="auto"/>
              </w:rPr>
            </w:pPr>
          </w:p>
        </w:tc>
      </w:tr>
      <w:tr>
        <w:trPr>
          <w:trHeight w:val="218"/>
        </w:trPr>
        <w:tc>
          <w:tcPr>
            <w:tcW w:w="6680" w:type="dxa"/>
            <w:vAlign w:val="bottom"/>
          </w:tcPr>
          <w:p>
            <w:pPr>
              <w:spacing w:after="0"/>
              <w:rPr>
                <w:sz w:val="20"/>
                <w:szCs w:val="20"/>
                <w:color w:val="auto"/>
              </w:rPr>
            </w:pPr>
            <w:r>
              <w:rPr>
                <w:rFonts w:ascii="Arial" w:cs="Arial" w:eastAsia="Arial" w:hAnsi="Arial"/>
                <w:sz w:val="17"/>
                <w:szCs w:val="17"/>
                <w:color w:val="auto"/>
              </w:rPr>
              <w:t>Estimated dividend yield</w:t>
            </w:r>
          </w:p>
        </w:tc>
        <w:tc>
          <w:tcPr>
            <w:tcW w:w="2060" w:type="dxa"/>
            <w:vAlign w:val="bottom"/>
            <w:gridSpan w:val="2"/>
          </w:tcPr>
          <w:p>
            <w:pPr>
              <w:jc w:val="center"/>
              <w:spacing w:after="0"/>
              <w:rPr>
                <w:sz w:val="20"/>
                <w:szCs w:val="20"/>
                <w:color w:val="auto"/>
              </w:rPr>
            </w:pPr>
            <w:r>
              <w:rPr>
                <w:rFonts w:ascii="Arial" w:cs="Arial" w:eastAsia="Arial" w:hAnsi="Arial"/>
                <w:sz w:val="17"/>
                <w:szCs w:val="17"/>
                <w:color w:val="auto"/>
                <w:w w:val="89"/>
              </w:rPr>
              <w:t>0%</w:t>
            </w:r>
          </w:p>
        </w:tc>
        <w:tc>
          <w:tcPr>
            <w:tcW w:w="32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7"/>
                <w:szCs w:val="17"/>
                <w:color w:val="auto"/>
                <w:w w:val="89"/>
              </w:rPr>
              <w:t>0%</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Restructuring Expense</w:t>
      </w:r>
    </w:p>
    <w:p>
      <w:pPr>
        <w:spacing w:after="0" w:line="120" w:lineRule="exact"/>
        <w:rPr>
          <w:sz w:val="20"/>
          <w:szCs w:val="20"/>
          <w:color w:val="auto"/>
        </w:rPr>
      </w:pPr>
    </w:p>
    <w:p>
      <w:pPr>
        <w:ind w:right="140" w:firstLine="682"/>
        <w:spacing w:after="0" w:line="266" w:lineRule="auto"/>
        <w:rPr>
          <w:sz w:val="20"/>
          <w:szCs w:val="20"/>
          <w:color w:val="auto"/>
        </w:rPr>
      </w:pPr>
      <w:r>
        <w:rPr>
          <w:rFonts w:ascii="Arial" w:cs="Arial" w:eastAsia="Arial" w:hAnsi="Arial"/>
          <w:sz w:val="17"/>
          <w:szCs w:val="17"/>
          <w:color w:val="auto"/>
        </w:rPr>
        <w:t>On June 11, 2020, following the announcement regarding the topline results from the phase 2a clinical trial of OP0201, Eledon announced that its board of directors approved a plan to reduce the size of its workforce. The workforce reduction, which was completed in June 2020, was designed to reduce the Company’s operating expenses while it is conducting a review of development and strategic alternatives.</w:t>
      </w:r>
    </w:p>
    <w:p>
      <w:pPr>
        <w:spacing w:after="0" w:line="72" w:lineRule="exact"/>
        <w:rPr>
          <w:sz w:val="20"/>
          <w:szCs w:val="20"/>
          <w:color w:val="auto"/>
        </w:rPr>
      </w:pPr>
    </w:p>
    <w:p>
      <w:pPr>
        <w:jc w:val="both"/>
        <w:ind w:right="620" w:firstLine="682"/>
        <w:spacing w:after="0" w:line="292" w:lineRule="auto"/>
        <w:rPr>
          <w:sz w:val="20"/>
          <w:szCs w:val="20"/>
          <w:color w:val="auto"/>
        </w:rPr>
      </w:pPr>
      <w:r>
        <w:rPr>
          <w:rFonts w:ascii="Arial" w:cs="Arial" w:eastAsia="Arial" w:hAnsi="Arial"/>
          <w:sz w:val="15"/>
          <w:szCs w:val="15"/>
          <w:color w:val="auto"/>
        </w:rPr>
        <w:t>On September 3, 2020, the board of directors (the “Board”) of the Company accepted the resignation of Gregory Flesher as the Company’s Chief Executive Officer and a member of the Board. Mr. Flesher’s resignation was effective as of the close of business on September 4, 2020. The resignation of Mr. Flesher was not the result of any dispute or disagreement with the Company on any matter relating to the Company’s operations, policies or practices.</w:t>
      </w:r>
    </w:p>
    <w:p>
      <w:pPr>
        <w:ind w:right="260"/>
        <w:spacing w:after="0" w:line="266" w:lineRule="auto"/>
        <w:rPr>
          <w:sz w:val="20"/>
          <w:szCs w:val="20"/>
          <w:color w:val="auto"/>
        </w:rPr>
      </w:pPr>
      <w:r>
        <w:rPr>
          <w:rFonts w:ascii="Arial" w:cs="Arial" w:eastAsia="Arial" w:hAnsi="Arial"/>
          <w:sz w:val="17"/>
          <w:szCs w:val="17"/>
          <w:color w:val="auto"/>
        </w:rPr>
        <w:t>Concurrent with his resignation, Mr. Flesher entered into a consulting agreement with the Company pursuant to which he will provide consulting and transition-support services as requested by the Company at an hourly rate consistent with his target compensation.</w:t>
      </w:r>
    </w:p>
    <w:p>
      <w:pPr>
        <w:spacing w:after="0" w:line="72" w:lineRule="exact"/>
        <w:rPr>
          <w:sz w:val="20"/>
          <w:szCs w:val="20"/>
          <w:color w:val="auto"/>
        </w:rPr>
      </w:pPr>
    </w:p>
    <w:p>
      <w:pPr>
        <w:ind w:right="120" w:firstLine="682"/>
        <w:spacing w:after="0" w:line="279" w:lineRule="auto"/>
        <w:rPr>
          <w:sz w:val="20"/>
          <w:szCs w:val="20"/>
          <w:color w:val="auto"/>
        </w:rPr>
      </w:pPr>
      <w:r>
        <w:rPr>
          <w:rFonts w:ascii="Arial" w:cs="Arial" w:eastAsia="Arial" w:hAnsi="Arial"/>
          <w:sz w:val="17"/>
          <w:szCs w:val="17"/>
          <w:color w:val="auto"/>
        </w:rPr>
        <w:t>For the year ended December 31, 2020, Eledon incurred $2.3 million in expenses related to the workforce reduction and expects to pay these amounts in the next six months.</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liability for restructuring expenses and their utilization are summarized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For the Year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Ended December 31,</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740" w:type="dxa"/>
            <w:vAlign w:val="bottom"/>
            <w:tcBorders>
              <w:bottom w:val="single" w:sz="8" w:color="CFF0FC"/>
            </w:tcBorders>
          </w:tcPr>
          <w:p>
            <w:pPr>
              <w:spacing w:after="0"/>
              <w:rPr>
                <w:sz w:val="12"/>
                <w:szCs w:val="12"/>
                <w:color w:val="auto"/>
              </w:rPr>
            </w:pPr>
          </w:p>
        </w:tc>
        <w:tc>
          <w:tcPr>
            <w:tcW w:w="25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center"/>
              <w:ind w:right="101"/>
              <w:spacing w:after="0" w:line="148" w:lineRule="exact"/>
              <w:rPr>
                <w:sz w:val="20"/>
                <w:szCs w:val="20"/>
                <w:color w:val="auto"/>
              </w:rPr>
            </w:pPr>
            <w:r>
              <w:rPr>
                <w:rFonts w:ascii="Arial" w:cs="Arial" w:eastAsia="Arial" w:hAnsi="Arial"/>
                <w:sz w:val="14"/>
                <w:szCs w:val="14"/>
                <w:b w:val="1"/>
                <w:bCs w:val="1"/>
                <w:color w:val="auto"/>
                <w:w w:val="83"/>
              </w:rPr>
              <w:t>2020</w:t>
            </w:r>
          </w:p>
        </w:tc>
        <w:tc>
          <w:tcPr>
            <w:tcW w:w="80" w:type="dxa"/>
            <w:vAlign w:val="bottom"/>
            <w:tcBorders>
              <w:bottom w:val="single" w:sz="8" w:color="CFF0FC"/>
            </w:tcBorders>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w w:val="94"/>
              </w:rPr>
              <w:t>Accrued restructuring charges at beginning of period</w:t>
            </w:r>
          </w:p>
        </w:tc>
        <w:tc>
          <w:tcPr>
            <w:tcW w:w="26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Charged</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2,282</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Paid</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(2,270)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7"/>
                <w:szCs w:val="17"/>
                <w:color w:val="auto"/>
              </w:rPr>
              <w:t>Accrued restructuring charges at end of period</w:t>
            </w: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62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2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6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60" w:type="dxa"/>
            <w:vAlign w:val="bottom"/>
            <w:gridSpan w:val="2"/>
          </w:tcPr>
          <w:p>
            <w:pPr>
              <w:jc w:val="right"/>
              <w:ind w:right="2240"/>
              <w:spacing w:after="0"/>
              <w:rPr>
                <w:sz w:val="20"/>
                <w:szCs w:val="20"/>
                <w:color w:val="auto"/>
              </w:rPr>
            </w:pPr>
            <w:r>
              <w:rPr>
                <w:rFonts w:ascii="Arial" w:cs="Arial" w:eastAsia="Arial" w:hAnsi="Arial"/>
                <w:sz w:val="17"/>
                <w:szCs w:val="17"/>
                <w:color w:val="auto"/>
              </w:rPr>
              <w:t>F-28</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668" w:right="29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Note 10. Business Acquisition</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September 14, 2020, the Company acquired Anelixis pursuant to that certain Agreement and Plan of Merger, dated September 14, 2020 (the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Agreement</w:t>
      </w:r>
      <w:r>
        <w:rPr>
          <w:rFonts w:ascii="Arial" w:cs="Arial" w:eastAsia="Arial" w:hAnsi="Arial"/>
          <w:sz w:val="16"/>
          <w:szCs w:val="16"/>
          <w:color w:val="auto"/>
          <w:highlight w:val="white"/>
        </w:rPr>
        <w:t>”), by and among Eledon, Nautilus Merger Sub 1, Inc., a Delaware corporation and wholly owned subsidiary of Eledon (“First Merger Sub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6200140</wp:posOffset>
            </wp:positionH>
            <wp:positionV relativeFrom="paragraph">
              <wp:posOffset>-8890</wp:posOffset>
            </wp:positionV>
            <wp:extent cx="7435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Nautilus Merger Sub 2, LLC, a Delaware limited liability company and wholly owned subsidiary of Eledon (“</w:t>
      </w:r>
      <w:r>
        <w:rPr>
          <w:rFonts w:ascii="Arial" w:cs="Arial" w:eastAsia="Arial" w:hAnsi="Arial"/>
          <w:sz w:val="16"/>
          <w:szCs w:val="16"/>
          <w:u w:val="single" w:color="auto"/>
          <w:color w:val="auto"/>
        </w:rPr>
        <w:t>Second Merger Sub</w:t>
      </w:r>
      <w:r>
        <w:rPr>
          <w:rFonts w:ascii="Arial" w:cs="Arial" w:eastAsia="Arial" w:hAnsi="Arial"/>
          <w:sz w:val="16"/>
          <w:szCs w:val="16"/>
          <w:color w:val="auto"/>
          <w:highlight w:val="white"/>
        </w:rPr>
        <w:t>”), and Anelixis. Pursuant to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Merger Agreement, First Merger Sub merged with and into Anelixis, pursuant to which Anelixis was the surviving entity and became a wholly owned subsidiary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of Eledon (the “</w:t>
      </w:r>
      <w:r>
        <w:rPr>
          <w:rFonts w:ascii="Arial" w:cs="Arial" w:eastAsia="Arial" w:hAnsi="Arial"/>
          <w:sz w:val="15"/>
          <w:szCs w:val="15"/>
          <w:u w:val="single" w:color="auto"/>
          <w:color w:val="auto"/>
        </w:rPr>
        <w:t>First Merger</w:t>
      </w:r>
      <w:r>
        <w:rPr>
          <w:rFonts w:ascii="Arial" w:cs="Arial" w:eastAsia="Arial" w:hAnsi="Arial"/>
          <w:sz w:val="15"/>
          <w:szCs w:val="15"/>
          <w:color w:val="auto"/>
          <w:highlight w:val="white"/>
        </w:rPr>
        <w:t>”). Immediately following the First Merger, Anelixis merged with and into Second Merger Sub, pursuant to which Second Merger Sub</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was the surviving entity (the “</w:t>
      </w:r>
      <w:r>
        <w:rPr>
          <w:rFonts w:ascii="Arial" w:cs="Arial" w:eastAsia="Arial" w:hAnsi="Arial"/>
          <w:sz w:val="16"/>
          <w:szCs w:val="16"/>
          <w:u w:val="single" w:color="auto"/>
          <w:color w:val="auto"/>
        </w:rPr>
        <w:t>Second Merger,</w:t>
      </w:r>
      <w:r>
        <w:rPr>
          <w:rFonts w:ascii="Arial" w:cs="Arial" w:eastAsia="Arial" w:hAnsi="Arial"/>
          <w:sz w:val="16"/>
          <w:szCs w:val="16"/>
          <w:color w:val="auto"/>
          <w:highlight w:val="white"/>
        </w:rPr>
        <w:t>” together with the First Merger, the “Merger</w:t>
      </w:r>
      <w:r>
        <w:rPr>
          <w:rFonts w:ascii="Arial" w:cs="Arial" w:eastAsia="Arial" w:hAnsi="Arial"/>
          <w:sz w:val="16"/>
          <w:szCs w:val="16"/>
          <w:color w:val="auto"/>
        </w:rPr>
        <w:t>”). The Merger is intended to qualify as a tax-free reorganization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-8890</wp:posOffset>
            </wp:positionV>
            <wp:extent cx="3187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31877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U.S. federal income tax purposes.</w:t>
      </w:r>
    </w:p>
    <w:p>
      <w:pPr>
        <w:spacing w:after="0" w:line="206" w:lineRule="exact"/>
        <w:rPr>
          <w:sz w:val="20"/>
          <w:szCs w:val="20"/>
          <w:color w:val="auto"/>
        </w:rPr>
      </w:pPr>
    </w:p>
    <w:p>
      <w:pPr>
        <w:ind w:right="200" w:firstLine="796"/>
        <w:spacing w:after="0"/>
        <w:rPr>
          <w:sz w:val="20"/>
          <w:szCs w:val="20"/>
          <w:color w:val="auto"/>
        </w:rPr>
      </w:pPr>
      <w:r>
        <w:rPr>
          <w:rFonts w:ascii="Arial" w:cs="Arial" w:eastAsia="Arial" w:hAnsi="Arial"/>
          <w:sz w:val="17"/>
          <w:szCs w:val="17"/>
          <w:color w:val="auto"/>
        </w:rPr>
        <w:t>Under the terms of the Merger Agreement, at the closing of the Merger, Eledon issued to the stockholders of Anelixis 175,488 shares of the common stock of Eledon, par value $0.001 per share, and 140,026 shares of newly designated Series X</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Preferred Stock. Subject to stockholder approval, each share of Series X</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Preferred Stock was convertible into approximately 55.5556 shares of common stock. The preferences, rights and limitations applicable to the Series X</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Preferred Stock are set forth in the Certificate of Designation, as filed with the SEC.</w:t>
      </w:r>
    </w:p>
    <w:p>
      <w:pPr>
        <w:spacing w:after="0" w:line="146" w:lineRule="exact"/>
        <w:rPr>
          <w:sz w:val="20"/>
          <w:szCs w:val="20"/>
          <w:color w:val="auto"/>
        </w:rPr>
      </w:pPr>
    </w:p>
    <w:p>
      <w:pPr>
        <w:jc w:val="both"/>
        <w:ind w:firstLine="796"/>
        <w:spacing w:after="0" w:line="290" w:lineRule="auto"/>
        <w:rPr>
          <w:sz w:val="20"/>
          <w:szCs w:val="20"/>
          <w:color w:val="auto"/>
        </w:rPr>
      </w:pPr>
      <w:r>
        <w:rPr>
          <w:rFonts w:ascii="Arial" w:cs="Arial" w:eastAsia="Arial" w:hAnsi="Arial"/>
          <w:sz w:val="16"/>
          <w:szCs w:val="16"/>
          <w:color w:val="auto"/>
        </w:rPr>
        <w:t>In addition to the common stock and preferred stock issued, certain outstanding warrants issued and equity awards granted by Anelixis were not settled upon completion of the merger, and instead were assumed and then replaced with Eledon warrants and equity awards. The amounts for the assumed and replaced warrants and equity awards attributed to pre-merger services are included in other consideration amounts transferred and added to goodwill.</w:t>
      </w:r>
    </w:p>
    <w:p>
      <w:pPr>
        <w:spacing w:after="0" w:line="158" w:lineRule="exact"/>
        <w:rPr>
          <w:sz w:val="20"/>
          <w:szCs w:val="20"/>
          <w:color w:val="auto"/>
        </w:rPr>
      </w:pPr>
    </w:p>
    <w:p>
      <w:pPr>
        <w:jc w:val="both"/>
        <w:ind w:firstLine="796"/>
        <w:spacing w:after="0" w:line="258" w:lineRule="auto"/>
        <w:rPr>
          <w:sz w:val="20"/>
          <w:szCs w:val="20"/>
          <w:color w:val="auto"/>
        </w:rPr>
      </w:pPr>
      <w:r>
        <w:rPr>
          <w:rFonts w:ascii="Arial" w:cs="Arial" w:eastAsia="Arial" w:hAnsi="Arial"/>
          <w:sz w:val="17"/>
          <w:szCs w:val="17"/>
          <w:color w:val="auto"/>
        </w:rPr>
        <w:t xml:space="preserve">The Company determined that FASB Accounting Standards Codification Topic 805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is the authoritative guidance in accounting for this transaction and for determining whether Anelixis was a dormant, non-operating entity that would not meet the definition of a business under ASC 805. If Anelixis was not an operating entity, the acquisition would instead be considered a capital transaction and equivalent to the issuance of shares by Novus for the net monetary assets of Anelixis accompanied by a recapitalization. Conversely, if Anelixis was determined to be a business, the acquisition method of accounting would apply and the difference between the acquisition date fair value of the total consideration transferred and the aggregate values assigned to the assets acquired and liabilities assumed would be recorded as goodwill.</w:t>
      </w:r>
    </w:p>
    <w:p>
      <w:pPr>
        <w:spacing w:after="0" w:line="183" w:lineRule="exact"/>
        <w:rPr>
          <w:sz w:val="20"/>
          <w:szCs w:val="20"/>
          <w:color w:val="auto"/>
        </w:rPr>
      </w:pPr>
    </w:p>
    <w:p>
      <w:pPr>
        <w:jc w:val="both"/>
        <w:ind w:firstLine="796"/>
        <w:spacing w:after="0" w:line="279" w:lineRule="auto"/>
        <w:rPr>
          <w:sz w:val="20"/>
          <w:szCs w:val="20"/>
          <w:color w:val="auto"/>
        </w:rPr>
      </w:pPr>
      <w:r>
        <w:rPr>
          <w:rFonts w:ascii="Arial" w:cs="Arial" w:eastAsia="Arial" w:hAnsi="Arial"/>
          <w:sz w:val="16"/>
          <w:szCs w:val="16"/>
          <w:color w:val="auto"/>
        </w:rPr>
        <w:t>The Company evaluated the terms of the Merger Agreement and the transaction under the applicable accounting guidance and determined that Anelixis satisfied the definition of a business under ASC 805 and as further clarified by ASU 2017-01. Based on this analysis, the Company accounted for the acquisition of Anelixis as a business combination under the acquisition method of accounting as it had determined that Anelixis’ assets acquired in the transaction included an input and a substantive process that together significantly contributed to the ability to create outputs. Additionally, the Company was determined to be both the legal and accounting acquirer as it had issued equity interests to acquire all of Anelixis’ equity interests. Goodwill generated from the acquisition was primarily attributable to the expected synergies from combining operations and expanding market potential, together with certain intangible assets that do not qualify for separate recognition. None of the approximately $48.6 million in goodwill is expected to be deductible for tax purposes.</w:t>
      </w:r>
    </w:p>
    <w:p>
      <w:pPr>
        <w:spacing w:after="0" w:line="166" w:lineRule="exact"/>
        <w:rPr>
          <w:sz w:val="20"/>
          <w:szCs w:val="20"/>
          <w:color w:val="auto"/>
        </w:rPr>
      </w:pPr>
    </w:p>
    <w:p>
      <w:pPr>
        <w:ind w:right="20" w:firstLine="796"/>
        <w:spacing w:after="0" w:line="232" w:lineRule="auto"/>
        <w:rPr>
          <w:sz w:val="20"/>
          <w:szCs w:val="20"/>
          <w:color w:val="auto"/>
        </w:rPr>
      </w:pPr>
      <w:r>
        <w:rPr>
          <w:rFonts w:ascii="Arial" w:cs="Arial" w:eastAsia="Arial" w:hAnsi="Arial"/>
          <w:sz w:val="17"/>
          <w:szCs w:val="17"/>
          <w:color w:val="auto"/>
        </w:rPr>
        <w:t>Concurrently and in connection with the execution of the Merger Agreement, the Company entered into the Purchase Agreement with certain institutional and accredited investors. Pursuant to the Stock Purchase Agreement, the Company agreed to sell an aggregate of approximately 199,112 shares of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for an aggregate purchase price of approximately $99.1 million in the Financing. Eledon had commitments for an additional $9.0 million in equity financing that was contingent upon the satisfaction of certain incremental closing conditions, including stockholder approval of the issuance of the Company’s common stock upon the conversion of the Company’s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and the effective registration of its common stock. The merger was a pre-requisite in order for the Financing to transpire; without the merger, those certain institutional and accredited investors would not have purchased the Company’s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convertible preferred stock.</w:t>
      </w:r>
    </w:p>
    <w:p>
      <w:pPr>
        <w:spacing w:after="0" w:line="5" w:lineRule="exact"/>
        <w:rPr>
          <w:sz w:val="20"/>
          <w:szCs w:val="20"/>
          <w:color w:val="auto"/>
        </w:rPr>
      </w:pPr>
    </w:p>
    <w:p>
      <w:pPr>
        <w:ind w:right="140" w:firstLine="602"/>
        <w:spacing w:after="0" w:line="256" w:lineRule="auto"/>
        <w:rPr>
          <w:sz w:val="20"/>
          <w:szCs w:val="20"/>
          <w:color w:val="auto"/>
        </w:rPr>
      </w:pPr>
      <w:r>
        <w:rPr>
          <w:rFonts w:ascii="Arial" w:cs="Arial" w:eastAsia="Arial" w:hAnsi="Arial"/>
          <w:sz w:val="17"/>
          <w:szCs w:val="17"/>
          <w:color w:val="auto"/>
        </w:rPr>
        <w:t>On December 18, 2020, the Company held the Special Meeting, whereby the Company’s stockholders approved the issuance of the Company’s common stock, upon conversion of the Company’s Series X</w:t>
      </w:r>
      <w:r>
        <w:rPr>
          <w:rFonts w:ascii="Arial" w:cs="Arial" w:eastAsia="Arial" w:hAnsi="Arial"/>
          <w:sz w:val="14"/>
          <w:szCs w:val="14"/>
          <w:color w:val="auto"/>
        </w:rPr>
        <w:t>1</w:t>
      </w:r>
      <w:r>
        <w:rPr>
          <w:rFonts w:ascii="Arial" w:cs="Arial" w:eastAsia="Arial" w:hAnsi="Arial"/>
          <w:sz w:val="17"/>
          <w:szCs w:val="17"/>
          <w:color w:val="auto"/>
        </w:rPr>
        <w:t xml:space="preserve"> Preferred Stock, par value $0.001 per share, issued in September 2020. As a result, approximately 231,068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were converted into 12,837,056 shares of the Company’s common stock. As of December 31, 2020, approximately 108,070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remain outstanding.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2" w:name="page93"/>
    <w:bookmarkEnd w:id="92"/>
    <w:p>
      <w:pPr>
        <w:ind w:right="680" w:firstLine="602"/>
        <w:spacing w:after="0" w:line="279" w:lineRule="auto"/>
        <w:rPr>
          <w:sz w:val="20"/>
          <w:szCs w:val="20"/>
          <w:color w:val="auto"/>
        </w:rPr>
      </w:pPr>
      <w:r>
        <w:rPr>
          <w:rFonts w:ascii="Arial" w:cs="Arial" w:eastAsia="Arial" w:hAnsi="Arial"/>
          <w:sz w:val="17"/>
          <w:szCs w:val="17"/>
          <w:color w:val="auto"/>
        </w:rPr>
        <w:t>On December 23, 2020, the Company sold 1,004,111 shares of its common stock for gross proceeds of $9.0 million that was contingent upon the satisfaction of certain incremental closing conditions, as described above.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Acquisition Consideration</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fair value of the purchase price consideration to acquire Anelixis (in thousands):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24"/>
        </w:trPr>
        <w:tc>
          <w:tcPr>
            <w:tcW w:w="8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Amount</w:t>
            </w: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13"/>
        </w:trPr>
        <w:tc>
          <w:tcPr>
            <w:tcW w:w="8040" w:type="dxa"/>
            <w:vAlign w:val="bottom"/>
            <w:shd w:val="clear" w:color="auto" w:fill="CFF0FC"/>
          </w:tcPr>
          <w:p>
            <w:pPr>
              <w:spacing w:after="0"/>
              <w:rPr>
                <w:sz w:val="20"/>
                <w:szCs w:val="20"/>
                <w:color w:val="auto"/>
              </w:rPr>
            </w:pPr>
            <w:r>
              <w:rPr>
                <w:rFonts w:ascii="Arial" w:cs="Arial" w:eastAsia="Arial" w:hAnsi="Arial"/>
                <w:sz w:val="17"/>
                <w:szCs w:val="17"/>
                <w:color w:val="auto"/>
              </w:rPr>
              <w:t>Fair value of purchase consideration:</w:t>
            </w: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7"/>
                <w:szCs w:val="17"/>
                <w:color w:val="auto"/>
              </w:rPr>
              <w:t>Common shares issued (1)</w:t>
            </w:r>
          </w:p>
        </w:tc>
        <w:tc>
          <w:tcPr>
            <w:tcW w:w="1140" w:type="dxa"/>
            <w:vAlign w:val="bottom"/>
            <w:gridSpan w:val="2"/>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1,194</w:t>
            </w:r>
          </w:p>
        </w:tc>
        <w:tc>
          <w:tcPr>
            <w:tcW w:w="120" w:type="dxa"/>
            <w:vAlign w:val="bottom"/>
          </w:tcPr>
          <w:p>
            <w:pPr>
              <w:spacing w:after="0"/>
              <w:rPr>
                <w:sz w:val="18"/>
                <w:szCs w:val="18"/>
                <w:color w:val="auto"/>
              </w:rPr>
            </w:pPr>
          </w:p>
        </w:tc>
      </w:tr>
      <w:tr>
        <w:trPr>
          <w:trHeight w:val="220"/>
        </w:trPr>
        <w:tc>
          <w:tcPr>
            <w:tcW w:w="8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Preferred shares issued (2)</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69,723</w:t>
            </w:r>
          </w:p>
        </w:tc>
        <w:tc>
          <w:tcPr>
            <w:tcW w:w="120" w:type="dxa"/>
            <w:vAlign w:val="bottom"/>
            <w:shd w:val="clear" w:color="auto" w:fill="CFF0FC"/>
          </w:tcPr>
          <w:p>
            <w:pPr>
              <w:spacing w:after="0"/>
              <w:rPr>
                <w:sz w:val="19"/>
                <w:szCs w:val="19"/>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7"/>
                <w:szCs w:val="17"/>
                <w:color w:val="auto"/>
              </w:rPr>
              <w:t>Options assumed (3)</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2,950</w:t>
            </w:r>
          </w:p>
        </w:tc>
        <w:tc>
          <w:tcPr>
            <w:tcW w:w="120" w:type="dxa"/>
            <w:vAlign w:val="bottom"/>
          </w:tcPr>
          <w:p>
            <w:pPr>
              <w:spacing w:after="0"/>
              <w:rPr>
                <w:sz w:val="18"/>
                <w:szCs w:val="18"/>
                <w:color w:val="auto"/>
              </w:rPr>
            </w:pPr>
          </w:p>
        </w:tc>
      </w:tr>
      <w:tr>
        <w:trPr>
          <w:trHeight w:val="220"/>
        </w:trPr>
        <w:tc>
          <w:tcPr>
            <w:tcW w:w="8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Warrants assumed (3)</w:t>
            </w: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12,944</w:t>
            </w:r>
          </w:p>
        </w:tc>
        <w:tc>
          <w:tcPr>
            <w:tcW w:w="120" w:type="dxa"/>
            <w:vAlign w:val="bottom"/>
            <w:shd w:val="clear" w:color="auto" w:fill="CFF0FC"/>
          </w:tcPr>
          <w:p>
            <w:pPr>
              <w:spacing w:after="0"/>
              <w:rPr>
                <w:sz w:val="19"/>
                <w:szCs w:val="19"/>
                <w:color w:val="auto"/>
              </w:rPr>
            </w:pPr>
          </w:p>
        </w:tc>
      </w:tr>
      <w:tr>
        <w:trPr>
          <w:trHeight w:val="211"/>
        </w:trPr>
        <w:tc>
          <w:tcPr>
            <w:tcW w:w="8040" w:type="dxa"/>
            <w:vAlign w:val="bottom"/>
          </w:tcPr>
          <w:p>
            <w:pPr>
              <w:spacing w:after="0"/>
              <w:rPr>
                <w:sz w:val="20"/>
                <w:szCs w:val="20"/>
                <w:color w:val="auto"/>
              </w:rPr>
            </w:pPr>
            <w:r>
              <w:rPr>
                <w:rFonts w:ascii="Arial" w:cs="Arial" w:eastAsia="Arial" w:hAnsi="Arial"/>
                <w:sz w:val="17"/>
                <w:szCs w:val="17"/>
                <w:color w:val="auto"/>
              </w:rPr>
              <w:t>Total purchase consideration</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86,811</w:t>
            </w:r>
          </w:p>
        </w:tc>
        <w:tc>
          <w:tcPr>
            <w:tcW w:w="12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00" w:right="120" w:hanging="401"/>
        <w:spacing w:after="0" w:line="279"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fair value of common shares issued in the merger is based on 175,488 shares issued on the September 14, 2020 acquisition date at the closing price of the Company's common stock of $6.80 per share.</w:t>
      </w:r>
    </w:p>
    <w:p>
      <w:pPr>
        <w:spacing w:after="0" w:line="163" w:lineRule="exact"/>
        <w:rPr>
          <w:rFonts w:ascii="Arial" w:cs="Arial" w:eastAsia="Arial" w:hAnsi="Arial"/>
          <w:sz w:val="17"/>
          <w:szCs w:val="17"/>
          <w:color w:val="auto"/>
        </w:rPr>
      </w:pPr>
    </w:p>
    <w:p>
      <w:pPr>
        <w:ind w:left="1100" w:right="580" w:hanging="401"/>
        <w:spacing w:after="0" w:line="280"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fair value of preferred shares issued in the merger is based on the amount per share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in the September 2020 Purchase Agreement.</w:t>
      </w:r>
    </w:p>
    <w:p>
      <w:pPr>
        <w:spacing w:after="0" w:line="163" w:lineRule="exact"/>
        <w:rPr>
          <w:rFonts w:ascii="Arial" w:cs="Arial" w:eastAsia="Arial" w:hAnsi="Arial"/>
          <w:sz w:val="17"/>
          <w:szCs w:val="17"/>
          <w:color w:val="auto"/>
        </w:rPr>
      </w:pPr>
    </w:p>
    <w:p>
      <w:pPr>
        <w:ind w:left="1100" w:right="360" w:hanging="401"/>
        <w:spacing w:after="0" w:line="349" w:lineRule="auto"/>
        <w:tabs>
          <w:tab w:leader="none" w:pos="11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fair value of the options and warrants assumed and replaced in the merger is based on applying the Black-Scholes valuation method using appropriate inputs of volatility rates ranging from 82% to 83%, expected terms of 5.0 to 5.9 years and risk-free rates of 0.27% to 0.45%.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Purchase Price Allocation</w:t>
      </w:r>
    </w:p>
    <w:p>
      <w:pPr>
        <w:spacing w:after="0" w:line="217" w:lineRule="exact"/>
        <w:rPr>
          <w:sz w:val="20"/>
          <w:szCs w:val="20"/>
          <w:color w:val="auto"/>
        </w:rPr>
      </w:pPr>
    </w:p>
    <w:p>
      <w:pPr>
        <w:ind w:right="60" w:firstLine="796"/>
        <w:spacing w:after="0" w:line="279" w:lineRule="auto"/>
        <w:rPr>
          <w:sz w:val="20"/>
          <w:szCs w:val="20"/>
          <w:color w:val="auto"/>
        </w:rPr>
      </w:pPr>
      <w:r>
        <w:rPr>
          <w:rFonts w:ascii="Arial" w:cs="Arial" w:eastAsia="Arial" w:hAnsi="Arial"/>
          <w:sz w:val="17"/>
          <w:szCs w:val="17"/>
          <w:color w:val="auto"/>
        </w:rPr>
        <w:t>The following is an allocation of the purchase price as of the September 14, 2020 acquisition closing date based upon a preliminary estimate of the fair value of the assets acquired and the liabilities assumed by the Company in the acquisition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Amount</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1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11,035</w:t>
            </w:r>
          </w:p>
        </w:tc>
        <w:tc>
          <w:tcPr>
            <w:tcW w:w="120" w:type="dxa"/>
            <w:vAlign w:val="bottom"/>
            <w:shd w:val="clear" w:color="auto" w:fill="CFF0FC"/>
          </w:tcPr>
          <w:p>
            <w:pPr>
              <w:spacing w:after="0"/>
              <w:rPr>
                <w:sz w:val="18"/>
                <w:szCs w:val="18"/>
                <w:color w:val="auto"/>
              </w:rPr>
            </w:pPr>
          </w:p>
        </w:tc>
      </w:tr>
      <w:tr>
        <w:trPr>
          <w:trHeight w:val="218"/>
        </w:trPr>
        <w:tc>
          <w:tcPr>
            <w:tcW w:w="926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r>
      <w:tr>
        <w:trPr>
          <w:trHeight w:val="220"/>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9"/>
                <w:szCs w:val="19"/>
                <w:color w:val="auto"/>
              </w:rPr>
            </w:pPr>
          </w:p>
        </w:tc>
      </w:tr>
      <w:tr>
        <w:trPr>
          <w:trHeight w:val="218"/>
        </w:trPr>
        <w:tc>
          <w:tcPr>
            <w:tcW w:w="9260" w:type="dxa"/>
            <w:vAlign w:val="bottom"/>
          </w:tcPr>
          <w:p>
            <w:pPr>
              <w:spacing w:after="0"/>
              <w:rPr>
                <w:sz w:val="20"/>
                <w:szCs w:val="20"/>
                <w:color w:val="auto"/>
              </w:rPr>
            </w:pPr>
            <w:r>
              <w:rPr>
                <w:rFonts w:ascii="Arial" w:cs="Arial" w:eastAsia="Arial" w:hAnsi="Arial"/>
                <w:sz w:val="17"/>
                <w:szCs w:val="17"/>
                <w:color w:val="auto"/>
              </w:rPr>
              <w:t>Accounts payable</w:t>
            </w:r>
          </w:p>
        </w:tc>
        <w:tc>
          <w:tcPr>
            <w:tcW w:w="10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(580)</w:t>
            </w:r>
          </w:p>
        </w:tc>
      </w:tr>
      <w:tr>
        <w:trPr>
          <w:trHeight w:val="220"/>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Accrued expenses and other liabilities</w:t>
            </w:r>
          </w:p>
        </w:tc>
        <w:tc>
          <w:tcPr>
            <w:tcW w:w="10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(206)</w:t>
            </w:r>
          </w:p>
        </w:tc>
      </w:tr>
      <w:tr>
        <w:trPr>
          <w:trHeight w:val="218"/>
        </w:trPr>
        <w:tc>
          <w:tcPr>
            <w:tcW w:w="9260" w:type="dxa"/>
            <w:vAlign w:val="bottom"/>
          </w:tcPr>
          <w:p>
            <w:pPr>
              <w:spacing w:after="0"/>
              <w:rPr>
                <w:sz w:val="20"/>
                <w:szCs w:val="20"/>
                <w:color w:val="auto"/>
              </w:rPr>
            </w:pPr>
            <w:r>
              <w:rPr>
                <w:rFonts w:ascii="Arial" w:cs="Arial" w:eastAsia="Arial" w:hAnsi="Arial"/>
                <w:sz w:val="17"/>
                <w:szCs w:val="17"/>
                <w:color w:val="auto"/>
              </w:rPr>
              <w:t>Deferred tax liability</w:t>
            </w:r>
          </w:p>
        </w:tc>
        <w:tc>
          <w:tcPr>
            <w:tcW w:w="10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(4,510)</w:t>
            </w:r>
          </w:p>
        </w:tc>
      </w:tr>
      <w:tr>
        <w:trPr>
          <w:trHeight w:val="21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identifiable assets acquired</w:t>
            </w:r>
          </w:p>
        </w:tc>
        <w:tc>
          <w:tcPr>
            <w:tcW w:w="10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9"/>
        </w:trPr>
        <w:tc>
          <w:tcPr>
            <w:tcW w:w="9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48,649</w:t>
            </w:r>
          </w:p>
        </w:tc>
        <w:tc>
          <w:tcPr>
            <w:tcW w:w="120" w:type="dxa"/>
            <w:vAlign w:val="bottom"/>
            <w:shd w:val="clear" w:color="auto" w:fill="CFF0FC"/>
          </w:tcPr>
          <w:p>
            <w:pPr>
              <w:spacing w:after="0"/>
              <w:rPr>
                <w:sz w:val="19"/>
                <w:szCs w:val="19"/>
                <w:color w:val="auto"/>
              </w:rPr>
            </w:pPr>
          </w:p>
        </w:tc>
      </w:tr>
      <w:tr>
        <w:trPr>
          <w:trHeight w:val="218"/>
        </w:trPr>
        <w:tc>
          <w:tcPr>
            <w:tcW w:w="9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Identifiable intangible assets</w:t>
            </w:r>
          </w:p>
        </w:tc>
        <w:tc>
          <w:tcPr>
            <w:tcW w:w="10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32,386</w:t>
            </w:r>
          </w:p>
        </w:tc>
        <w:tc>
          <w:tcPr>
            <w:tcW w:w="120" w:type="dxa"/>
            <w:vAlign w:val="bottom"/>
            <w:tcBorders>
              <w:bottom w:val="single" w:sz="8" w:color="CFF0FC"/>
            </w:tcBorders>
          </w:tcPr>
          <w:p>
            <w:pPr>
              <w:spacing w:after="0"/>
              <w:rPr>
                <w:sz w:val="18"/>
                <w:szCs w:val="18"/>
                <w:color w:val="auto"/>
              </w:rPr>
            </w:pPr>
          </w:p>
        </w:tc>
      </w:tr>
      <w:tr>
        <w:trPr>
          <w:trHeight w:val="212"/>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assets acquired</w:t>
            </w:r>
          </w:p>
        </w:tc>
        <w:tc>
          <w:tcPr>
            <w:tcW w:w="1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86,811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20" w:firstLine="796"/>
        <w:spacing w:after="0" w:line="279" w:lineRule="auto"/>
        <w:rPr>
          <w:sz w:val="20"/>
          <w:szCs w:val="20"/>
          <w:color w:val="auto"/>
        </w:rPr>
      </w:pPr>
      <w:r>
        <w:rPr>
          <w:rFonts w:ascii="Arial" w:cs="Arial" w:eastAsia="Arial" w:hAnsi="Arial"/>
          <w:sz w:val="17"/>
          <w:szCs w:val="17"/>
          <w:color w:val="auto"/>
        </w:rPr>
        <w:t>Acquisition costs of approximately $2.9 million were included in general and administrative expenses in the Company’s consolidated statements of operations and comprehensive loss.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Income Taxes</w:t>
      </w:r>
    </w:p>
    <w:p>
      <w:pPr>
        <w:spacing w:after="0" w:line="114" w:lineRule="exact"/>
        <w:rPr>
          <w:sz w:val="20"/>
          <w:szCs w:val="20"/>
          <w:color w:val="auto"/>
        </w:rPr>
      </w:pPr>
    </w:p>
    <w:p>
      <w:pPr>
        <w:ind w:right="200" w:firstLine="796"/>
        <w:spacing w:after="0" w:line="279" w:lineRule="auto"/>
        <w:rPr>
          <w:sz w:val="20"/>
          <w:szCs w:val="20"/>
          <w:color w:val="auto"/>
        </w:rPr>
      </w:pPr>
      <w:r>
        <w:rPr>
          <w:rFonts w:ascii="Arial" w:cs="Arial" w:eastAsia="Arial" w:hAnsi="Arial"/>
          <w:sz w:val="17"/>
          <w:szCs w:val="17"/>
          <w:color w:val="auto"/>
        </w:rPr>
        <w:t>The net deferred tax liability was based upon the difference between the estimated book basis and tax basis of net assets acquired and an estimate for the final pre-acquisition net operating losses of Anelixis.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Identifiable Intangible Assets</w:t>
      </w:r>
    </w:p>
    <w:p>
      <w:pPr>
        <w:spacing w:after="0" w:line="114" w:lineRule="exact"/>
        <w:rPr>
          <w:sz w:val="20"/>
          <w:szCs w:val="20"/>
          <w:color w:val="auto"/>
        </w:rPr>
      </w:pPr>
    </w:p>
    <w:p>
      <w:pPr>
        <w:ind w:right="80" w:firstLine="796"/>
        <w:spacing w:after="0" w:line="279" w:lineRule="auto"/>
        <w:rPr>
          <w:sz w:val="20"/>
          <w:szCs w:val="20"/>
          <w:color w:val="auto"/>
        </w:rPr>
      </w:pPr>
      <w:r>
        <w:rPr>
          <w:rFonts w:ascii="Arial" w:cs="Arial" w:eastAsia="Arial" w:hAnsi="Arial"/>
          <w:sz w:val="17"/>
          <w:szCs w:val="17"/>
          <w:color w:val="auto"/>
        </w:rPr>
        <w:t>Through its acquisition of Anelixis, the Company acquired intangible assets that consisted of in-process research and development (“IPR&amp;D”) with an estimated fair value of $32.4 million, related to its clinical development program of AT-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8058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93" w:name="page94"/>
    <w:bookmarkEnd w:id="93"/>
    <w:p>
      <w:pPr>
        <w:jc w:val="both"/>
        <w:ind w:right="140"/>
        <w:spacing w:after="0" w:line="262" w:lineRule="auto"/>
        <w:rPr>
          <w:sz w:val="20"/>
          <w:szCs w:val="20"/>
          <w:color w:val="auto"/>
        </w:rPr>
      </w:pPr>
      <w:r>
        <w:rPr>
          <w:rFonts w:ascii="Arial" w:cs="Arial" w:eastAsia="Arial" w:hAnsi="Arial"/>
          <w:sz w:val="17"/>
          <w:szCs w:val="17"/>
          <w:color w:val="auto"/>
        </w:rPr>
        <w:t>1501. The estimated fair value of the IPR&amp;D was determined by management based on an external valuation specialist’s analysis of replacement costs to recreate AT-1501 in its current clinical stage. The replacement cost method contemplates the cost to recreate the utility of AT-1501 but in a form that is not a replica of AT-1501. In this method, the replacement cost is determined and reduced for depreciation of the asset. In this context, depreciation has three components: (i) physical deterioration, (ii) functional obsolescence, and (iii) economic obsolescence.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ind w:right="660" w:firstLine="796"/>
        <w:spacing w:after="0" w:line="279" w:lineRule="auto"/>
        <w:rPr>
          <w:sz w:val="20"/>
          <w:szCs w:val="20"/>
          <w:color w:val="auto"/>
        </w:rPr>
      </w:pPr>
      <w:r>
        <w:rPr>
          <w:rFonts w:ascii="Arial" w:cs="Arial" w:eastAsia="Arial" w:hAnsi="Arial"/>
          <w:sz w:val="17"/>
          <w:szCs w:val="17"/>
          <w:color w:val="auto"/>
        </w:rPr>
        <w:t>Under the acquisition method of accounting, goodwill of approximately $48.6 million would be generated after accounting for Anelixis’ assets acquired, liabilities assumed, and intangible assets identified and valued.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 Forma Information (Unaudited)</w:t>
      </w:r>
    </w:p>
    <w:p>
      <w:pPr>
        <w:spacing w:after="0" w:line="114" w:lineRule="exact"/>
        <w:rPr>
          <w:sz w:val="20"/>
          <w:szCs w:val="20"/>
          <w:color w:val="auto"/>
        </w:rPr>
      </w:pPr>
    </w:p>
    <w:p>
      <w:pPr>
        <w:ind w:right="140" w:firstLine="796"/>
        <w:spacing w:after="0" w:line="312" w:lineRule="auto"/>
        <w:rPr>
          <w:sz w:val="20"/>
          <w:szCs w:val="20"/>
          <w:color w:val="auto"/>
        </w:rPr>
      </w:pPr>
      <w:r>
        <w:rPr>
          <w:rFonts w:ascii="Arial" w:cs="Arial" w:eastAsia="Arial" w:hAnsi="Arial"/>
          <w:sz w:val="16"/>
          <w:szCs w:val="16"/>
          <w:color w:val="auto"/>
        </w:rPr>
        <w:t>The following unaudited pro forma combined financial information is presented to illustrate the estimated effects of the Merger based on the historical financial statements and accounting records of Eledon and Anelixis after giving effect to the Merger and the Merger-related pro forma adjustments.</w:t>
      </w:r>
    </w:p>
    <w:p>
      <w:pPr>
        <w:spacing w:after="0" w:line="37" w:lineRule="exact"/>
        <w:rPr>
          <w:sz w:val="20"/>
          <w:szCs w:val="20"/>
          <w:color w:val="auto"/>
        </w:rPr>
      </w:pPr>
    </w:p>
    <w:p>
      <w:pPr>
        <w:ind w:right="260" w:firstLine="796"/>
        <w:spacing w:after="0" w:line="349" w:lineRule="auto"/>
        <w:rPr>
          <w:sz w:val="20"/>
          <w:szCs w:val="20"/>
          <w:color w:val="auto"/>
        </w:rPr>
      </w:pPr>
      <w:r>
        <w:rPr>
          <w:rFonts w:ascii="Arial" w:cs="Arial" w:eastAsia="Arial" w:hAnsi="Arial"/>
          <w:sz w:val="15"/>
          <w:szCs w:val="15"/>
          <w:color w:val="auto"/>
        </w:rPr>
        <w:t>The unaudited pro forma combined statement of operations for the years ended December 31, 2020 and 2019 combine the historical statements of operations of Eledon and Anelixis, giving effect to the Merger as if it had occurred on January 1, 2019, the first day of the fiscal year ended December 31, 2019.</w:t>
      </w:r>
    </w:p>
    <w:p>
      <w:pPr>
        <w:spacing w:after="0" w:line="14" w:lineRule="exact"/>
        <w:rPr>
          <w:sz w:val="20"/>
          <w:szCs w:val="20"/>
          <w:color w:val="auto"/>
        </w:rPr>
      </w:pPr>
    </w:p>
    <w:p>
      <w:pPr>
        <w:ind w:right="40" w:firstLine="796"/>
        <w:spacing w:after="0" w:line="279" w:lineRule="auto"/>
        <w:rPr>
          <w:sz w:val="20"/>
          <w:szCs w:val="20"/>
          <w:color w:val="auto"/>
        </w:rPr>
      </w:pPr>
      <w:r>
        <w:rPr>
          <w:rFonts w:ascii="Arial" w:cs="Arial" w:eastAsia="Arial" w:hAnsi="Arial"/>
          <w:sz w:val="16"/>
          <w:szCs w:val="16"/>
          <w:color w:val="auto"/>
        </w:rPr>
        <w:t>The unaudited pro forma combined financial information has been presented for informational purposes only. The unaudited pro forma combined financial information does not purport to represent the actual results of operations that Eledon and Anelixis would have achieved had the companies been combined during the periods presented in the unaudited pro forma combined financial statements and is not intended to project the future results of operations that the combined company may achieve after the Merger. The unaudited pro forma combined financial information does not reflect any potential cost savings that may be realized as a result of the Merger and also does not reflect any restructuring or integration-related costs to achieve those potential cost savings.</w:t>
      </w:r>
    </w:p>
    <w:p>
      <w:pPr>
        <w:spacing w:after="0" w:line="65" w:lineRule="exact"/>
        <w:rPr>
          <w:sz w:val="20"/>
          <w:szCs w:val="20"/>
          <w:color w:val="auto"/>
        </w:rPr>
      </w:pPr>
    </w:p>
    <w:p>
      <w:pPr>
        <w:ind w:right="80" w:firstLine="796"/>
        <w:spacing w:after="0" w:line="255" w:lineRule="auto"/>
        <w:rPr>
          <w:sz w:val="20"/>
          <w:szCs w:val="20"/>
          <w:color w:val="auto"/>
        </w:rPr>
      </w:pPr>
      <w:r>
        <w:rPr>
          <w:rFonts w:ascii="Arial" w:cs="Arial" w:eastAsia="Arial" w:hAnsi="Arial"/>
          <w:sz w:val="17"/>
          <w:szCs w:val="17"/>
          <w:color w:val="auto"/>
        </w:rPr>
        <w:t>Additionally, the unaudited pro forma combined financial information does not reflect any merger-related expenses incurred by the Company or pre-merger Anelixis</w:t>
      </w:r>
      <w:r>
        <w:rPr>
          <w:rFonts w:ascii="Arial" w:cs="Arial" w:eastAsia="Arial" w:hAnsi="Arial"/>
          <w:sz w:val="20"/>
          <w:szCs w:val="20"/>
          <w:color w:val="auto"/>
        </w:rPr>
        <w:t>,</w:t>
      </w:r>
      <w:r>
        <w:rPr>
          <w:rFonts w:ascii="Arial" w:cs="Arial" w:eastAsia="Arial" w:hAnsi="Arial"/>
          <w:sz w:val="17"/>
          <w:szCs w:val="17"/>
          <w:color w:val="auto"/>
        </w:rPr>
        <w:t xml:space="preserve"> which totaled approximately $3.4 million and were removed from general and administrative expenses in the pro forma calculations below. The unaudited pro forma combined financial information also excludes certain other income and other expense items as part of the acquisition of Anelixis. For the year ended December 31, 2020, a gain of approximately $655,000 due to the forgiveness of Anelixis debt was removed from pro forma other income. Approximately $512,000 and $395,000 was excluded from pro forma other expenses for the years ended December 31, 2020 and 2019, respectively, for interest expenses related to notes that were converted into equity interest in the Company.</w:t>
      </w:r>
    </w:p>
    <w:p>
      <w:pPr>
        <w:spacing w:after="0" w:line="290"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jc w:val="center"/>
        <w:ind w:left="7460"/>
        <w:spacing w:after="0" w:line="220"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40" w:type="dxa"/>
            <w:vAlign w:val="bottom"/>
            <w:tcBorders>
              <w:bottom w:val="single" w:sz="8" w:color="CFF0FC"/>
            </w:tcBorders>
          </w:tcPr>
          <w:p>
            <w:pPr>
              <w:spacing w:after="0"/>
              <w:rPr>
                <w:sz w:val="12"/>
                <w:szCs w:val="12"/>
                <w:color w:val="auto"/>
              </w:rPr>
            </w:pPr>
          </w:p>
        </w:tc>
        <w:tc>
          <w:tcPr>
            <w:tcW w:w="2940" w:type="dxa"/>
            <w:vAlign w:val="bottom"/>
            <w:tcBorders>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8"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2"/>
                <w:szCs w:val="12"/>
                <w:color w:val="auto"/>
              </w:rPr>
            </w:pPr>
          </w:p>
        </w:tc>
        <w:tc>
          <w:tcPr>
            <w:tcW w:w="16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8"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3320" w:type="dxa"/>
            <w:vAlign w:val="bottom"/>
            <w:gridSpan w:val="2"/>
            <w:shd w:val="clear" w:color="auto" w:fill="CFF0FC"/>
          </w:tcPr>
          <w:p>
            <w:pPr>
              <w:jc w:val="right"/>
              <w:ind w:right="22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w:t>
            </w:r>
          </w:p>
        </w:tc>
        <w:tc>
          <w:tcPr>
            <w:tcW w:w="2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2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11,441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2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7"/>
                <w:szCs w:val="17"/>
                <w:color w:val="auto"/>
              </w:rPr>
              <w:t>Restructuring expense</w:t>
            </w: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Goodwill impairment</w:t>
            </w:r>
          </w:p>
        </w:tc>
        <w:tc>
          <w:tcPr>
            <w:tcW w:w="2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operating expenses</w:t>
            </w:r>
          </w:p>
        </w:tc>
        <w:tc>
          <w:tcPr>
            <w:tcW w:w="294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20,088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20,893</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(19,968)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Warrant inducement expense</w:t>
            </w:r>
          </w:p>
        </w:tc>
        <w:tc>
          <w:tcPr>
            <w:tcW w:w="2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(4,829)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7"/>
                <w:szCs w:val="17"/>
                <w:color w:val="auto"/>
              </w:rPr>
              <w:t>Loss before provision for income taxes</w:t>
            </w:r>
          </w:p>
        </w:tc>
        <w:tc>
          <w:tcPr>
            <w:tcW w:w="2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(24,718)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(20,353)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w:t>
            </w:r>
          </w:p>
        </w:tc>
        <w:tc>
          <w:tcPr>
            <w:tcW w:w="29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r>
              <w:rPr>
                <w:rFonts w:ascii="Arial" w:cs="Arial" w:eastAsia="Arial" w:hAnsi="Arial"/>
                <w:sz w:val="17"/>
                <w:szCs w:val="17"/>
                <w:color w:val="auto"/>
              </w:rPr>
              <w:t>Net loss and other comprehensive loss</w:t>
            </w:r>
          </w:p>
        </w:tc>
        <w:tc>
          <w:tcPr>
            <w:tcW w:w="294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(24,314)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(20,353)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loss per share, basic and diluted</w:t>
            </w: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40" w:type="dxa"/>
            <w:vAlign w:val="bottom"/>
            <w:vMerge w:val="continue"/>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(15.44)</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Weighted-average shares outstanding, basic and diluted</w:t>
            </w:r>
          </w:p>
        </w:tc>
        <w:tc>
          <w:tcPr>
            <w:tcW w:w="2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40" w:type="dxa"/>
            <w:vAlign w:val="bottom"/>
            <w:vMerge w:val="continue"/>
          </w:tcPr>
          <w:p>
            <w:pPr>
              <w:spacing w:after="0"/>
              <w:rPr>
                <w:sz w:val="17"/>
                <w:szCs w:val="17"/>
                <w:color w:val="auto"/>
              </w:rPr>
            </w:pPr>
          </w:p>
        </w:tc>
        <w:tc>
          <w:tcPr>
            <w:tcW w:w="2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1,574,657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831,014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640" w:type="dxa"/>
            <w:vAlign w:val="bottom"/>
          </w:tcPr>
          <w:p>
            <w:pPr>
              <w:spacing w:after="0"/>
              <w:rPr>
                <w:sz w:val="24"/>
                <w:szCs w:val="24"/>
                <w:color w:val="auto"/>
              </w:rPr>
            </w:pPr>
          </w:p>
        </w:tc>
        <w:tc>
          <w:tcPr>
            <w:tcW w:w="3320" w:type="dxa"/>
            <w:vAlign w:val="bottom"/>
            <w:gridSpan w:val="2"/>
          </w:tcPr>
          <w:p>
            <w:pPr>
              <w:jc w:val="right"/>
              <w:ind w:right="2105"/>
              <w:spacing w:after="0"/>
              <w:rPr>
                <w:sz w:val="20"/>
                <w:szCs w:val="20"/>
                <w:color w:val="auto"/>
              </w:rPr>
            </w:pPr>
            <w:r>
              <w:rPr>
                <w:rFonts w:ascii="Arial" w:cs="Arial" w:eastAsia="Arial" w:hAnsi="Arial"/>
                <w:sz w:val="17"/>
                <w:szCs w:val="17"/>
                <w:color w:val="auto"/>
              </w:rPr>
              <w:t>F-31</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4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462" w:right="299" w:bottom="1440" w:gutter="0" w:footer="0" w:header="0"/>
        </w:sectPr>
      </w:pPr>
    </w:p>
    <w:bookmarkStart w:id="94" w:name="page95"/>
    <w:bookmarkEnd w:id="94"/>
    <w:p>
      <w:pPr>
        <w:ind w:right="240" w:firstLine="602"/>
        <w:spacing w:after="0" w:line="312" w:lineRule="auto"/>
        <w:rPr>
          <w:sz w:val="20"/>
          <w:szCs w:val="20"/>
          <w:color w:val="auto"/>
        </w:rPr>
      </w:pPr>
      <w:r>
        <w:rPr>
          <w:rFonts w:ascii="Arial" w:cs="Arial" w:eastAsia="Arial" w:hAnsi="Arial"/>
          <w:sz w:val="16"/>
          <w:szCs w:val="16"/>
          <w:color w:val="auto"/>
        </w:rPr>
        <w:t>Actual net loss and other comprehensive loss of Anelixis since September 14, 2020 that is included in our consolidated statement of operations for the year ended December 31, 2020, is approximately $2.5 million. Anelixis did not recognize any revenue in 2020 since its acquisition by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Subsequent Events</w:t>
      </w:r>
    </w:p>
    <w:p>
      <w:pPr>
        <w:spacing w:after="0" w:line="120" w:lineRule="exact"/>
        <w:rPr>
          <w:sz w:val="20"/>
          <w:szCs w:val="20"/>
          <w:color w:val="auto"/>
        </w:rPr>
      </w:pPr>
    </w:p>
    <w:p>
      <w:pPr>
        <w:ind w:right="300" w:firstLine="501"/>
        <w:spacing w:after="0" w:line="349" w:lineRule="auto"/>
        <w:rPr>
          <w:sz w:val="20"/>
          <w:szCs w:val="20"/>
          <w:color w:val="auto"/>
        </w:rPr>
      </w:pPr>
      <w:r>
        <w:rPr>
          <w:rFonts w:ascii="Arial" w:cs="Arial" w:eastAsia="Arial" w:hAnsi="Arial"/>
          <w:sz w:val="15"/>
          <w:szCs w:val="15"/>
          <w:color w:val="auto"/>
        </w:rPr>
        <w:t>The Company has evaluated events subsequent to December 31, 2020 through the filing date of this Annual Report on Form 10-K. Any material subsequent events that occurred during this time have been properly recognized or disclosed in the consolidated financial statements and accompanying notes.</w:t>
      </w:r>
    </w:p>
    <w:p>
      <w:pPr>
        <w:spacing w:after="0" w:line="14" w:lineRule="exact"/>
        <w:rPr>
          <w:sz w:val="20"/>
          <w:szCs w:val="20"/>
          <w:color w:val="auto"/>
        </w:rPr>
      </w:pPr>
    </w:p>
    <w:p>
      <w:pPr>
        <w:ind w:right="60" w:firstLine="501"/>
        <w:spacing w:after="0" w:line="266" w:lineRule="auto"/>
        <w:rPr>
          <w:sz w:val="20"/>
          <w:szCs w:val="20"/>
          <w:color w:val="auto"/>
        </w:rPr>
      </w:pPr>
      <w:r>
        <w:rPr>
          <w:rFonts w:ascii="Arial" w:cs="Arial" w:eastAsia="Arial" w:hAnsi="Arial"/>
          <w:sz w:val="17"/>
          <w:szCs w:val="17"/>
          <w:color w:val="auto"/>
        </w:rPr>
        <w:t>On March 15, 2021, the Company appointed Paul Little as the Company’s Chief Financial Officer. In that role, Mr. Little will also serve as the Company’s principal financial officer, replacing Jon Kuwahara in that role. Mr. Kuwahara will continue to serve as the Company’s Senior Vice President of Finance and Administration and principal accounting officer.</w:t>
      </w:r>
    </w:p>
    <w:p>
      <w:pPr>
        <w:spacing w:after="0" w:line="72" w:lineRule="exact"/>
        <w:rPr>
          <w:sz w:val="20"/>
          <w:szCs w:val="20"/>
          <w:color w:val="auto"/>
        </w:rPr>
      </w:pPr>
    </w:p>
    <w:p>
      <w:pPr>
        <w:ind w:right="100" w:firstLine="546"/>
        <w:spacing w:after="0" w:line="266" w:lineRule="auto"/>
        <w:rPr>
          <w:sz w:val="20"/>
          <w:szCs w:val="20"/>
          <w:color w:val="auto"/>
        </w:rPr>
      </w:pPr>
      <w:r>
        <w:rPr>
          <w:rFonts w:ascii="Arial" w:cs="Arial" w:eastAsia="Arial" w:hAnsi="Arial"/>
          <w:sz w:val="17"/>
          <w:szCs w:val="17"/>
          <w:color w:val="auto"/>
        </w:rPr>
        <w:t>On March 30, 2021, the Company entered into an Open Market Sale Agreement (the “Sale Agreement”) with Jefferies LLC (“Jefferies”) to sell shares of the Company’s common stock, par value $0.001 per share, having aggregate sales proceeds of up to $75,000,000, from time to time, through an “at the market” equity offering program under which Jefferies will act as sales agent.</w:t>
      </w:r>
    </w:p>
    <w:p>
      <w:pPr>
        <w:spacing w:after="0" w:line="72" w:lineRule="exact"/>
        <w:rPr>
          <w:sz w:val="20"/>
          <w:szCs w:val="20"/>
          <w:color w:val="auto"/>
        </w:rPr>
      </w:pPr>
    </w:p>
    <w:p>
      <w:pPr>
        <w:ind w:firstLine="546"/>
        <w:spacing w:after="0" w:line="299" w:lineRule="auto"/>
        <w:rPr>
          <w:sz w:val="20"/>
          <w:szCs w:val="20"/>
          <w:color w:val="auto"/>
        </w:rPr>
      </w:pPr>
      <w:r>
        <w:rPr>
          <w:rFonts w:ascii="Arial" w:cs="Arial" w:eastAsia="Arial" w:hAnsi="Arial"/>
          <w:sz w:val="15"/>
          <w:szCs w:val="15"/>
          <w:color w:val="auto"/>
        </w:rPr>
        <w:t>Under the Sale Agreement, the Company will set the parameters for the sale of shares, including the number of shares to be issued, the time period during which sales are requested to be made, limitation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415(a)(4) promulgated under the Securities Act of 1933, as amended, including sales made directly on The Nasdaq Capital Market or on any other existing trading market for the common stock. The Company and Jefferies may each terminate the Sale Agreement at any time as set forth in the Sale Agreement. Under the terms of the Sale Agreement, the Company may also sell shares to Jefferies acting as principal for Jefferies’ own account.</w:t>
      </w:r>
    </w:p>
    <w:p>
      <w:pPr>
        <w:spacing w:after="0" w:line="51" w:lineRule="exact"/>
        <w:rPr>
          <w:sz w:val="20"/>
          <w:szCs w:val="20"/>
          <w:color w:val="auto"/>
        </w:rPr>
      </w:pPr>
    </w:p>
    <w:p>
      <w:pPr>
        <w:jc w:val="both"/>
        <w:ind w:right="80" w:firstLine="546"/>
        <w:spacing w:after="0" w:line="266" w:lineRule="auto"/>
        <w:rPr>
          <w:sz w:val="20"/>
          <w:szCs w:val="20"/>
          <w:color w:val="auto"/>
        </w:rPr>
      </w:pPr>
      <w:r>
        <w:rPr>
          <w:rFonts w:ascii="Arial" w:cs="Arial" w:eastAsia="Arial" w:hAnsi="Arial"/>
          <w:sz w:val="17"/>
          <w:szCs w:val="17"/>
          <w:color w:val="auto"/>
        </w:rPr>
        <w:t>The compensation to Jefferies for sales of the Company’s common stock will be an amount equal to 3.0% of the gross proceeds of any shares of common stock sold under the Sale Agreement. The Company has no obligation to sell any shares under the Sale Agreement, and may at any time suspend solicitation and offers under the Sale Agreement.</w:t>
      </w:r>
    </w:p>
    <w:p>
      <w:pPr>
        <w:spacing w:after="0" w:line="72"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The shares will be issued pursuant to a shelf registration statement on Form S-3 to be filed with the SEC. No sales may be made under the registration statement until it has been declared effective by the SEC.</w:t>
      </w:r>
    </w:p>
    <w:p>
      <w:pPr>
        <w:spacing w:after="0" w:line="61" w:lineRule="exact"/>
        <w:rPr>
          <w:sz w:val="20"/>
          <w:szCs w:val="20"/>
          <w:color w:val="auto"/>
        </w:rPr>
      </w:pPr>
    </w:p>
    <w:p>
      <w:pPr>
        <w:ind w:right="180" w:firstLine="546"/>
        <w:spacing w:after="0" w:line="279" w:lineRule="auto"/>
        <w:rPr>
          <w:sz w:val="20"/>
          <w:szCs w:val="20"/>
          <w:color w:val="auto"/>
        </w:rPr>
      </w:pPr>
      <w:r>
        <w:rPr>
          <w:rFonts w:ascii="Arial" w:cs="Arial" w:eastAsia="Arial" w:hAnsi="Arial"/>
          <w:sz w:val="17"/>
          <w:szCs w:val="17"/>
          <w:color w:val="auto"/>
        </w:rPr>
        <w:t>The foregoing description of the Sale Agreement is not complete and is qualified in its entirety by reference to the full text of such agreement, a copy of which is filed herewith as Exhibit 1.1 to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180"/>
          </w:cols>
          <w:pgMar w:left="320" w:top="578" w:right="399" w:bottom="1440" w:gutter="0" w:footer="0" w:header="0"/>
        </w:sectPr>
      </w:pPr>
    </w:p>
    <w:bookmarkStart w:id="95" w:name="page96"/>
    <w:bookmarkEnd w:id="95"/>
    <w:p>
      <w:pPr>
        <w:spacing w:after="0" w:line="80" w:lineRule="exact"/>
        <w:rPr>
          <w:sz w:val="20"/>
          <w:szCs w:val="20"/>
          <w:color w:val="auto"/>
        </w:rPr>
      </w:pPr>
    </w:p>
    <w:p>
      <w:pPr>
        <w:ind w:left="10280"/>
        <w:spacing w:after="0"/>
        <w:rPr>
          <w:sz w:val="20"/>
          <w:szCs w:val="20"/>
          <w:color w:val="auto"/>
        </w:rPr>
      </w:pPr>
      <w:r>
        <w:rPr>
          <w:rFonts w:ascii="Arial" w:cs="Arial" w:eastAsia="Arial" w:hAnsi="Arial"/>
          <w:sz w:val="19"/>
          <w:szCs w:val="19"/>
          <w:b w:val="1"/>
          <w:bCs w:val="1"/>
          <w:u w:val="single" w:color="auto"/>
          <w:color w:val="auto"/>
        </w:rPr>
        <w:t>Exhibit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OPEN MARKET SALE AGREEMENT</w:t>
      </w:r>
      <w:r>
        <w:rPr>
          <w:rFonts w:ascii="Arial" w:cs="Arial" w:eastAsia="Arial" w:hAnsi="Arial"/>
          <w:sz w:val="17"/>
          <w:szCs w:val="17"/>
          <w:b w:val="1"/>
          <w:bCs w:val="1"/>
          <w:color w:val="auto"/>
        </w:rPr>
        <w:t>SM</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March 30, 2021</w:t>
      </w:r>
    </w:p>
    <w:p>
      <w:pPr>
        <w:spacing w:after="0" w:line="19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JEFFERIES LLC</w:t>
      </w:r>
    </w:p>
    <w:p>
      <w:pPr>
        <w:ind w:left="1740"/>
        <w:spacing w:after="0"/>
        <w:rPr>
          <w:sz w:val="20"/>
          <w:szCs w:val="20"/>
          <w:color w:val="auto"/>
        </w:rPr>
      </w:pPr>
      <w:r>
        <w:rPr>
          <w:rFonts w:ascii="Arial" w:cs="Arial" w:eastAsia="Arial" w:hAnsi="Arial"/>
          <w:sz w:val="21"/>
          <w:szCs w:val="21"/>
          <w:color w:val="auto"/>
        </w:rPr>
        <w:t>520 Madison Avenue</w:t>
      </w:r>
    </w:p>
    <w:p>
      <w:pPr>
        <w:spacing w:after="0"/>
        <w:rPr>
          <w:sz w:val="20"/>
          <w:szCs w:val="20"/>
          <w:color w:val="auto"/>
        </w:rPr>
      </w:pPr>
      <w:r>
        <w:rPr>
          <w:rFonts w:ascii="Arial" w:cs="Arial" w:eastAsia="Arial" w:hAnsi="Arial"/>
          <w:sz w:val="21"/>
          <w:szCs w:val="21"/>
          <w:color w:val="auto"/>
        </w:rPr>
        <w:t>New York, New York 10022</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864"/>
        <w:spacing w:after="0"/>
        <w:rPr>
          <w:sz w:val="20"/>
          <w:szCs w:val="20"/>
          <w:color w:val="auto"/>
        </w:rPr>
      </w:pPr>
      <w:r>
        <w:rPr>
          <w:rFonts w:ascii="Arial" w:cs="Arial" w:eastAsia="Arial" w:hAnsi="Arial"/>
          <w:sz w:val="21"/>
          <w:szCs w:val="21"/>
          <w:color w:val="auto"/>
        </w:rPr>
        <w:t>Eledon Pharmaceuticals,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proposes, subject to the terms and conditions stated herein, to issue and sell from time to time through Jefferies LLC, as sales agent and/or principal (the “</w:t>
      </w:r>
      <w:r>
        <w:rPr>
          <w:rFonts w:ascii="Arial" w:cs="Arial" w:eastAsia="Arial" w:hAnsi="Arial"/>
          <w:sz w:val="21"/>
          <w:szCs w:val="21"/>
          <w:b w:val="1"/>
          <w:bCs w:val="1"/>
          <w:color w:val="auto"/>
        </w:rPr>
        <w:t>Agent</w:t>
      </w:r>
      <w:r>
        <w:rPr>
          <w:rFonts w:ascii="Arial" w:cs="Arial" w:eastAsia="Arial" w:hAnsi="Arial"/>
          <w:sz w:val="21"/>
          <w:szCs w:val="21"/>
          <w:color w:val="auto"/>
        </w:rPr>
        <w:t>”), shares of the Company’s common stock, par value $0.001 per share (the “</w:t>
      </w:r>
      <w:r>
        <w:rPr>
          <w:rFonts w:ascii="Arial" w:cs="Arial" w:eastAsia="Arial" w:hAnsi="Arial"/>
          <w:sz w:val="21"/>
          <w:szCs w:val="21"/>
          <w:b w:val="1"/>
          <w:bCs w:val="1"/>
          <w:color w:val="auto"/>
        </w:rPr>
        <w:t>Common Shares</w:t>
      </w:r>
      <w:r>
        <w:rPr>
          <w:rFonts w:ascii="Arial" w:cs="Arial" w:eastAsia="Arial" w:hAnsi="Arial"/>
          <w:sz w:val="21"/>
          <w:szCs w:val="21"/>
          <w:color w:val="auto"/>
        </w:rPr>
        <w:t>”), having an aggregate offering price of up to $75,000,00 on the terms set forth in this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69" w:lineRule="exact"/>
        <w:rPr>
          <w:sz w:val="20"/>
          <w:szCs w:val="20"/>
          <w:color w:val="auto"/>
        </w:rPr>
      </w:pPr>
    </w:p>
    <w:p>
      <w:pPr>
        <w:spacing w:after="0"/>
        <w:tabs>
          <w:tab w:leader="none" w:pos="156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21"/>
          <w:szCs w:val="21"/>
          <w:b w:val="1"/>
          <w:bCs w:val="1"/>
          <w:color w:val="auto"/>
        </w:rPr>
        <w:t>DEFINITIONS</w:t>
      </w:r>
    </w:p>
    <w:p>
      <w:pPr>
        <w:spacing w:after="0" w:line="203" w:lineRule="exact"/>
        <w:rPr>
          <w:sz w:val="20"/>
          <w:szCs w:val="20"/>
          <w:color w:val="auto"/>
        </w:rPr>
      </w:pPr>
    </w:p>
    <w:p>
      <w:pPr>
        <w:ind w:firstLine="867"/>
        <w:spacing w:after="0" w:line="252" w:lineRule="auto"/>
        <w:tabs>
          <w:tab w:leader="none" w:pos="171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Agreement, capitalized terms used herein and not otherwise defined shall have the following respective meanings:</w:t>
      </w:r>
    </w:p>
    <w:p>
      <w:pPr>
        <w:spacing w:after="0" w:line="15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4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Agency Period</w:t>
      </w:r>
      <w:r>
        <w:rPr>
          <w:rFonts w:ascii="Arial" w:cs="Arial" w:eastAsia="Arial" w:hAnsi="Arial"/>
          <w:sz w:val="21"/>
          <w:szCs w:val="21"/>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Commission</w:t>
      </w:r>
      <w:r>
        <w:rPr>
          <w:rFonts w:ascii="Arial" w:cs="Arial" w:eastAsia="Arial" w:hAnsi="Arial"/>
          <w:sz w:val="21"/>
          <w:szCs w:val="21"/>
          <w:color w:val="auto"/>
        </w:rPr>
        <w:t>” means the U.S. Securities and Exchange Commission.</w:t>
      </w:r>
    </w:p>
    <w:p>
      <w:pPr>
        <w:spacing w:after="0" w:line="197"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means the Securities Exchange Act of 1934, as amended, and the rules and regulations of the Commission thereunder.</w:t>
      </w:r>
    </w:p>
    <w:p>
      <w:pPr>
        <w:spacing w:after="0" w:line="15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31"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Issuance Notice</w:t>
      </w:r>
      <w:r>
        <w:rPr>
          <w:rFonts w:ascii="Arial" w:cs="Arial" w:eastAsia="Arial" w:hAnsi="Arial"/>
          <w:sz w:val="20"/>
          <w:szCs w:val="20"/>
          <w:color w:val="auto"/>
        </w:rPr>
        <w:t xml:space="preserve">” means a written notice delivered to the Agent by the Company in accordance with this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that is executed by its Chief Executive Officer, President or Chief Financial Officer.</w:t>
      </w:r>
    </w:p>
    <w:p>
      <w:pPr>
        <w:spacing w:after="0" w:line="128"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Issuance Notice Date</w:t>
      </w:r>
      <w:r>
        <w:rPr>
          <w:rFonts w:ascii="Arial" w:cs="Arial" w:eastAsia="Arial" w:hAnsi="Arial"/>
          <w:sz w:val="21"/>
          <w:szCs w:val="21"/>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7677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Issuance Price</w:t>
      </w:r>
      <w:r>
        <w:rPr>
          <w:rFonts w:ascii="Arial" w:cs="Arial" w:eastAsia="Arial" w:hAnsi="Arial"/>
          <w:sz w:val="21"/>
          <w:szCs w:val="21"/>
          <w:color w:val="auto"/>
        </w:rPr>
        <w:t>” means the Sales Price less the Selling Commission.</w:t>
      </w:r>
    </w:p>
    <w:p>
      <w:pPr>
        <w:spacing w:after="0" w:line="19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Program Amount</w:t>
      </w:r>
      <w:r>
        <w:rPr>
          <w:rFonts w:ascii="Arial" w:cs="Arial" w:eastAsia="Arial" w:hAnsi="Arial"/>
          <w:sz w:val="19"/>
          <w:szCs w:val="19"/>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4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or a corporation, partnership, limited liability company, trust, incorporated or unincorporated association, joint venture, joint stock company, governmental authority or other entity of any kind.</w:t>
      </w:r>
    </w:p>
    <w:p>
      <w:pPr>
        <w:spacing w:after="0" w:line="151"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Principal Market</w:t>
      </w:r>
      <w:r>
        <w:rPr>
          <w:rFonts w:ascii="Arial" w:cs="Arial" w:eastAsia="Arial" w:hAnsi="Arial"/>
          <w:sz w:val="21"/>
          <w:szCs w:val="21"/>
          <w:color w:val="auto"/>
        </w:rPr>
        <w:t>” means the Nasdaq Capital Market or such other national securities exchange on which the Common Shares, including any Shares, are then listed.</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Sales Price</w:t>
      </w:r>
      <w:r>
        <w:rPr>
          <w:rFonts w:ascii="Arial" w:cs="Arial" w:eastAsia="Arial" w:hAnsi="Arial"/>
          <w:sz w:val="20"/>
          <w:szCs w:val="20"/>
          <w:color w:val="auto"/>
        </w:rPr>
        <w:t>” means the actual sale execution price of each Share placed by the Agent pursuant to this Agreement.</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31"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Selling Commission</w:t>
      </w:r>
      <w:r>
        <w:rPr>
          <w:rFonts w:ascii="Arial" w:cs="Arial" w:eastAsia="Arial" w:hAnsi="Arial"/>
          <w:sz w:val="20"/>
          <w:szCs w:val="20"/>
          <w:color w:val="auto"/>
        </w:rPr>
        <w:t>” means three percent (3%) of the gross proceeds of Shares sold pursuant to this Agreement, or as otherwise agreed between the Company and the Agent with respect to any Shares sold pursuant to this Agreement.</w:t>
      </w:r>
    </w:p>
    <w:p>
      <w:pPr>
        <w:sectPr>
          <w:pgSz w:w="11900" w:h="16918" w:orient="portrait"/>
          <w:cols w:equalWidth="0" w:num="1">
            <w:col w:w="11240"/>
          </w:cols>
          <w:pgMar w:left="320" w:top="525" w:right="339" w:bottom="0" w:gutter="0" w:footer="0" w:header="0"/>
        </w:sectPr>
      </w:pPr>
    </w:p>
    <w:bookmarkStart w:id="96" w:name="page97"/>
    <w:bookmarkEnd w:id="96"/>
    <w:p>
      <w:pPr>
        <w:jc w:val="both"/>
        <w:ind w:firstLine="86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Date</w:t>
      </w:r>
      <w:r>
        <w:rPr>
          <w:rFonts w:ascii="Arial" w:cs="Arial" w:eastAsia="Arial" w:hAnsi="Arial"/>
          <w:sz w:val="19"/>
          <w:szCs w:val="19"/>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SM </w:t>
      </w:r>
      <w:r>
        <w:rPr>
          <w:rFonts w:ascii="Arial" w:cs="Arial" w:eastAsia="Arial" w:hAnsi="Arial"/>
          <w:sz w:val="17"/>
          <w:szCs w:val="17"/>
          <w:color w:val="auto"/>
        </w:rPr>
        <w:t>“Open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142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14243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509905</wp:posOffset>
            </wp:positionV>
            <wp:extent cx="718058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Shares</w:t>
      </w:r>
      <w:r>
        <w:rPr>
          <w:rFonts w:ascii="Arial" w:cs="Arial" w:eastAsia="Arial" w:hAnsi="Arial"/>
          <w:sz w:val="21"/>
          <w:szCs w:val="21"/>
          <w:color w:val="auto"/>
        </w:rPr>
        <w:t>” shall mean the Company’s Common Shares issued or issuable pursuant to this Agreement.</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Day</w:t>
      </w:r>
      <w:r>
        <w:rPr>
          <w:rFonts w:ascii="Arial" w:cs="Arial" w:eastAsia="Arial" w:hAnsi="Arial"/>
          <w:sz w:val="21"/>
          <w:szCs w:val="21"/>
          <w:color w:val="auto"/>
        </w:rPr>
        <w:t>” means any day on which the Principal Market is open for trading.</w:t>
      </w:r>
    </w:p>
    <w:p>
      <w:pPr>
        <w:spacing w:after="0" w:line="197" w:lineRule="exact"/>
        <w:rPr>
          <w:sz w:val="20"/>
          <w:szCs w:val="20"/>
          <w:color w:val="auto"/>
        </w:rPr>
      </w:pPr>
    </w:p>
    <w:p>
      <w:pPr>
        <w:spacing w:after="0"/>
        <w:tabs>
          <w:tab w:leader="none" w:pos="156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20"/>
          <w:szCs w:val="20"/>
          <w:b w:val="1"/>
          <w:bCs w:val="1"/>
          <w:color w:val="auto"/>
        </w:rPr>
        <w:t>REPRESENTATIONS AND WARRANTIES OF THE COMPANY</w:t>
      </w:r>
    </w:p>
    <w:p>
      <w:pPr>
        <w:spacing w:after="0" w:line="20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The Company represents and warrants to, and agrees with, the Agent that as of (1) the date of this Agreement, (2) each Issuance Notice Date, (3) each Settlement Date, (4) each Triggering Event Date and (5) as of each Time of Sale (each of the times referenced above is referred to herein as a “</w:t>
      </w:r>
      <w:r>
        <w:rPr>
          <w:rFonts w:ascii="Arial" w:cs="Arial" w:eastAsia="Arial" w:hAnsi="Arial"/>
          <w:sz w:val="20"/>
          <w:szCs w:val="20"/>
          <w:b w:val="1"/>
          <w:bCs w:val="1"/>
          <w:color w:val="auto"/>
        </w:rPr>
        <w:t>Representation Date</w:t>
      </w:r>
      <w:r>
        <w:rPr>
          <w:rFonts w:ascii="Arial" w:cs="Arial" w:eastAsia="Arial" w:hAnsi="Arial"/>
          <w:sz w:val="20"/>
          <w:szCs w:val="20"/>
          <w:color w:val="auto"/>
        </w:rPr>
        <w:t>”), except as may be disclosed in the Prospectus (including any documents incorporated by reference therein and any supplements thereto) on or before a Representation Date:</w:t>
      </w:r>
    </w:p>
    <w:p>
      <w:pPr>
        <w:spacing w:after="0" w:line="165" w:lineRule="exact"/>
        <w:rPr>
          <w:sz w:val="20"/>
          <w:szCs w:val="20"/>
          <w:color w:val="auto"/>
        </w:rPr>
      </w:pPr>
    </w:p>
    <w:p>
      <w:pPr>
        <w:jc w:val="both"/>
        <w:ind w:firstLine="867"/>
        <w:spacing w:after="0" w:line="273" w:lineRule="auto"/>
        <w:tabs>
          <w:tab w:leader="none" w:pos="171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will file with the Commission on the date hereof a shelf registration statement on Form S-3 that contains a base prospectus (the “</w:t>
      </w:r>
      <w:r>
        <w:rPr>
          <w:rFonts w:ascii="Arial" w:cs="Arial" w:eastAsia="Arial" w:hAnsi="Arial"/>
          <w:sz w:val="18"/>
          <w:szCs w:val="18"/>
          <w:b w:val="1"/>
          <w:bCs w:val="1"/>
          <w:color w:val="auto"/>
        </w:rPr>
        <w:t>Base Prospectus</w:t>
      </w:r>
      <w:r>
        <w:rPr>
          <w:rFonts w:ascii="Arial" w:cs="Arial" w:eastAsia="Arial" w:hAnsi="Arial"/>
          <w:sz w:val="18"/>
          <w:szCs w:val="18"/>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8"/>
          <w:szCs w:val="18"/>
          <w:b w:val="1"/>
          <w:bCs w:val="1"/>
          <w:color w:val="auto"/>
        </w:rPr>
        <w:t>Prospectus</w:t>
      </w:r>
      <w:r>
        <w:rPr>
          <w:rFonts w:ascii="Arial" w:cs="Arial" w:eastAsia="Arial" w:hAnsi="Arial"/>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8"/>
          <w:szCs w:val="18"/>
          <w:b w:val="1"/>
          <w:bCs w:val="1"/>
          <w:color w:val="auto"/>
        </w:rPr>
        <w:t>Prospectus</w:t>
      </w:r>
      <w:r>
        <w:rPr>
          <w:rFonts w:ascii="Arial" w:cs="Arial" w:eastAsia="Arial" w:hAnsi="Arial"/>
          <w:sz w:val="18"/>
          <w:szCs w:val="18"/>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8"/>
          <w:szCs w:val="18"/>
          <w:b w:val="1"/>
          <w:bCs w:val="1"/>
          <w:color w:val="auto"/>
        </w:rPr>
        <w:t>Original 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As used in this Agreement, the terms “amendment” or “supplement” when applied to the Registration Statement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shall be deemed to include the filing by the Company with the Commission of any document under the Exchange Act after the date hereof that is or is deemed to be incorporated therein by reference.</w:t>
      </w:r>
    </w:p>
    <w:p>
      <w:pPr>
        <w:spacing w:after="0" w:line="38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1"/>
          <w:szCs w:val="21"/>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98" w:name="page99"/>
    <w:bookmarkEnd w:id="98"/>
    <w:p>
      <w:pPr>
        <w:jc w:val="both"/>
        <w:spacing w:after="0" w:line="241" w:lineRule="auto"/>
        <w:rPr>
          <w:sz w:val="20"/>
          <w:szCs w:val="20"/>
          <w:color w:val="auto"/>
        </w:rPr>
      </w:pPr>
      <w:r>
        <w:rPr>
          <w:rFonts w:ascii="Arial" w:cs="Arial" w:eastAsia="Arial" w:hAnsi="Arial"/>
          <w:sz w:val="21"/>
          <w:szCs w:val="21"/>
          <w:color w:val="auto"/>
        </w:rPr>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7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65" w:lineRule="exact"/>
        <w:rPr>
          <w:sz w:val="20"/>
          <w:szCs w:val="20"/>
          <w:color w:val="auto"/>
        </w:rPr>
      </w:pPr>
    </w:p>
    <w:p>
      <w:pPr>
        <w:jc w:val="both"/>
        <w:ind w:firstLine="867"/>
        <w:spacing w:after="0" w:line="235" w:lineRule="auto"/>
        <w:tabs>
          <w:tab w:leader="none" w:pos="172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Compliance with Registration Requirements</w:t>
      </w:r>
      <w:r>
        <w:rPr>
          <w:rFonts w:ascii="Arial" w:cs="Arial" w:eastAsia="Arial" w:hAnsi="Arial"/>
          <w:sz w:val="21"/>
          <w:szCs w:val="21"/>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0" w:lineRule="exact"/>
        <w:rPr>
          <w:sz w:val="20"/>
          <w:szCs w:val="20"/>
          <w:color w:val="auto"/>
        </w:rPr>
      </w:pPr>
    </w:p>
    <w:p>
      <w:pPr>
        <w:jc w:val="both"/>
        <w:ind w:firstLine="864"/>
        <w:spacing w:after="0" w:line="234" w:lineRule="exact"/>
        <w:rPr>
          <w:sz w:val="20"/>
          <w:szCs w:val="20"/>
          <w:color w:val="auto"/>
        </w:rPr>
      </w:pPr>
      <w:r>
        <w:rPr>
          <w:rFonts w:ascii="Arial" w:cs="Arial" w:eastAsia="Arial" w:hAnsi="Arial"/>
          <w:sz w:val="19"/>
          <w:szCs w:val="19"/>
          <w:color w:val="auto"/>
        </w:rPr>
        <w:t>The Prospectus when filed complied in all material respects with the Securities Act and, if filed with the Commission through its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 (except as may be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 Sale Information</w:t>
      </w:r>
      <w:r>
        <w:rPr>
          <w:rFonts w:ascii="Arial" w:cs="Arial" w:eastAsia="Arial" w:hAnsi="Arial"/>
          <w:sz w:val="19"/>
          <w:szCs w:val="19"/>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99" w:name="page100"/>
    <w:bookmarkEnd w:id="99"/>
    <w:p>
      <w:pPr>
        <w:jc w:val="both"/>
        <w:ind w:firstLine="867"/>
        <w:spacing w:after="0" w:line="245" w:lineRule="auto"/>
        <w:tabs>
          <w:tab w:leader="none" w:pos="171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Ineligible Issuer Status</w:t>
      </w:r>
      <w:r>
        <w:rPr>
          <w:rFonts w:ascii="Arial" w:cs="Arial" w:eastAsia="Arial" w:hAnsi="Arial"/>
          <w:sz w:val="20"/>
          <w:szCs w:val="20"/>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73" w:lineRule="exact"/>
        <w:rPr>
          <w:rFonts w:ascii="Arial" w:cs="Arial" w:eastAsia="Arial" w:hAnsi="Arial"/>
          <w:sz w:val="20"/>
          <w:szCs w:val="20"/>
          <w:color w:val="auto"/>
        </w:rPr>
      </w:pPr>
    </w:p>
    <w:p>
      <w:pPr>
        <w:jc w:val="both"/>
        <w:ind w:firstLine="867"/>
        <w:spacing w:after="0" w:line="250" w:lineRule="auto"/>
        <w:tabs>
          <w:tab w:leader="none" w:pos="172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Incorporated Documents</w:t>
      </w:r>
      <w:r>
        <w:rPr>
          <w:rFonts w:ascii="Arial" w:cs="Arial" w:eastAsia="Arial" w:hAnsi="Arial"/>
          <w:sz w:val="20"/>
          <w:szCs w:val="20"/>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68" w:lineRule="exact"/>
        <w:rPr>
          <w:rFonts w:ascii="Arial" w:cs="Arial" w:eastAsia="Arial" w:hAnsi="Arial"/>
          <w:sz w:val="20"/>
          <w:szCs w:val="20"/>
          <w:color w:val="auto"/>
        </w:rPr>
      </w:pPr>
    </w:p>
    <w:p>
      <w:pPr>
        <w:jc w:val="both"/>
        <w:ind w:firstLine="867"/>
        <w:spacing w:after="0" w:line="263" w:lineRule="auto"/>
        <w:tabs>
          <w:tab w:leader="none" w:pos="171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54" w:lineRule="exact"/>
        <w:rPr>
          <w:rFonts w:ascii="Arial" w:cs="Arial" w:eastAsia="Arial" w:hAnsi="Arial"/>
          <w:sz w:val="19"/>
          <w:szCs w:val="19"/>
          <w:color w:val="auto"/>
        </w:rPr>
      </w:pPr>
    </w:p>
    <w:p>
      <w:pPr>
        <w:jc w:val="both"/>
        <w:ind w:firstLine="867"/>
        <w:spacing w:after="0" w:line="240" w:lineRule="exact"/>
        <w:tabs>
          <w:tab w:leader="none" w:pos="1689"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Statistical and Market-Related Data</w:t>
      </w:r>
      <w:r>
        <w:rPr>
          <w:rFonts w:ascii="Arial" w:cs="Arial" w:eastAsia="Arial" w:hAnsi="Arial"/>
          <w:sz w:val="21"/>
          <w:szCs w:val="21"/>
          <w:color w:val="auto"/>
        </w:rPr>
        <w:t>. All statistical, demographic and market</w:t>
      </w:r>
      <w:r>
        <w:rPr>
          <w:rFonts w:ascii="MS PGothic" w:cs="MS PGothic" w:eastAsia="MS PGothic" w:hAnsi="MS PGothic"/>
          <w:sz w:val="21"/>
          <w:szCs w:val="21"/>
          <w:color w:val="auto"/>
        </w:rPr>
        <w:t>‑</w:t>
      </w:r>
      <w:r>
        <w:rPr>
          <w:rFonts w:ascii="Arial" w:cs="Arial" w:eastAsia="Arial" w:hAnsi="Arial"/>
          <w:sz w:val="21"/>
          <w:szCs w:val="21"/>
          <w:color w:val="auto"/>
        </w:rPr>
        <w: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76" w:lineRule="exact"/>
        <w:rPr>
          <w:rFonts w:ascii="Arial" w:cs="Arial" w:eastAsia="Arial" w:hAnsi="Arial"/>
          <w:sz w:val="21"/>
          <w:szCs w:val="21"/>
          <w:color w:val="auto"/>
        </w:rPr>
      </w:pPr>
    </w:p>
    <w:p>
      <w:pPr>
        <w:jc w:val="both"/>
        <w:ind w:firstLine="867"/>
        <w:spacing w:after="0" w:line="238" w:lineRule="auto"/>
        <w:tabs>
          <w:tab w:leader="none" w:pos="1724"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Disclosure Controls and Procedures; Deficiencies in or Changes to Internal Control Over Financial Reporting</w:t>
      </w:r>
      <w:r>
        <w:rPr>
          <w:rFonts w:ascii="Arial" w:cs="Arial" w:eastAsia="Arial" w:hAnsi="Arial"/>
          <w:sz w:val="21"/>
          <w:szCs w:val="21"/>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0" w:name="page101"/>
    <w:bookmarkEnd w:id="100"/>
    <w:p>
      <w:pPr>
        <w:jc w:val="both"/>
        <w:spacing w:after="0" w:line="234" w:lineRule="auto"/>
        <w:rPr>
          <w:sz w:val="20"/>
          <w:szCs w:val="20"/>
          <w:color w:val="auto"/>
        </w:rPr>
      </w:pPr>
      <w:r>
        <w:rPr>
          <w:rFonts w:ascii="Arial" w:cs="Arial" w:eastAsia="Arial" w:hAnsi="Arial"/>
          <w:sz w:val="21"/>
          <w:szCs w:val="21"/>
          <w:color w:val="auto"/>
        </w:rPr>
        <w:t>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76" w:lineRule="exact"/>
        <w:rPr>
          <w:sz w:val="20"/>
          <w:szCs w:val="20"/>
          <w:color w:val="auto"/>
        </w:rPr>
      </w:pPr>
    </w:p>
    <w:p>
      <w:pPr>
        <w:ind w:left="1720" w:hanging="853"/>
        <w:spacing w:after="0"/>
        <w:tabs>
          <w:tab w:leader="none" w:pos="172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This Agreement</w:t>
      </w:r>
      <w:r>
        <w:rPr>
          <w:rFonts w:ascii="Arial" w:cs="Arial" w:eastAsia="Arial" w:hAnsi="Arial"/>
          <w:sz w:val="21"/>
          <w:szCs w:val="21"/>
          <w:color w:val="auto"/>
        </w:rPr>
        <w:t>. This Agreement has been duly authorized, executed and delivered by the Company.</w:t>
      </w:r>
    </w:p>
    <w:p>
      <w:pPr>
        <w:spacing w:after="0" w:line="196" w:lineRule="exact"/>
        <w:rPr>
          <w:rFonts w:ascii="Arial" w:cs="Arial" w:eastAsia="Arial" w:hAnsi="Arial"/>
          <w:sz w:val="21"/>
          <w:szCs w:val="21"/>
          <w:color w:val="auto"/>
        </w:rPr>
      </w:pPr>
    </w:p>
    <w:p>
      <w:pPr>
        <w:jc w:val="both"/>
        <w:ind w:firstLine="867"/>
        <w:spacing w:after="0" w:line="238" w:lineRule="auto"/>
        <w:tabs>
          <w:tab w:leader="none" w:pos="167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Authorization of the Shares</w:t>
      </w:r>
      <w:r>
        <w:rPr>
          <w:rFonts w:ascii="Arial" w:cs="Arial" w:eastAsia="Arial" w:hAnsi="Arial"/>
          <w:sz w:val="21"/>
          <w:szCs w:val="21"/>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76" w:lineRule="exact"/>
        <w:rPr>
          <w:rFonts w:ascii="Arial" w:cs="Arial" w:eastAsia="Arial" w:hAnsi="Arial"/>
          <w:sz w:val="21"/>
          <w:szCs w:val="21"/>
          <w:color w:val="auto"/>
        </w:rPr>
      </w:pPr>
    </w:p>
    <w:p>
      <w:pPr>
        <w:jc w:val="both"/>
        <w:ind w:firstLine="867"/>
        <w:spacing w:after="0" w:line="241" w:lineRule="auto"/>
        <w:tabs>
          <w:tab w:leader="none" w:pos="167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 Applicable Registration or Other Similar Rights</w:t>
      </w:r>
      <w:r>
        <w:rPr>
          <w:rFonts w:ascii="Arial" w:cs="Arial" w:eastAsia="Arial" w:hAnsi="Arial"/>
          <w:sz w:val="21"/>
          <w:szCs w:val="21"/>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4" w:lineRule="exact"/>
        <w:rPr>
          <w:rFonts w:ascii="Arial" w:cs="Arial" w:eastAsia="Arial" w:hAnsi="Arial"/>
          <w:sz w:val="21"/>
          <w:szCs w:val="21"/>
          <w:color w:val="auto"/>
        </w:rPr>
      </w:pPr>
    </w:p>
    <w:p>
      <w:pPr>
        <w:jc w:val="both"/>
        <w:ind w:firstLine="867"/>
        <w:spacing w:after="0" w:line="258" w:lineRule="auto"/>
        <w:tabs>
          <w:tab w:leader="none" w:pos="1703" w:val="left"/>
        </w:tabs>
        <w:numPr>
          <w:ilvl w:val="0"/>
          <w:numId w:val="50"/>
        </w:numPr>
        <w:rPr>
          <w:rFonts w:ascii="Arial" w:cs="Arial" w:eastAsia="Arial" w:hAnsi="Arial"/>
          <w:sz w:val="17"/>
          <w:szCs w:val="17"/>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9"/>
          <w:szCs w:val="19"/>
          <w:b w:val="1"/>
          <w:bCs w:val="1"/>
          <w:color w:val="auto"/>
        </w:rPr>
        <w:t>Material Adverse Change</w:t>
      </w:r>
      <w:r>
        <w:rPr>
          <w:rFonts w:ascii="Arial" w:cs="Arial" w:eastAsia="Arial" w:hAnsi="Arial"/>
          <w:sz w:val="19"/>
          <w:szCs w:val="19"/>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1" w:name="page102"/>
    <w:bookmarkEnd w:id="101"/>
    <w:p>
      <w:pPr>
        <w:spacing w:after="0" w:line="252" w:lineRule="auto"/>
        <w:rPr>
          <w:sz w:val="20"/>
          <w:szCs w:val="20"/>
          <w:color w:val="auto"/>
        </w:rPr>
      </w:pPr>
      <w:r>
        <w:rPr>
          <w:rFonts w:ascii="Arial" w:cs="Arial" w:eastAsia="Arial" w:hAnsi="Arial"/>
          <w:sz w:val="21"/>
          <w:szCs w:val="21"/>
          <w:color w:val="auto"/>
        </w:rPr>
        <w:t>subsidiaries, by any of the Company’s subsidiaries on any class of capital stock, or any repurchase or redemption by the Company or any of its subsidiaries of any class of capital stock.</w:t>
      </w:r>
    </w:p>
    <w:p>
      <w:pPr>
        <w:spacing w:after="0" w:line="163" w:lineRule="exact"/>
        <w:rPr>
          <w:sz w:val="20"/>
          <w:szCs w:val="20"/>
          <w:color w:val="auto"/>
        </w:rPr>
      </w:pPr>
    </w:p>
    <w:p>
      <w:pPr>
        <w:jc w:val="both"/>
        <w:ind w:firstLine="867"/>
        <w:spacing w:after="0" w:line="248" w:lineRule="auto"/>
        <w:tabs>
          <w:tab w:leader="none" w:pos="167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Independent Accountants</w:t>
      </w:r>
      <w:r>
        <w:rPr>
          <w:rFonts w:ascii="Arial" w:cs="Arial" w:eastAsia="Arial" w:hAnsi="Arial"/>
          <w:sz w:val="20"/>
          <w:szCs w:val="20"/>
          <w:color w:val="auto"/>
        </w:rPr>
        <w:t>. KMJ Corbin &amp; Company LLP, which has expressed its opinion with respect to the financial statements (which term as used in this Agreement includes the related notes thereto) and supporting schedules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20"/>
          <w:szCs w:val="20"/>
          <w:b w:val="1"/>
          <w:bCs w:val="1"/>
          <w:color w:val="auto"/>
        </w:rPr>
        <w:t>PCAOB</w:t>
      </w:r>
      <w:r>
        <w:rPr>
          <w:rFonts w:ascii="Arial" w:cs="Arial" w:eastAsia="Arial" w:hAnsi="Arial"/>
          <w:sz w:val="20"/>
          <w:szCs w:val="20"/>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67" w:lineRule="exact"/>
        <w:rPr>
          <w:rFonts w:ascii="Arial" w:cs="Arial" w:eastAsia="Arial" w:hAnsi="Arial"/>
          <w:sz w:val="20"/>
          <w:szCs w:val="20"/>
          <w:color w:val="auto"/>
        </w:rPr>
      </w:pPr>
    </w:p>
    <w:p>
      <w:pPr>
        <w:jc w:val="both"/>
        <w:ind w:firstLine="867"/>
        <w:spacing w:after="0" w:line="273" w:lineRule="auto"/>
        <w:tabs>
          <w:tab w:leader="none" w:pos="178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filed with the Commission as a part of the Registration Statement and the Prospectus present fairly the consolidated financial position of the Company and its subsidiaries as of the dates indicated and the results of their operations, changes in stockholders’ equity and cash flows for the periods specified. The supporting schedules included in the Registration Statement present fairly the information required to be stated therein. Such financial statements and supporting schedules have been prepared in conformity with generally accepted accounting principles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The pro forma combined financial statements of the Company and its subsidiaries and the related notes thereto incorporated by reference in the Registration Statement present fairly the information contained therein, have been prepared in accordance with the Commission’s rules and guidance with respect to pro forma financial statements and have been properly presented on the bases described therein, and the assumptions used in the preparation thereof are reasonable and the adjustments used therein are appropriate to give effect to the transactions and circumstances referred to therein. No other financial statements or supporting schedules are required to be included in the Registration Statement or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48" w:lineRule="exact"/>
        <w:rPr>
          <w:rFonts w:ascii="Arial" w:cs="Arial" w:eastAsia="Arial" w:hAnsi="Arial"/>
          <w:sz w:val="18"/>
          <w:szCs w:val="18"/>
          <w:color w:val="auto"/>
        </w:rPr>
      </w:pPr>
    </w:p>
    <w:p>
      <w:pPr>
        <w:jc w:val="both"/>
        <w:ind w:firstLine="867"/>
        <w:spacing w:after="0" w:line="248" w:lineRule="auto"/>
        <w:tabs>
          <w:tab w:leader="none" w:pos="172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Company’s Accounting System</w:t>
      </w:r>
      <w:r>
        <w:rPr>
          <w:rFonts w:ascii="Arial" w:cs="Arial" w:eastAsia="Arial" w:hAnsi="Arial"/>
          <w:sz w:val="20"/>
          <w:szCs w:val="20"/>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2" w:name="page103"/>
    <w:bookmarkEnd w:id="102"/>
    <w:p>
      <w:pPr>
        <w:jc w:val="both"/>
        <w:spacing w:after="0" w:line="241" w:lineRule="auto"/>
        <w:rPr>
          <w:sz w:val="20"/>
          <w:szCs w:val="20"/>
          <w:color w:val="auto"/>
        </w:rPr>
      </w:pPr>
      <w:r>
        <w:rPr>
          <w:rFonts w:ascii="Arial" w:cs="Arial" w:eastAsia="Arial" w:hAnsi="Arial"/>
          <w:sz w:val="21"/>
          <w:szCs w:val="21"/>
          <w:color w:val="auto"/>
        </w:rPr>
        <w:t>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75" w:lineRule="exact"/>
        <w:rPr>
          <w:sz w:val="20"/>
          <w:szCs w:val="20"/>
          <w:color w:val="auto"/>
        </w:rPr>
      </w:pPr>
    </w:p>
    <w:p>
      <w:pPr>
        <w:jc w:val="both"/>
        <w:ind w:firstLine="867"/>
        <w:spacing w:after="0" w:line="263" w:lineRule="auto"/>
        <w:tabs>
          <w:tab w:leader="none" w:pos="172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Incorporation and Good Standing of the Company</w:t>
      </w:r>
      <w:r>
        <w:rPr>
          <w:rFonts w:ascii="Arial" w:cs="Arial" w:eastAsia="Arial" w:hAnsi="Arial"/>
          <w:sz w:val="19"/>
          <w:szCs w:val="19"/>
          <w:i w:val="1"/>
          <w:iCs w:val="1"/>
          <w:color w:val="auto"/>
        </w:rPr>
        <w:t>.</w:t>
      </w:r>
      <w:r>
        <w:rPr>
          <w:rFonts w:ascii="Arial" w:cs="Arial" w:eastAsia="Arial" w:hAnsi="Arial"/>
          <w:sz w:val="19"/>
          <w:szCs w:val="19"/>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be so qualified and in good standing would not be expected, individually or in the aggregate to result in a Material Adverse Change.</w:t>
      </w:r>
    </w:p>
    <w:p>
      <w:pPr>
        <w:spacing w:after="0" w:line="154" w:lineRule="exact"/>
        <w:rPr>
          <w:rFonts w:ascii="Arial" w:cs="Arial" w:eastAsia="Arial" w:hAnsi="Arial"/>
          <w:sz w:val="19"/>
          <w:szCs w:val="19"/>
          <w:color w:val="auto"/>
        </w:rPr>
      </w:pPr>
    </w:p>
    <w:p>
      <w:pPr>
        <w:jc w:val="both"/>
        <w:ind w:firstLine="867"/>
        <w:spacing w:after="0" w:line="234" w:lineRule="exact"/>
        <w:tabs>
          <w:tab w:leader="none" w:pos="172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and in good standing would not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the fiscal year ended December 31, 2020.</w:t>
      </w:r>
    </w:p>
    <w:p>
      <w:pPr>
        <w:spacing w:after="0" w:line="175" w:lineRule="exact"/>
        <w:rPr>
          <w:rFonts w:ascii="Arial" w:cs="Arial" w:eastAsia="Arial" w:hAnsi="Arial"/>
          <w:sz w:val="19"/>
          <w:szCs w:val="19"/>
          <w:color w:val="auto"/>
        </w:rPr>
      </w:pPr>
    </w:p>
    <w:p>
      <w:pPr>
        <w:jc w:val="both"/>
        <w:ind w:firstLine="867"/>
        <w:spacing w:after="0" w:line="248" w:lineRule="auto"/>
        <w:tabs>
          <w:tab w:leader="none" w:pos="172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Capitalization and Other Capital Stock Matters</w:t>
      </w:r>
      <w:r>
        <w:rPr>
          <w:rFonts w:ascii="Arial" w:cs="Arial" w:eastAsia="Arial" w:hAnsi="Arial"/>
          <w:sz w:val="20"/>
          <w:szCs w:val="20"/>
          <w:color w:val="auto"/>
        </w:rPr>
        <w:t>. The authorized, issued and outstanding capital stock of the Company is as set forth in the Registration Statement and the Prospectus under the caption “The Offering” and “Description of Capital Stock”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9"/>
          <w:szCs w:val="19"/>
          <w:color w:val="auto"/>
        </w:rPr>
        <w:t>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155" w:lineRule="exact"/>
        <w:rPr>
          <w:sz w:val="20"/>
          <w:szCs w:val="20"/>
          <w:color w:val="auto"/>
        </w:rPr>
      </w:pPr>
    </w:p>
    <w:p>
      <w:pPr>
        <w:jc w:val="both"/>
        <w:ind w:firstLine="867"/>
        <w:spacing w:after="0" w:line="267" w:lineRule="auto"/>
        <w:tabs>
          <w:tab w:leader="none" w:pos="168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Stock Exchange Listing</w:t>
      </w:r>
      <w:r>
        <w:rPr>
          <w:rFonts w:ascii="Arial" w:cs="Arial" w:eastAsia="Arial" w:hAnsi="Arial"/>
          <w:sz w:val="19"/>
          <w:szCs w:val="19"/>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51" w:lineRule="exact"/>
        <w:rPr>
          <w:rFonts w:ascii="Arial" w:cs="Arial" w:eastAsia="Arial" w:hAnsi="Arial"/>
          <w:sz w:val="19"/>
          <w:szCs w:val="19"/>
          <w:color w:val="auto"/>
        </w:rPr>
      </w:pPr>
    </w:p>
    <w:p>
      <w:pPr>
        <w:jc w:val="both"/>
        <w:ind w:firstLine="867"/>
        <w:spacing w:after="0" w:line="234" w:lineRule="exact"/>
        <w:tabs>
          <w:tab w:leader="none" w:pos="170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Non-Contravention of Existing Instruments; No Further Authorizations or Approvals Required</w:t>
      </w:r>
      <w:r>
        <w:rPr>
          <w:rFonts w:ascii="Arial" w:cs="Arial" w:eastAsia="Arial" w:hAnsi="Arial"/>
          <w:sz w:val="19"/>
          <w:szCs w:val="19"/>
          <w:color w:val="auto"/>
        </w:rPr>
        <w:t>. Neither the Company nor any of its subsidiaries is in violation of its charter or by</w:t>
      </w:r>
      <w:r>
        <w:rPr>
          <w:rFonts w:ascii="MS PGothic" w:cs="MS PGothic" w:eastAsia="MS PGothic" w:hAnsi="MS PGothic"/>
          <w:sz w:val="19"/>
          <w:szCs w:val="19"/>
          <w:color w:val="auto"/>
        </w:rPr>
        <w:t>‑</w:t>
      </w:r>
      <w:r>
        <w:rPr>
          <w:rFonts w:ascii="Arial" w:cs="Arial" w:eastAsia="Arial" w:hAnsi="Arial"/>
          <w:sz w:val="19"/>
          <w:szCs w:val="19"/>
          <w:color w:val="auto"/>
        </w:rPr>
        <w:t>laws, partnership agreement or operating agreement or similar organizational documents, as applicable, or is in default (or, with the giving of notice or lapse of time, would be in default) (“</w:t>
      </w:r>
      <w:r>
        <w:rPr>
          <w:rFonts w:ascii="Arial" w:cs="Arial" w:eastAsia="Arial" w:hAnsi="Arial"/>
          <w:sz w:val="19"/>
          <w:szCs w:val="19"/>
          <w:b w:val="1"/>
          <w:bCs w:val="1"/>
          <w:color w:val="auto"/>
        </w:rPr>
        <w:t>Default</w:t>
      </w:r>
      <w:r>
        <w:rPr>
          <w:rFonts w:ascii="Arial" w:cs="Arial" w:eastAsia="Arial" w:hAnsi="Arial"/>
          <w:sz w:val="19"/>
          <w:szCs w:val="19"/>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9"/>
          <w:szCs w:val="19"/>
          <w:b w:val="1"/>
          <w:bCs w:val="1"/>
          <w:color w:val="auto"/>
        </w:rPr>
        <w:t>Existing Instrument</w:t>
      </w:r>
      <w:r>
        <w:rPr>
          <w:rFonts w:ascii="Arial" w:cs="Arial" w:eastAsia="Arial" w:hAnsi="Arial"/>
          <w:sz w:val="19"/>
          <w:szCs w:val="19"/>
          <w:color w:val="auto"/>
        </w:rPr>
        <w:t>”), except for such Defaults as could not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w:t>
      </w:r>
      <w:r>
        <w:rPr>
          <w:rFonts w:ascii="MS PGothic" w:cs="MS PGothic" w:eastAsia="MS PGothic" w:hAnsi="MS PGothic"/>
          <w:sz w:val="19"/>
          <w:szCs w:val="19"/>
          <w:color w:val="auto"/>
        </w:rPr>
        <w:t>‑</w:t>
      </w:r>
      <w:r>
        <w:rPr>
          <w:rFonts w:ascii="Arial" w:cs="Arial" w:eastAsia="Arial" w:hAnsi="Arial"/>
          <w:sz w:val="19"/>
          <w:szCs w:val="19"/>
          <w:color w:val="auto"/>
        </w:rPr>
        <w:t>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4" w:name="page105"/>
    <w:bookmarkEnd w:id="104"/>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Repayment Triggering Event</w:t>
      </w:r>
      <w:r>
        <w:rPr>
          <w:rFonts w:ascii="Arial" w:cs="Arial" w:eastAsia="Arial" w:hAnsi="Arial"/>
          <w:sz w:val="19"/>
          <w:szCs w:val="19"/>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36" w:lineRule="exact"/>
        <w:rPr>
          <w:sz w:val="20"/>
          <w:szCs w:val="20"/>
          <w:color w:val="auto"/>
        </w:rPr>
      </w:pPr>
    </w:p>
    <w:p>
      <w:pPr>
        <w:jc w:val="both"/>
        <w:ind w:firstLine="867"/>
        <w:spacing w:after="0" w:line="235" w:lineRule="auto"/>
        <w:tabs>
          <w:tab w:leader="none" w:pos="167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 Material Actions or Proceedings</w:t>
      </w:r>
      <w:r>
        <w:rPr>
          <w:rFonts w:ascii="Arial" w:cs="Arial" w:eastAsia="Arial" w:hAnsi="Arial"/>
          <w:sz w:val="21"/>
          <w:szCs w:val="21"/>
          <w:color w:val="auto"/>
        </w:rPr>
        <w:t>. Except as otherwise disclosed in the Prospectus, there is no action, suit, proceeding, inquiry or 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79" w:lineRule="exact"/>
        <w:rPr>
          <w:rFonts w:ascii="Arial" w:cs="Arial" w:eastAsia="Arial" w:hAnsi="Arial"/>
          <w:sz w:val="21"/>
          <w:szCs w:val="21"/>
          <w:color w:val="auto"/>
        </w:rPr>
      </w:pPr>
    </w:p>
    <w:p>
      <w:pPr>
        <w:jc w:val="both"/>
        <w:ind w:firstLine="867"/>
        <w:spacing w:after="0" w:line="257" w:lineRule="auto"/>
        <w:tabs>
          <w:tab w:leader="none" w:pos="1724"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in all material respects with the terms of each agreement pursuant to which Intellectual Property has been licensed to the Company or any subsidiary, and all such agreements are in full force and effect. The product candidates described in the Registration Statement and the Prospectus as under development by the Company or any subsidiary fall within the scope of the claims of one or more patents owned by, or exclusively licensed to, the Company or any subsidiary. The Company and its subsidiaries have taken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material violation of any term of any employment contract, patent disclosure agreement, invention assignment agreement, non-competition agreement, non-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05" w:name="page106"/>
    <w:bookmarkEnd w:id="105"/>
    <w:p>
      <w:pPr>
        <w:jc w:val="both"/>
        <w:spacing w:after="0" w:line="236" w:lineRule="auto"/>
        <w:rPr>
          <w:sz w:val="20"/>
          <w:szCs w:val="20"/>
          <w:color w:val="auto"/>
        </w:rPr>
      </w:pPr>
      <w:r>
        <w:rPr>
          <w:rFonts w:ascii="Arial" w:cs="Arial" w:eastAsia="Arial" w:hAnsi="Arial"/>
          <w:sz w:val="21"/>
          <w:szCs w:val="21"/>
          <w:color w:val="auto"/>
        </w:rPr>
        <w:t>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in all material respects; and in all foreign offices having similar requirements, all such requirements have been complied with in all material respects.</w:t>
      </w:r>
    </w:p>
    <w:p>
      <w:pPr>
        <w:spacing w:after="0" w:line="179" w:lineRule="exact"/>
        <w:rPr>
          <w:sz w:val="20"/>
          <w:szCs w:val="20"/>
          <w:color w:val="auto"/>
        </w:rPr>
      </w:pPr>
    </w:p>
    <w:p>
      <w:pPr>
        <w:jc w:val="both"/>
        <w:ind w:firstLine="867"/>
        <w:spacing w:after="0" w:line="235" w:lineRule="exact"/>
        <w:tabs>
          <w:tab w:leader="none" w:pos="17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All Necessary Permits, etc</w:t>
      </w:r>
      <w:r>
        <w:rPr>
          <w:rFonts w:ascii="Arial" w:cs="Arial" w:eastAsia="Arial" w:hAnsi="Arial"/>
          <w:sz w:val="19"/>
          <w:szCs w:val="19"/>
          <w:color w:val="auto"/>
        </w:rPr>
        <w:t>. Except as otherwise disclosed in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Arial" w:cs="Arial" w:eastAsia="Arial" w:hAnsi="Arial"/>
          <w:sz w:val="19"/>
          <w:szCs w:val="19"/>
          <w:b w:val="1"/>
          <w:bCs w:val="1"/>
          <w:color w:val="auto"/>
        </w:rPr>
        <w:t>Permits</w:t>
      </w:r>
      <w:r>
        <w:rPr>
          <w:rFonts w:ascii="Arial" w:cs="Arial" w:eastAsia="Arial" w:hAnsi="Arial"/>
          <w:sz w:val="19"/>
          <w:szCs w:val="19"/>
          <w:color w:val="auto"/>
        </w:rPr>
        <w:t>”), except for such certificates, authorizations or permits whose failure to obtain would not be expected, individually or in the aggregate, to result in a Material Adverse Change. Neither the Company nor any of its subsidiaries is in violation of, or in default under, any of the Permits (except for such violations or defaults that would not be expected, individually or in the aggregate to result in a Material Adverse Change) or has received any notice of proceedings relating to the revocation or modification of, or non</w:t>
      </w:r>
      <w:r>
        <w:rPr>
          <w:rFonts w:ascii="MS PGothic" w:cs="MS PGothic" w:eastAsia="MS PGothic" w:hAnsi="MS PGothic"/>
          <w:sz w:val="19"/>
          <w:szCs w:val="19"/>
          <w:color w:val="auto"/>
        </w:rPr>
        <w:t>‑</w:t>
      </w:r>
      <w:r>
        <w:rPr>
          <w:rFonts w:ascii="Arial" w:cs="Arial" w:eastAsia="Arial" w:hAnsi="Arial"/>
          <w:sz w:val="19"/>
          <w:szCs w:val="19"/>
          <w:color w:val="auto"/>
        </w:rPr>
        <w:t>compliance with, any such certificate, authorization or permit, which, if the subject of an unfavorable decision, ruling or finding, would reasonably be expected, individually or in the aggregate, to have a Material Adverse Change.</w:t>
      </w:r>
    </w:p>
    <w:p>
      <w:pPr>
        <w:spacing w:after="0" w:line="180" w:lineRule="exact"/>
        <w:rPr>
          <w:rFonts w:ascii="Arial" w:cs="Arial" w:eastAsia="Arial" w:hAnsi="Arial"/>
          <w:sz w:val="19"/>
          <w:szCs w:val="19"/>
          <w:color w:val="auto"/>
        </w:rPr>
      </w:pPr>
    </w:p>
    <w:p>
      <w:pPr>
        <w:jc w:val="both"/>
        <w:ind w:firstLine="867"/>
        <w:spacing w:after="0" w:line="246" w:lineRule="auto"/>
        <w:tabs>
          <w:tab w:leader="none" w:pos="176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Title to Properties</w:t>
      </w:r>
      <w:r>
        <w:rPr>
          <w:rFonts w:ascii="Arial" w:cs="Arial" w:eastAsia="Arial" w:hAnsi="Arial"/>
          <w:sz w:val="20"/>
          <w:szCs w:val="20"/>
          <w:color w:val="auto"/>
        </w:rPr>
        <w:t>. Except as otherwise disclosed in the Prospectus, the Company and its subsidiaries has good and marketable title to all of the real and personal property and other assets reflected as owned in the financial statements referred to in Section 2(m) above (or elsewhere in the Registration Statement or the Prospectus, in each case free and clear of any security interests, mortgages, liens, encumbrances, equities, adverse claims and other defects, except such as do not materially and adversely affect the value of such property and do not materially interfere with the use made or proposed to be made of such property by the Company or any of its subsidiaries.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73" w:lineRule="exact"/>
        <w:rPr>
          <w:rFonts w:ascii="Arial" w:cs="Arial" w:eastAsia="Arial" w:hAnsi="Arial"/>
          <w:sz w:val="20"/>
          <w:szCs w:val="20"/>
          <w:color w:val="auto"/>
        </w:rPr>
      </w:pPr>
    </w:p>
    <w:p>
      <w:pPr>
        <w:jc w:val="both"/>
        <w:ind w:firstLine="867"/>
        <w:spacing w:after="0" w:line="263" w:lineRule="auto"/>
        <w:tabs>
          <w:tab w:leader="none" w:pos="17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Tax Law Compliance</w:t>
      </w:r>
      <w:r>
        <w:rPr>
          <w:rFonts w:ascii="Arial" w:cs="Arial" w:eastAsia="Arial" w:hAnsi="Arial"/>
          <w:sz w:val="19"/>
          <w:szCs w:val="19"/>
          <w:color w:val="auto"/>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and except for such exceptions as could not be expected, individually or in the aggregate to result in a Material Adverse Change. The Company has made adequate charges, accruals and reserves in the applicable financial statements referred to in </w:t>
      </w:r>
      <w:r>
        <w:rPr>
          <w:rFonts w:ascii="Arial" w:cs="Arial" w:eastAsia="Arial" w:hAnsi="Arial"/>
          <w:sz w:val="19"/>
          <w:szCs w:val="19"/>
          <w:u w:val="single" w:color="auto"/>
          <w:color w:val="auto"/>
        </w:rPr>
        <w:t>Section 2(m)</w:t>
      </w:r>
      <w:r>
        <w:rPr>
          <w:rFonts w:ascii="Arial" w:cs="Arial" w:eastAsia="Arial" w:hAnsi="Arial"/>
          <w:sz w:val="19"/>
          <w:szCs w:val="19"/>
          <w:color w:val="auto"/>
        </w:rPr>
        <w:t xml:space="preserve"> above in respect of all federal, state and foreign income and franchise taxes for all periods as to which the tax liability of the Company or any of its subsidiaries has not been finally determined.</w:t>
      </w:r>
    </w:p>
    <w:p>
      <w:pPr>
        <w:spacing w:after="0" w:line="154" w:lineRule="exact"/>
        <w:rPr>
          <w:rFonts w:ascii="Arial" w:cs="Arial" w:eastAsia="Arial" w:hAnsi="Arial"/>
          <w:sz w:val="19"/>
          <w:szCs w:val="19"/>
          <w:color w:val="auto"/>
        </w:rPr>
      </w:pPr>
    </w:p>
    <w:p>
      <w:pPr>
        <w:ind w:firstLine="867"/>
        <w:spacing w:after="0" w:line="252" w:lineRule="auto"/>
        <w:tabs>
          <w:tab w:leader="none" w:pos="1724"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Company Not an “Investment Company.”</w:t>
      </w:r>
      <w:r>
        <w:rPr>
          <w:rFonts w:ascii="Arial" w:cs="Arial" w:eastAsia="Arial" w:hAnsi="Arial"/>
          <w:sz w:val="21"/>
          <w:szCs w:val="21"/>
          <w:color w:val="auto"/>
        </w:rPr>
        <w:t xml:space="preserve"> The Company is not, and will not be, either after receipt of payment for the Shares or after the application of the proceeds therefrom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-2510155</wp:posOffset>
            </wp:positionV>
            <wp:extent cx="6800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68008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6" w:name="page107"/>
    <w:bookmarkEnd w:id="106"/>
    <w:p>
      <w:pPr>
        <w:spacing w:after="0" w:line="252" w:lineRule="auto"/>
        <w:rPr>
          <w:sz w:val="20"/>
          <w:szCs w:val="20"/>
          <w:color w:val="auto"/>
        </w:rPr>
      </w:pPr>
      <w:r>
        <w:rPr>
          <w:rFonts w:ascii="Arial" w:cs="Arial" w:eastAsia="Arial" w:hAnsi="Arial"/>
          <w:sz w:val="21"/>
          <w:szCs w:val="21"/>
          <w:color w:val="auto"/>
        </w:rPr>
        <w:t xml:space="preserve">described under “Use of Proceeds” in the Registration Statement or the Prospectus, required to register as an “investment company” under the Investment Company Act of 1940, as amended (the </w:t>
      </w:r>
      <w:r>
        <w:rPr>
          <w:rFonts w:ascii="Arial" w:cs="Arial" w:eastAsia="Arial" w:hAnsi="Arial"/>
          <w:sz w:val="21"/>
          <w:szCs w:val="21"/>
          <w:b w:val="1"/>
          <w:bCs w:val="1"/>
          <w:color w:val="auto"/>
        </w:rPr>
        <w:t>“Investment Company Act”)</w:t>
      </w:r>
      <w:r>
        <w:rPr>
          <w:rFonts w:ascii="Arial" w:cs="Arial" w:eastAsia="Arial" w:hAnsi="Arial"/>
          <w:sz w:val="21"/>
          <w:szCs w:val="21"/>
          <w:color w:val="auto"/>
        </w:rPr>
        <w:t>.</w:t>
      </w:r>
    </w:p>
    <w:p>
      <w:pPr>
        <w:spacing w:after="0" w:line="163" w:lineRule="exact"/>
        <w:rPr>
          <w:sz w:val="20"/>
          <w:szCs w:val="20"/>
          <w:color w:val="auto"/>
        </w:rPr>
      </w:pPr>
    </w:p>
    <w:p>
      <w:pPr>
        <w:jc w:val="both"/>
        <w:ind w:firstLine="867"/>
        <w:spacing w:after="0" w:line="246" w:lineRule="auto"/>
        <w:tabs>
          <w:tab w:leader="none" w:pos="171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Except as otherwise disclosed in the Prospectus, each of the Company and its subsidiaries are insured by recognized, financially sound and reputable institutions with policies in such amounts and with such deductibles and covering such risks as, in the reasonable judgment of the Company, are generally deemed adequate and customary for their businesses including, but not limited to, policies covering real and personal property owned or leased by the Company and its subsidiaries against theft, damage, destruction,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Neither the Company nor any of its subsidiaries has been denied any insurance coverage which it has sought or for which it has applied.</w:t>
      </w:r>
    </w:p>
    <w:p>
      <w:pPr>
        <w:spacing w:after="0" w:line="170" w:lineRule="exact"/>
        <w:rPr>
          <w:sz w:val="20"/>
          <w:szCs w:val="20"/>
          <w:color w:val="auto"/>
        </w:rPr>
      </w:pPr>
    </w:p>
    <w:p>
      <w:pPr>
        <w:jc w:val="both"/>
        <w:ind w:firstLine="867"/>
        <w:spacing w:after="0" w:line="236" w:lineRule="auto"/>
        <w:tabs>
          <w:tab w:leader="none" w:pos="1804"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No Price Stabilization or Manipulation; Compliance with Regulation M</w:t>
      </w:r>
      <w:r>
        <w:rPr>
          <w:rFonts w:ascii="Arial" w:cs="Arial" w:eastAsia="Arial" w:hAnsi="Arial"/>
          <w:sz w:val="21"/>
          <w:szCs w:val="21"/>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Arial" w:cs="Arial" w:eastAsia="Arial" w:hAnsi="Arial"/>
          <w:sz w:val="21"/>
          <w:szCs w:val="21"/>
          <w:b w:val="1"/>
          <w:bCs w:val="1"/>
          <w:color w:val="auto"/>
        </w:rPr>
        <w:t>“Regulation M”</w:t>
      </w:r>
      <w:r>
        <w:rPr>
          <w:rFonts w:ascii="Arial" w:cs="Arial" w:eastAsia="Arial" w:hAnsi="Arial"/>
          <w:sz w:val="21"/>
          <w:szCs w:val="21"/>
          <w:color w:val="auto"/>
        </w:rPr>
        <w:t>)) with respect to the Common Shares, whether to facilitate the sale or resale of the Shares or otherwise, and has taken no action which would directly or indirectly violate Regulation M.</w:t>
      </w:r>
    </w:p>
    <w:p>
      <w:pPr>
        <w:spacing w:after="0" w:line="179" w:lineRule="exact"/>
        <w:rPr>
          <w:rFonts w:ascii="Arial" w:cs="Arial" w:eastAsia="Arial" w:hAnsi="Arial"/>
          <w:sz w:val="21"/>
          <w:szCs w:val="21"/>
          <w:color w:val="auto"/>
        </w:rPr>
      </w:pPr>
    </w:p>
    <w:p>
      <w:pPr>
        <w:jc w:val="both"/>
        <w:ind w:firstLine="867"/>
        <w:spacing w:after="0" w:line="241" w:lineRule="auto"/>
        <w:tabs>
          <w:tab w:leader="none" w:pos="1827"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Related Party Transactions</w:t>
      </w:r>
      <w:r>
        <w:rPr>
          <w:rFonts w:ascii="Arial" w:cs="Arial" w:eastAsia="Arial" w:hAnsi="Arial"/>
          <w:sz w:val="21"/>
          <w:szCs w:val="21"/>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74" w:lineRule="exact"/>
        <w:rPr>
          <w:rFonts w:ascii="Arial" w:cs="Arial" w:eastAsia="Arial" w:hAnsi="Arial"/>
          <w:sz w:val="21"/>
          <w:szCs w:val="21"/>
          <w:color w:val="auto"/>
        </w:rPr>
      </w:pPr>
    </w:p>
    <w:p>
      <w:pPr>
        <w:jc w:val="both"/>
        <w:ind w:firstLine="867"/>
        <w:spacing w:after="0" w:line="235" w:lineRule="auto"/>
        <w:tabs>
          <w:tab w:leader="none" w:pos="1804"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FINRA Matters</w:t>
      </w:r>
      <w:r>
        <w:rPr>
          <w:rFonts w:ascii="Arial" w:cs="Arial" w:eastAsia="Arial" w:hAnsi="Arial"/>
          <w:sz w:val="21"/>
          <w:szCs w:val="21"/>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Arial" w:cs="Arial" w:eastAsia="Arial" w:hAnsi="Arial"/>
          <w:sz w:val="21"/>
          <w:szCs w:val="21"/>
          <w:b w:val="1"/>
          <w:bCs w:val="1"/>
          <w:color w:val="auto"/>
        </w:rPr>
        <w:t>FINRA</w:t>
      </w:r>
      <w:r>
        <w:rPr>
          <w:rFonts w:ascii="Arial" w:cs="Arial" w:eastAsia="Arial" w:hAnsi="Arial"/>
          <w:sz w:val="21"/>
          <w:szCs w:val="21"/>
          <w:color w:val="auto"/>
        </w:rPr>
        <w:t>”) rules and any letters, filings or other supplemental information provided to FINRA pursuant to FINRA Rules or NASD Conduct Rules is true, complete and correct. The Company meets the requirements for use of Form S-3 under the Securities Act specified in FINRA Rule 5110(b)(7)(C)(i).</w:t>
      </w:r>
    </w:p>
    <w:p>
      <w:pPr>
        <w:spacing w:after="0" w:line="179" w:lineRule="exact"/>
        <w:rPr>
          <w:rFonts w:ascii="Arial" w:cs="Arial" w:eastAsia="Arial" w:hAnsi="Arial"/>
          <w:sz w:val="21"/>
          <w:szCs w:val="21"/>
          <w:color w:val="auto"/>
        </w:rPr>
      </w:pPr>
    </w:p>
    <w:p>
      <w:pPr>
        <w:jc w:val="both"/>
        <w:ind w:firstLine="867"/>
        <w:spacing w:after="0" w:line="253" w:lineRule="auto"/>
        <w:tabs>
          <w:tab w:leader="none" w:pos="182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No Unlawful Contributions or Other Payments</w:t>
      </w:r>
      <w:r>
        <w:rPr>
          <w:rFonts w:ascii="Arial" w:cs="Arial" w:eastAsia="Arial" w:hAnsi="Arial"/>
          <w:sz w:val="20"/>
          <w:szCs w:val="20"/>
          <w:color w:val="auto"/>
        </w:rPr>
        <w:t>. Except as otherwise disclosed in the Prospectus,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7" w:name="page108"/>
    <w:bookmarkEnd w:id="107"/>
    <w:p>
      <w:pPr>
        <w:jc w:val="both"/>
        <w:ind w:firstLine="867"/>
        <w:spacing w:after="0" w:line="258" w:lineRule="auto"/>
        <w:tabs>
          <w:tab w:leader="none" w:pos="180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Except as described in the Prospectus and except as could not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9"/>
          <w:szCs w:val="19"/>
          <w:b w:val="1"/>
          <w:bCs w:val="1"/>
          <w:color w:val="auto"/>
        </w:rPr>
        <w:t>Hazardous Materials</w:t>
      </w:r>
      <w:r>
        <w:rPr>
          <w:rFonts w:ascii="Arial" w:cs="Arial" w:eastAsia="Arial" w:hAnsi="Arial"/>
          <w:sz w:val="19"/>
          <w:szCs w:val="19"/>
          <w:color w:val="auto"/>
        </w:rPr>
        <w:t>”) or to the manufacture, processing, distribution, use, treatment, storage, disposal, transport or handling of Hazardous Materials (collectively, “</w:t>
      </w:r>
      <w:r>
        <w:rPr>
          <w:rFonts w:ascii="Arial" w:cs="Arial" w:eastAsia="Arial" w:hAnsi="Arial"/>
          <w:sz w:val="19"/>
          <w:szCs w:val="19"/>
          <w:b w:val="1"/>
          <w:bCs w:val="1"/>
          <w:color w:val="auto"/>
        </w:rPr>
        <w:t>Environmental Laws</w:t>
      </w:r>
      <w:r>
        <w:rPr>
          <w:rFonts w:ascii="Arial" w:cs="Arial" w:eastAsia="Arial" w:hAnsi="Arial"/>
          <w:sz w:val="19"/>
          <w:szCs w:val="19"/>
          <w:color w:val="auto"/>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63" w:lineRule="exact"/>
        <w:rPr>
          <w:rFonts w:ascii="Arial" w:cs="Arial" w:eastAsia="Arial" w:hAnsi="Arial"/>
          <w:sz w:val="19"/>
          <w:szCs w:val="19"/>
          <w:color w:val="auto"/>
        </w:rPr>
      </w:pPr>
    </w:p>
    <w:p>
      <w:pPr>
        <w:jc w:val="both"/>
        <w:ind w:firstLine="867"/>
        <w:spacing w:after="0" w:line="248" w:lineRule="auto"/>
        <w:tabs>
          <w:tab w:leader="none" w:pos="175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Periodic Review of Costs of Environmental Compliance</w:t>
      </w:r>
      <w:r>
        <w:rPr>
          <w:rFonts w:ascii="Arial" w:cs="Arial" w:eastAsia="Arial" w:hAnsi="Arial"/>
          <w:sz w:val="20"/>
          <w:szCs w:val="20"/>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spacing w:after="0" w:line="167" w:lineRule="exact"/>
        <w:rPr>
          <w:rFonts w:ascii="Arial" w:cs="Arial" w:eastAsia="Arial" w:hAnsi="Arial"/>
          <w:sz w:val="20"/>
          <w:szCs w:val="20"/>
          <w:color w:val="auto"/>
        </w:rPr>
      </w:pPr>
    </w:p>
    <w:p>
      <w:pPr>
        <w:jc w:val="both"/>
        <w:ind w:firstLine="867"/>
        <w:spacing w:after="0" w:line="275" w:lineRule="auto"/>
        <w:tabs>
          <w:tab w:leader="none" w:pos="182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ERISA Compliance</w:t>
      </w:r>
      <w:r>
        <w:rPr>
          <w:rFonts w:ascii="Arial" w:cs="Arial" w:eastAsia="Arial" w:hAnsi="Arial"/>
          <w:sz w:val="18"/>
          <w:szCs w:val="18"/>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8"/>
          <w:szCs w:val="18"/>
          <w:b w:val="1"/>
          <w:bCs w:val="1"/>
          <w:color w:val="auto"/>
        </w:rPr>
        <w:t>ERISA</w:t>
      </w:r>
      <w:r>
        <w:rPr>
          <w:rFonts w:ascii="Arial" w:cs="Arial" w:eastAsia="Arial" w:hAnsi="Arial"/>
          <w:sz w:val="18"/>
          <w:szCs w:val="18"/>
          <w:color w:val="auto"/>
        </w:rPr>
        <w:t>”)) established or maintained by the Company, its subsidiaries or their “ERISA Affiliates” (as defined below) are in compliance in all material respects with ERISA. “</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8"/>
          <w:szCs w:val="18"/>
          <w:b w:val="1"/>
          <w:bCs w:val="1"/>
          <w:color w:val="auto"/>
        </w:rPr>
        <w:t>Code</w:t>
      </w:r>
      <w:r>
        <w:rPr>
          <w:rFonts w:ascii="Arial" w:cs="Arial" w:eastAsia="Arial" w:hAnsi="Arial"/>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incur any liability under (i) Title IV of ERISA with respect to termination of, or withdrawal from, any “employee benefit plan” or</w:t>
      </w:r>
    </w:p>
    <w:p>
      <w:pPr>
        <w:spacing w:after="0" w:line="20" w:lineRule="exact"/>
        <w:rPr>
          <w:sz w:val="20"/>
          <w:szCs w:val="20"/>
          <w:color w:val="auto"/>
        </w:rPr>
      </w:pPr>
    </w:p>
    <w:p>
      <w:pPr>
        <w:jc w:val="both"/>
        <w:ind w:firstLine="3"/>
        <w:spacing w:after="0" w:line="250" w:lineRule="auto"/>
        <w:tabs>
          <w:tab w:leader="none" w:pos="327" w:val="left"/>
        </w:tabs>
        <w:numPr>
          <w:ilvl w:val="0"/>
          <w:numId w:val="59"/>
        </w:numPr>
        <w:rPr>
          <w:rFonts w:ascii="Arial" w:cs="Arial" w:eastAsia="Arial" w:hAnsi="Arial"/>
          <w:sz w:val="20"/>
          <w:szCs w:val="20"/>
          <w:color w:val="auto"/>
        </w:rPr>
      </w:pPr>
      <w:r>
        <w:rPr>
          <w:rFonts w:ascii="Arial" w:cs="Arial" w:eastAsia="Arial" w:hAnsi="Arial"/>
          <w:sz w:val="20"/>
          <w:szCs w:val="20"/>
          <w:color w:val="auto"/>
        </w:rPr>
        <w:t>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65" w:lineRule="exact"/>
        <w:rPr>
          <w:rFonts w:ascii="Arial" w:cs="Arial" w:eastAsia="Arial" w:hAnsi="Arial"/>
          <w:sz w:val="20"/>
          <w:szCs w:val="20"/>
          <w:color w:val="auto"/>
        </w:rPr>
      </w:pPr>
    </w:p>
    <w:p>
      <w:pPr>
        <w:jc w:val="both"/>
        <w:ind w:firstLine="867"/>
        <w:spacing w:after="0" w:line="241" w:lineRule="auto"/>
        <w:tabs>
          <w:tab w:leader="none" w:pos="1827"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Brokers</w:t>
      </w:r>
      <w:r>
        <w:rPr>
          <w:rFonts w:ascii="Arial" w:cs="Arial" w:eastAsia="Arial" w:hAnsi="Arial"/>
          <w:sz w:val="21"/>
          <w:szCs w:val="21"/>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74" w:lineRule="exact"/>
        <w:rPr>
          <w:rFonts w:ascii="Arial" w:cs="Arial" w:eastAsia="Arial" w:hAnsi="Arial"/>
          <w:sz w:val="21"/>
          <w:szCs w:val="21"/>
          <w:color w:val="auto"/>
        </w:rPr>
      </w:pPr>
    </w:p>
    <w:p>
      <w:pPr>
        <w:jc w:val="both"/>
        <w:ind w:firstLine="867"/>
        <w:spacing w:after="0" w:line="241" w:lineRule="auto"/>
        <w:tabs>
          <w:tab w:leader="none" w:pos="1735"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No Outstanding Loans or Other Extensions of Credit</w:t>
      </w:r>
      <w:r>
        <w:rPr>
          <w:rFonts w:ascii="Arial" w:cs="Arial" w:eastAsia="Arial" w:hAnsi="Arial"/>
          <w:sz w:val="21"/>
          <w:szCs w:val="21"/>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4" w:lineRule="exact"/>
        <w:rPr>
          <w:rFonts w:ascii="Arial" w:cs="Arial" w:eastAsia="Arial" w:hAnsi="Arial"/>
          <w:sz w:val="21"/>
          <w:szCs w:val="21"/>
          <w:color w:val="auto"/>
        </w:rPr>
      </w:pPr>
    </w:p>
    <w:p>
      <w:pPr>
        <w:jc w:val="both"/>
        <w:ind w:firstLine="867"/>
        <w:spacing w:after="0" w:line="241" w:lineRule="auto"/>
        <w:tabs>
          <w:tab w:leader="none" w:pos="1735"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Compliance with Laws</w:t>
      </w:r>
      <w:r>
        <w:rPr>
          <w:rFonts w:ascii="Arial" w:cs="Arial" w:eastAsia="Arial" w:hAnsi="Arial"/>
          <w:sz w:val="21"/>
          <w:szCs w:val="21"/>
          <w:color w:val="auto"/>
        </w:rPr>
        <w:t>. The Company and its subsidiaries have been and are in compliance with all applicable laws, rules and regulations, except where failure to be so in compliance could not be expected, individually or in the aggregate, to result in a Material Adverse Change.</w:t>
      </w:r>
    </w:p>
    <w:p>
      <w:pPr>
        <w:spacing w:after="0" w:line="174" w:lineRule="exact"/>
        <w:rPr>
          <w:rFonts w:ascii="Arial" w:cs="Arial" w:eastAsia="Arial" w:hAnsi="Arial"/>
          <w:sz w:val="21"/>
          <w:szCs w:val="21"/>
          <w:color w:val="auto"/>
        </w:rPr>
      </w:pPr>
    </w:p>
    <w:p>
      <w:pPr>
        <w:jc w:val="both"/>
        <w:ind w:firstLine="867"/>
        <w:spacing w:after="0" w:line="236" w:lineRule="auto"/>
        <w:tabs>
          <w:tab w:leader="none" w:pos="1827"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Dividend Restrictions</w:t>
      </w:r>
      <w:r>
        <w:rPr>
          <w:rFonts w:ascii="Arial" w:cs="Arial" w:eastAsia="Arial" w:hAnsi="Arial"/>
          <w:sz w:val="21"/>
          <w:szCs w:val="21"/>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9" w:lineRule="exact"/>
        <w:rPr>
          <w:rFonts w:ascii="Arial" w:cs="Arial" w:eastAsia="Arial" w:hAnsi="Arial"/>
          <w:sz w:val="21"/>
          <w:szCs w:val="21"/>
          <w:color w:val="auto"/>
        </w:rPr>
      </w:pPr>
    </w:p>
    <w:p>
      <w:pPr>
        <w:jc w:val="both"/>
        <w:ind w:firstLine="867"/>
        <w:spacing w:after="0" w:line="245" w:lineRule="auto"/>
        <w:tabs>
          <w:tab w:leader="none" w:pos="1735"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Anti-Corruption and Anti-Bribery Laws</w:t>
      </w:r>
      <w:r>
        <w:rPr>
          <w:rFonts w:ascii="Arial" w:cs="Arial" w:eastAsia="Arial" w:hAnsi="Arial"/>
          <w:sz w:val="20"/>
          <w:szCs w:val="20"/>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20"/>
          <w:szCs w:val="20"/>
          <w:b w:val="1"/>
          <w:bCs w:val="1"/>
          <w:color w:val="auto"/>
        </w:rPr>
        <w:t>FCPA</w:t>
      </w:r>
      <w:r>
        <w:rPr>
          <w:rFonts w:ascii="Arial" w:cs="Arial" w:eastAsia="Arial" w:hAnsi="Arial"/>
          <w:sz w:val="20"/>
          <w:szCs w:val="20"/>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9" w:name="page110"/>
    <w:bookmarkEnd w:id="109"/>
    <w:p>
      <w:pPr>
        <w:jc w:val="both"/>
        <w:ind w:firstLine="867"/>
        <w:spacing w:after="0" w:line="248" w:lineRule="auto"/>
        <w:tabs>
          <w:tab w:leader="none" w:pos="1941"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Money Laundering Laws</w:t>
      </w:r>
      <w:r>
        <w:rPr>
          <w:rFonts w:ascii="Arial" w:cs="Arial" w:eastAsia="Arial" w:hAnsi="Arial"/>
          <w:sz w:val="20"/>
          <w:szCs w:val="20"/>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20"/>
          <w:szCs w:val="20"/>
          <w:b w:val="1"/>
          <w:bCs w:val="1"/>
          <w:color w:val="auto"/>
        </w:rPr>
        <w:t>Money Laundering Laws</w:t>
      </w:r>
      <w:r>
        <w:rPr>
          <w:rFonts w:ascii="Arial" w:cs="Arial" w:eastAsia="Arial" w:hAnsi="Arial"/>
          <w:sz w:val="20"/>
          <w:szCs w:val="20"/>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67" w:lineRule="exact"/>
        <w:rPr>
          <w:rFonts w:ascii="Arial" w:cs="Arial" w:eastAsia="Arial" w:hAnsi="Arial"/>
          <w:sz w:val="20"/>
          <w:szCs w:val="20"/>
          <w:color w:val="auto"/>
        </w:rPr>
      </w:pPr>
    </w:p>
    <w:p>
      <w:pPr>
        <w:jc w:val="both"/>
        <w:ind w:firstLine="867"/>
        <w:spacing w:after="0" w:line="258" w:lineRule="auto"/>
        <w:tabs>
          <w:tab w:leader="none" w:pos="182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Clinical Data and Regulatory Compliance</w:t>
      </w:r>
      <w:r>
        <w:rPr>
          <w:rFonts w:ascii="Arial" w:cs="Arial" w:eastAsia="Arial" w:hAnsi="Arial"/>
          <w:sz w:val="19"/>
          <w:szCs w:val="19"/>
          <w:i w:val="1"/>
          <w:iCs w:val="1"/>
          <w:color w:val="auto"/>
        </w:rPr>
        <w:t>.</w:t>
      </w:r>
      <w:r>
        <w:rPr>
          <w:rFonts w:ascii="Arial" w:cs="Arial" w:eastAsia="Arial" w:hAnsi="Arial"/>
          <w:sz w:val="19"/>
          <w:szCs w:val="19"/>
          <w:color w:val="auto"/>
        </w:rPr>
        <w:t xml:space="preserve">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9"/>
          <w:szCs w:val="19"/>
          <w:b w:val="1"/>
          <w:bCs w:val="1"/>
          <w:color w:val="auto"/>
        </w:rPr>
        <w:t>Regulatory Agencies</w:t>
      </w:r>
      <w:r>
        <w:rPr>
          <w:rFonts w:ascii="Arial" w:cs="Arial" w:eastAsia="Arial" w:hAnsi="Arial"/>
          <w:sz w:val="19"/>
          <w:szCs w:val="19"/>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166" w:lineRule="exact"/>
        <w:rPr>
          <w:rFonts w:ascii="Arial" w:cs="Arial" w:eastAsia="Arial" w:hAnsi="Arial"/>
          <w:sz w:val="19"/>
          <w:szCs w:val="19"/>
          <w:color w:val="auto"/>
        </w:rPr>
      </w:pPr>
    </w:p>
    <w:p>
      <w:pPr>
        <w:jc w:val="both"/>
        <w:ind w:firstLine="867"/>
        <w:spacing w:after="0" w:line="245" w:lineRule="auto"/>
        <w:tabs>
          <w:tab w:leader="none" w:pos="182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20"/>
          <w:szCs w:val="20"/>
          <w:b w:val="1"/>
          <w:bCs w:val="1"/>
          <w:color w:val="auto"/>
        </w:rPr>
        <w:t>OFAC</w:t>
      </w:r>
      <w:r>
        <w:rPr>
          <w:rFonts w:ascii="Arial" w:cs="Arial" w:eastAsia="Arial" w:hAnsi="Arial"/>
          <w:sz w:val="20"/>
          <w:szCs w:val="20"/>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20"/>
          <w:szCs w:val="20"/>
          <w:b w:val="1"/>
          <w:bCs w:val="1"/>
          <w:color w:val="auto"/>
        </w:rPr>
        <w:t>Sanctions</w:t>
      </w:r>
      <w:r>
        <w:rPr>
          <w:rFonts w:ascii="Arial" w:cs="Arial" w:eastAsia="Arial" w:hAnsi="Arial"/>
          <w:sz w:val="20"/>
          <w:szCs w:val="20"/>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that at the time of the dealing or transaction is or was the subject or the target of Sanctions or with any Sanctioned Country.</w:t>
      </w:r>
    </w:p>
    <w:p>
      <w:pPr>
        <w:spacing w:after="0" w:line="208" w:lineRule="exact"/>
        <w:rPr>
          <w:sz w:val="20"/>
          <w:szCs w:val="20"/>
          <w:color w:val="auto"/>
        </w:rPr>
      </w:pPr>
    </w:p>
    <w:p>
      <w:pPr>
        <w:ind w:firstLine="867"/>
        <w:spacing w:after="0" w:line="252" w:lineRule="auto"/>
        <w:tabs>
          <w:tab w:leader="none" w:pos="182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Sarbanes-Oxley</w:t>
      </w:r>
      <w:r>
        <w:rPr>
          <w:rFonts w:ascii="Arial" w:cs="Arial" w:eastAsia="Arial" w:hAnsi="Arial"/>
          <w:sz w:val="21"/>
          <w:szCs w:val="21"/>
          <w:color w:val="auto"/>
        </w:rPr>
        <w:t>. The Company is in compliance, in all material respects, with all applicable provisions of the Sarbanes-Oxley Act of 2002 and the rules and regulations promulgated thereunder.</w:t>
      </w:r>
    </w:p>
    <w:p>
      <w:pPr>
        <w:spacing w:after="0" w:line="163" w:lineRule="exact"/>
        <w:rPr>
          <w:rFonts w:ascii="Arial" w:cs="Arial" w:eastAsia="Arial" w:hAnsi="Arial"/>
          <w:sz w:val="21"/>
          <w:szCs w:val="21"/>
          <w:color w:val="auto"/>
        </w:rPr>
      </w:pPr>
    </w:p>
    <w:p>
      <w:pPr>
        <w:jc w:val="both"/>
        <w:ind w:firstLine="867"/>
        <w:spacing w:after="0" w:line="238" w:lineRule="auto"/>
        <w:tabs>
          <w:tab w:leader="none" w:pos="182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Duties, Transfer Taxes, Etc</w:t>
      </w:r>
      <w:r>
        <w:rPr>
          <w:rFonts w:ascii="Arial" w:cs="Arial" w:eastAsia="Arial" w:hAnsi="Arial"/>
          <w:sz w:val="21"/>
          <w:szCs w:val="21"/>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76" w:lineRule="exact"/>
        <w:rPr>
          <w:rFonts w:ascii="Arial" w:cs="Arial" w:eastAsia="Arial" w:hAnsi="Arial"/>
          <w:sz w:val="21"/>
          <w:szCs w:val="21"/>
          <w:color w:val="auto"/>
        </w:rPr>
      </w:pPr>
    </w:p>
    <w:p>
      <w:pPr>
        <w:jc w:val="both"/>
        <w:ind w:firstLine="867"/>
        <w:spacing w:after="0" w:line="272" w:lineRule="auto"/>
        <w:tabs>
          <w:tab w:leader="none" w:pos="175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Cybersecurity</w:t>
      </w:r>
      <w:r>
        <w:rPr>
          <w:rFonts w:ascii="Arial" w:cs="Arial" w:eastAsia="Arial" w:hAnsi="Arial"/>
          <w:sz w:val="18"/>
          <w:szCs w:val="18"/>
          <w:color w:val="auto"/>
        </w:rPr>
        <w:t>. The Company and its subsidiaries’ information technology assets and equipment, computers, systems, networks, hardware, software, websites, applications, and databases (collectively, “</w:t>
      </w:r>
      <w:r>
        <w:rPr>
          <w:rFonts w:ascii="Arial" w:cs="Arial" w:eastAsia="Arial" w:hAnsi="Arial"/>
          <w:sz w:val="18"/>
          <w:szCs w:val="18"/>
          <w:b w:val="1"/>
          <w:bCs w:val="1"/>
          <w:color w:val="auto"/>
        </w:rPr>
        <w:t>IT Systems</w:t>
      </w:r>
      <w:r>
        <w:rPr>
          <w:rFonts w:ascii="Arial" w:cs="Arial" w:eastAsia="Arial" w:hAnsi="Arial"/>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8"/>
          <w:szCs w:val="18"/>
          <w:b w:val="1"/>
          <w:bCs w:val="1"/>
          <w:color w:val="auto"/>
        </w:rPr>
        <w:t>Personal Data</w:t>
      </w:r>
      <w:r>
        <w:rPr>
          <w:rFonts w:ascii="Arial" w:cs="Arial" w:eastAsia="Arial" w:hAnsi="Arial"/>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8"/>
          <w:szCs w:val="18"/>
          <w:b w:val="1"/>
          <w:bCs w:val="1"/>
          <w:color w:val="auto"/>
        </w:rPr>
        <w:t>HIPAA</w:t>
      </w:r>
      <w:r>
        <w:rPr>
          <w:rFonts w:ascii="Arial" w:cs="Arial" w:eastAsia="Arial" w:hAnsi="Arial"/>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55" w:lineRule="exact"/>
        <w:rPr>
          <w:rFonts w:ascii="Arial" w:cs="Arial" w:eastAsia="Arial" w:hAnsi="Arial"/>
          <w:sz w:val="18"/>
          <w:szCs w:val="18"/>
          <w:color w:val="auto"/>
        </w:rPr>
      </w:pPr>
    </w:p>
    <w:p>
      <w:pPr>
        <w:jc w:val="both"/>
        <w:ind w:firstLine="867"/>
        <w:spacing w:after="0" w:line="253" w:lineRule="auto"/>
        <w:tabs>
          <w:tab w:leader="none" w:pos="1781"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Compliance with Data Privacy Laws</w:t>
      </w:r>
      <w:r>
        <w:rPr>
          <w:rFonts w:ascii="Arial" w:cs="Arial" w:eastAsia="Arial" w:hAnsi="Arial"/>
          <w:sz w:val="20"/>
          <w:szCs w:val="20"/>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1" w:name="page112"/>
    <w:bookmarkEnd w:id="111"/>
    <w:p>
      <w:pPr>
        <w:jc w:val="both"/>
        <w:spacing w:after="0" w:line="260" w:lineRule="auto"/>
        <w:rPr>
          <w:sz w:val="20"/>
          <w:szCs w:val="20"/>
          <w:color w:val="auto"/>
        </w:rPr>
      </w:pPr>
      <w:r>
        <w:rPr>
          <w:rFonts w:ascii="Arial" w:cs="Arial" w:eastAsia="Arial" w:hAnsi="Arial"/>
          <w:sz w:val="19"/>
          <w:szCs w:val="19"/>
          <w:color w:val="auto"/>
        </w:rPr>
        <w:t>Protection Regulation (“</w:t>
      </w:r>
      <w:r>
        <w:rPr>
          <w:rFonts w:ascii="Arial" w:cs="Arial" w:eastAsia="Arial" w:hAnsi="Arial"/>
          <w:sz w:val="19"/>
          <w:szCs w:val="19"/>
          <w:b w:val="1"/>
          <w:bCs w:val="1"/>
          <w:color w:val="auto"/>
        </w:rPr>
        <w:t>GDPR</w:t>
      </w:r>
      <w:r>
        <w:rPr>
          <w:rFonts w:ascii="Arial" w:cs="Arial" w:eastAsia="Arial" w:hAnsi="Arial"/>
          <w:sz w:val="19"/>
          <w:szCs w:val="19"/>
          <w:color w:val="auto"/>
        </w:rPr>
        <w:t>”) (EU 2016/679) (collectively, the “</w:t>
      </w:r>
      <w:r>
        <w:rPr>
          <w:rFonts w:ascii="Arial" w:cs="Arial" w:eastAsia="Arial" w:hAnsi="Arial"/>
          <w:sz w:val="19"/>
          <w:szCs w:val="19"/>
          <w:b w:val="1"/>
          <w:bCs w:val="1"/>
          <w:color w:val="auto"/>
        </w:rPr>
        <w:t>Privacy Laws</w:t>
      </w:r>
      <w:r>
        <w:rPr>
          <w:rFonts w:ascii="Arial" w:cs="Arial" w:eastAsia="Arial" w:hAnsi="Arial"/>
          <w:sz w:val="19"/>
          <w:szCs w:val="19"/>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9"/>
          <w:szCs w:val="19"/>
          <w:b w:val="1"/>
          <w:bCs w:val="1"/>
          <w:color w:val="auto"/>
        </w:rPr>
        <w:t>Policies</w:t>
      </w:r>
      <w:r>
        <w:rPr>
          <w:rFonts w:ascii="Arial" w:cs="Arial" w:eastAsia="Arial" w:hAnsi="Arial"/>
          <w:sz w:val="19"/>
          <w:szCs w:val="19"/>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61" w:lineRule="exact"/>
        <w:rPr>
          <w:sz w:val="20"/>
          <w:szCs w:val="20"/>
          <w:color w:val="auto"/>
        </w:rPr>
      </w:pPr>
    </w:p>
    <w:p>
      <w:pPr>
        <w:ind w:firstLine="867"/>
        <w:spacing w:after="0" w:line="252" w:lineRule="auto"/>
        <w:tabs>
          <w:tab w:leader="none" w:pos="1735"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Other Underwriting Agreements</w:t>
      </w:r>
      <w:r>
        <w:rPr>
          <w:rFonts w:ascii="Arial" w:cs="Arial" w:eastAsia="Arial" w:hAnsi="Arial"/>
          <w:sz w:val="21"/>
          <w:szCs w:val="21"/>
          <w:color w:val="auto"/>
        </w:rPr>
        <w:t>. The Company is not a party to any agreement with an agent or underwriter for any other “at the market” or continuous equity transaction.</w:t>
      </w:r>
    </w:p>
    <w:p>
      <w:pPr>
        <w:spacing w:after="0" w:line="163" w:lineRule="exact"/>
        <w:rPr>
          <w:rFonts w:ascii="Arial" w:cs="Arial" w:eastAsia="Arial" w:hAnsi="Arial"/>
          <w:sz w:val="21"/>
          <w:szCs w:val="21"/>
          <w:color w:val="auto"/>
        </w:rPr>
      </w:pPr>
    </w:p>
    <w:p>
      <w:pPr>
        <w:jc w:val="both"/>
        <w:ind w:firstLine="867"/>
        <w:spacing w:after="0" w:line="257" w:lineRule="auto"/>
        <w:tabs>
          <w:tab w:leader="none" w:pos="1827"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Compliance with Health Care Laws</w:t>
      </w:r>
      <w:r>
        <w:rPr>
          <w:rFonts w:ascii="Arial" w:cs="Arial" w:eastAsia="Arial" w:hAnsi="Arial"/>
          <w:sz w:val="19"/>
          <w:szCs w:val="19"/>
          <w:color w:val="auto"/>
        </w:rPr>
        <w:t>. The Company and its subsidiaries are, and at all times have been, in compliance with all Health Care Laws.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12" w:name="page113"/>
    <w:bookmarkEnd w:id="112"/>
    <w:p>
      <w:pPr>
        <w:jc w:val="both"/>
        <w:spacing w:after="0" w:line="263" w:lineRule="auto"/>
        <w:rPr>
          <w:sz w:val="20"/>
          <w:szCs w:val="20"/>
          <w:color w:val="auto"/>
        </w:rPr>
      </w:pPr>
      <w:r>
        <w:rPr>
          <w:rFonts w:ascii="Arial" w:cs="Arial" w:eastAsia="Arial" w:hAnsi="Arial"/>
          <w:sz w:val="19"/>
          <w:szCs w:val="19"/>
          <w:color w:val="auto"/>
        </w:rPr>
        <w:t>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5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1"/>
          <w:szCs w:val="21"/>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5"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1"/>
          <w:szCs w:val="21"/>
          <w:color w:val="auto"/>
        </w:rPr>
        <w:t xml:space="preserve">The Company acknowledges that the Agent and, for purposes of the opinions to be delivered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hereof, counsel to the Company and counsel to the Agent, will rely upon the accuracy and truthfulness of the foregoing representations and hereby consents to such reliance.</w:t>
      </w:r>
    </w:p>
    <w:p>
      <w:pPr>
        <w:spacing w:after="0" w:line="169" w:lineRule="exact"/>
        <w:rPr>
          <w:sz w:val="20"/>
          <w:szCs w:val="20"/>
          <w:color w:val="auto"/>
        </w:rPr>
      </w:pPr>
    </w:p>
    <w:p>
      <w:pPr>
        <w:spacing w:after="0"/>
        <w:tabs>
          <w:tab w:leader="none" w:pos="156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20"/>
          <w:szCs w:val="20"/>
          <w:b w:val="1"/>
          <w:bCs w:val="1"/>
          <w:color w:val="auto"/>
        </w:rPr>
        <w:t>ISSUANCE AND SALE OF COMMON SHARES</w:t>
      </w:r>
    </w:p>
    <w:p>
      <w:pPr>
        <w:spacing w:after="0" w:line="203" w:lineRule="exact"/>
        <w:rPr>
          <w:sz w:val="20"/>
          <w:szCs w:val="20"/>
          <w:color w:val="auto"/>
        </w:rPr>
      </w:pPr>
    </w:p>
    <w:p>
      <w:pPr>
        <w:jc w:val="both"/>
        <w:ind w:firstLine="867"/>
        <w:spacing w:after="0" w:line="236" w:lineRule="auto"/>
        <w:tabs>
          <w:tab w:leader="none" w:pos="1712"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Sale of Securities</w:t>
      </w:r>
      <w:r>
        <w:rPr>
          <w:rFonts w:ascii="Arial" w:cs="Arial" w:eastAsia="Arial" w:hAnsi="Arial"/>
          <w:sz w:val="21"/>
          <w:szCs w:val="21"/>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9" w:lineRule="exact"/>
        <w:rPr>
          <w:rFonts w:ascii="Arial" w:cs="Arial" w:eastAsia="Arial" w:hAnsi="Arial"/>
          <w:sz w:val="21"/>
          <w:szCs w:val="21"/>
          <w:color w:val="auto"/>
        </w:rPr>
      </w:pPr>
    </w:p>
    <w:p>
      <w:pPr>
        <w:ind w:left="1720" w:hanging="853"/>
        <w:spacing w:after="0"/>
        <w:tabs>
          <w:tab w:leader="none" w:pos="172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Mechanics of Issuances</w:t>
      </w:r>
      <w:r>
        <w:rPr>
          <w:rFonts w:ascii="Arial" w:cs="Arial" w:eastAsia="Arial" w:hAnsi="Arial"/>
          <w:sz w:val="21"/>
          <w:szCs w:val="21"/>
          <w:color w:val="auto"/>
        </w:rPr>
        <w:t>.</w:t>
      </w:r>
    </w:p>
    <w:p>
      <w:pPr>
        <w:spacing w:after="0" w:line="197" w:lineRule="exact"/>
        <w:rPr>
          <w:sz w:val="20"/>
          <w:szCs w:val="20"/>
          <w:color w:val="auto"/>
        </w:rPr>
      </w:pPr>
    </w:p>
    <w:p>
      <w:pPr>
        <w:jc w:val="both"/>
        <w:ind w:firstLine="867"/>
        <w:spacing w:after="0" w:line="235" w:lineRule="exact"/>
        <w:tabs>
          <w:tab w:leader="none" w:pos="1188"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Issuance Notice</w:t>
      </w:r>
      <w:r>
        <w:rPr>
          <w:rFonts w:ascii="Arial" w:cs="Arial" w:eastAsia="Arial" w:hAnsi="Arial"/>
          <w:sz w:val="20"/>
          <w:szCs w:val="20"/>
          <w:color w:val="auto"/>
        </w:rPr>
        <w:t xml:space="preserve">. Upon the terms and subject to the conditions set forth herein, on any Trading Day during the Agency Period on which the conditions set forth in </w:t>
      </w:r>
      <w:r>
        <w:rPr>
          <w:rFonts w:ascii="Arial" w:cs="Arial" w:eastAsia="Arial" w:hAnsi="Arial"/>
          <w:sz w:val="17"/>
          <w:szCs w:val="17"/>
          <w:color w:val="auto"/>
        </w:rPr>
        <w:t>Section 5(a)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5(b)</w:t>
      </w:r>
      <w:r>
        <w:rPr>
          <w:rFonts w:ascii="Arial" w:cs="Arial" w:eastAsia="Arial" w:hAnsi="Arial"/>
          <w:sz w:val="20"/>
          <w:szCs w:val="20"/>
          <w:color w:val="auto"/>
        </w:rPr>
        <w:t xml:space="preserve"> shall have been satisfied, the Company may exercise its right to request an issuance of Shares by delivering to the Agent an Issuance Notice; </w:t>
      </w:r>
      <w:r>
        <w:rPr>
          <w:rFonts w:ascii="Arial" w:cs="Arial" w:eastAsia="Arial" w:hAnsi="Arial"/>
          <w:sz w:val="20"/>
          <w:szCs w:val="20"/>
          <w:i w:val="1"/>
          <w:iCs w:val="1"/>
          <w:color w:val="auto"/>
        </w:rPr>
        <w:t>provided, however</w:t>
      </w:r>
      <w:r>
        <w:rPr>
          <w:rFonts w:ascii="Arial" w:cs="Arial" w:eastAsia="Arial" w:hAnsi="Arial"/>
          <w:sz w:val="20"/>
          <w:szCs w:val="20"/>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w:t>
      </w:r>
      <w:r>
        <w:rPr>
          <w:rFonts w:ascii="MS PGothic" w:cs="MS PGothic" w:eastAsia="MS PGothic" w:hAnsi="MS PGothic"/>
          <w:sz w:val="20"/>
          <w:szCs w:val="20"/>
          <w:color w:val="auto"/>
        </w:rPr>
        <w:t>‑</w:t>
      </w:r>
      <w:r>
        <w:rPr>
          <w:rFonts w:ascii="Arial" w:cs="Arial" w:eastAsia="Arial" w:hAnsi="Arial"/>
          <w:sz w:val="20"/>
          <w:szCs w:val="20"/>
          <w:color w:val="auto"/>
        </w:rPr>
        <w:t>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3" w:name="page114"/>
    <w:bookmarkEnd w:id="113"/>
    <w:p>
      <w:pPr>
        <w:jc w:val="both"/>
        <w:ind w:firstLine="867"/>
        <w:spacing w:after="0" w:line="249" w:lineRule="auto"/>
        <w:tabs>
          <w:tab w:leader="none" w:pos="173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Agent Efforts</w:t>
      </w:r>
      <w:r>
        <w:rPr>
          <w:rFonts w:ascii="Arial" w:cs="Arial" w:eastAsia="Arial" w:hAnsi="Arial"/>
          <w:sz w:val="20"/>
          <w:szCs w:val="20"/>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66" w:lineRule="exact"/>
        <w:rPr>
          <w:rFonts w:ascii="Arial" w:cs="Arial" w:eastAsia="Arial" w:hAnsi="Arial"/>
          <w:sz w:val="20"/>
          <w:szCs w:val="20"/>
          <w:color w:val="auto"/>
        </w:rPr>
      </w:pPr>
    </w:p>
    <w:p>
      <w:pPr>
        <w:jc w:val="both"/>
        <w:ind w:firstLine="867"/>
        <w:spacing w:after="0" w:line="249" w:lineRule="auto"/>
        <w:tabs>
          <w:tab w:leader="none" w:pos="179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Method of Offer and Sale</w:t>
      </w:r>
      <w:r>
        <w:rPr>
          <w:rFonts w:ascii="Arial" w:cs="Arial" w:eastAsia="Arial" w:hAnsi="Arial"/>
          <w:sz w:val="20"/>
          <w:szCs w:val="20"/>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66" w:lineRule="exact"/>
        <w:rPr>
          <w:rFonts w:ascii="Arial" w:cs="Arial" w:eastAsia="Arial" w:hAnsi="Arial"/>
          <w:sz w:val="20"/>
          <w:szCs w:val="20"/>
          <w:color w:val="auto"/>
        </w:rPr>
      </w:pPr>
    </w:p>
    <w:p>
      <w:pPr>
        <w:jc w:val="both"/>
        <w:ind w:firstLine="867"/>
        <w:spacing w:after="0" w:line="238" w:lineRule="auto"/>
        <w:tabs>
          <w:tab w:leader="none" w:pos="1781"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Confirmation to the Company</w:t>
      </w:r>
      <w:r>
        <w:rPr>
          <w:rFonts w:ascii="Arial" w:cs="Arial" w:eastAsia="Arial" w:hAnsi="Arial"/>
          <w:sz w:val="21"/>
          <w:szCs w:val="21"/>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76" w:lineRule="exact"/>
        <w:rPr>
          <w:rFonts w:ascii="Arial" w:cs="Arial" w:eastAsia="Arial" w:hAnsi="Arial"/>
          <w:sz w:val="21"/>
          <w:szCs w:val="21"/>
          <w:color w:val="auto"/>
        </w:rPr>
      </w:pPr>
    </w:p>
    <w:p>
      <w:pPr>
        <w:jc w:val="both"/>
        <w:ind w:firstLine="867"/>
        <w:spacing w:after="0" w:line="278" w:lineRule="auto"/>
        <w:tabs>
          <w:tab w:leader="none" w:pos="172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firstLine="867"/>
        <w:spacing w:after="0" w:line="246" w:lineRule="auto"/>
        <w:tabs>
          <w:tab w:leader="none" w:pos="1781"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Suspension or Termination of Sales</w:t>
      </w:r>
      <w:r>
        <w:rPr>
          <w:rFonts w:ascii="Arial" w:cs="Arial" w:eastAsia="Arial" w:hAnsi="Arial"/>
          <w:sz w:val="20"/>
          <w:szCs w:val="20"/>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20"/>
          <w:szCs w:val="20"/>
          <w:u w:val="single" w:color="auto"/>
          <w:color w:val="auto"/>
        </w:rPr>
        <w:t>Section 3(b)(v)</w:t>
      </w:r>
      <w:r>
        <w:rPr>
          <w:rFonts w:ascii="Arial" w:cs="Arial" w:eastAsia="Arial" w:hAnsi="Arial"/>
          <w:sz w:val="20"/>
          <w:szCs w:val="20"/>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4" w:name="page115"/>
    <w:bookmarkEnd w:id="114"/>
    <w:p>
      <w:pPr>
        <w:jc w:val="both"/>
        <w:spacing w:after="0" w:line="236" w:lineRule="auto"/>
        <w:rPr>
          <w:sz w:val="20"/>
          <w:szCs w:val="20"/>
          <w:color w:val="auto"/>
        </w:rPr>
      </w:pPr>
      <w:r>
        <w:rPr>
          <w:rFonts w:ascii="Arial" w:cs="Arial" w:eastAsia="Arial" w:hAnsi="Arial"/>
          <w:sz w:val="21"/>
          <w:szCs w:val="21"/>
          <w:color w:val="auto"/>
        </w:rPr>
        <w:t xml:space="preserve">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21"/>
          <w:szCs w:val="21"/>
          <w:u w:val="single" w:color="auto"/>
          <w:color w:val="auto"/>
        </w:rPr>
        <w:t>Section 3(b)(i)</w:t>
      </w:r>
      <w:r>
        <w:rPr>
          <w:rFonts w:ascii="Arial" w:cs="Arial" w:eastAsia="Arial" w:hAnsi="Arial"/>
          <w:sz w:val="21"/>
          <w:szCs w:val="21"/>
          <w:color w:val="auto"/>
        </w:rPr>
        <w:t>.</w:t>
      </w:r>
    </w:p>
    <w:p>
      <w:pPr>
        <w:spacing w:after="0" w:line="179" w:lineRule="exact"/>
        <w:rPr>
          <w:sz w:val="20"/>
          <w:szCs w:val="20"/>
          <w:color w:val="auto"/>
        </w:rPr>
      </w:pPr>
    </w:p>
    <w:p>
      <w:pPr>
        <w:jc w:val="both"/>
        <w:ind w:firstLine="867"/>
        <w:spacing w:after="0" w:line="253" w:lineRule="auto"/>
        <w:tabs>
          <w:tab w:leader="none" w:pos="183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Guarantee of Placement, Etc.</w:t>
      </w:r>
      <w:r>
        <w:rPr>
          <w:rFonts w:ascii="Arial" w:cs="Arial" w:eastAsia="Arial" w:hAnsi="Arial"/>
          <w:sz w:val="20"/>
          <w:szCs w:val="20"/>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64" w:lineRule="exact"/>
        <w:rPr>
          <w:rFonts w:ascii="Arial" w:cs="Arial" w:eastAsia="Arial" w:hAnsi="Arial"/>
          <w:sz w:val="20"/>
          <w:szCs w:val="20"/>
          <w:color w:val="auto"/>
        </w:rPr>
      </w:pPr>
    </w:p>
    <w:p>
      <w:pPr>
        <w:jc w:val="both"/>
        <w:ind w:firstLine="867"/>
        <w:spacing w:after="0" w:line="259" w:lineRule="auto"/>
        <w:tabs>
          <w:tab w:leader="none" w:pos="1895"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Material Non-Public Information.</w:t>
      </w:r>
      <w:r>
        <w:rPr>
          <w:rFonts w:ascii="Arial" w:cs="Arial" w:eastAsia="Arial" w:hAnsi="Arial"/>
          <w:sz w:val="20"/>
          <w:szCs w:val="20"/>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58" w:lineRule="exact"/>
        <w:rPr>
          <w:sz w:val="20"/>
          <w:szCs w:val="20"/>
          <w:color w:val="auto"/>
        </w:rPr>
      </w:pPr>
    </w:p>
    <w:p>
      <w:pPr>
        <w:jc w:val="both"/>
        <w:ind w:firstLine="867"/>
        <w:spacing w:after="0" w:line="279" w:lineRule="auto"/>
        <w:tabs>
          <w:tab w:leader="none" w:pos="1712"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140" w:lineRule="exact"/>
        <w:rPr>
          <w:rFonts w:ascii="Arial" w:cs="Arial" w:eastAsia="Arial" w:hAnsi="Arial"/>
          <w:sz w:val="19"/>
          <w:szCs w:val="19"/>
          <w:color w:val="auto"/>
        </w:rPr>
      </w:pPr>
    </w:p>
    <w:p>
      <w:pPr>
        <w:jc w:val="both"/>
        <w:ind w:firstLine="867"/>
        <w:spacing w:after="0" w:line="273" w:lineRule="auto"/>
        <w:tabs>
          <w:tab w:leader="none" w:pos="172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w:t>
      </w:r>
    </w:p>
    <w:p>
      <w:pPr>
        <w:spacing w:after="0" w:line="1" w:lineRule="exact"/>
        <w:rPr>
          <w:rFonts w:ascii="Arial" w:cs="Arial" w:eastAsia="Arial" w:hAnsi="Arial"/>
          <w:sz w:val="18"/>
          <w:szCs w:val="18"/>
          <w:color w:val="auto"/>
        </w:rPr>
      </w:pPr>
    </w:p>
    <w:p>
      <w:pPr>
        <w:jc w:val="both"/>
        <w:ind w:firstLine="3"/>
        <w:spacing w:after="0" w:line="257" w:lineRule="auto"/>
        <w:tabs>
          <w:tab w:leader="none" w:pos="317"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9"/>
          <w:szCs w:val="19"/>
          <w:b w:val="1"/>
          <w:bCs w:val="1"/>
          <w:color w:val="auto"/>
        </w:rPr>
        <w:t>Blue Sky Survey</w:t>
      </w:r>
      <w:r>
        <w:rPr>
          <w:rFonts w:ascii="Arial" w:cs="Arial" w:eastAsia="Arial" w:hAnsi="Arial"/>
          <w:sz w:val="19"/>
          <w:szCs w:val="19"/>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5" w:name="page116"/>
    <w:bookmarkEnd w:id="115"/>
    <w:p>
      <w:pPr>
        <w:jc w:val="both"/>
        <w:spacing w:after="0" w:line="276" w:lineRule="auto"/>
        <w:rPr>
          <w:sz w:val="20"/>
          <w:szCs w:val="20"/>
          <w:color w:val="auto"/>
        </w:rPr>
      </w:pPr>
      <w:r>
        <w:rPr>
          <w:rFonts w:ascii="Arial" w:cs="Arial" w:eastAsia="Arial" w:hAnsi="Arial"/>
          <w:sz w:val="18"/>
          <w:szCs w:val="18"/>
          <w:color w:val="auto"/>
        </w:rPr>
        <w:t>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w:t>
      </w:r>
    </w:p>
    <w:p>
      <w:pPr>
        <w:jc w:val="both"/>
        <w:ind w:firstLine="3"/>
        <w:spacing w:after="0" w:line="234" w:lineRule="auto"/>
        <w:tabs>
          <w:tab w:leader="none" w:pos="310"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the fees and expenses associated with listing the Shares on the Principal Market. The fees and disbursements of Agent’s counsel pursuant to subsections (vi) and (vii) above shall not exceed (A) $50,000 in connection with the entry into this Agreement and the transactions related hereto and (B) $15,000 in connection with each Triggering Event Date (as defined below) on which the Company is required to provide a certificate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w:t>
      </w:r>
    </w:p>
    <w:p>
      <w:pPr>
        <w:spacing w:after="0" w:line="169" w:lineRule="exact"/>
        <w:rPr>
          <w:sz w:val="20"/>
          <w:szCs w:val="20"/>
          <w:color w:val="auto"/>
        </w:rPr>
      </w:pPr>
    </w:p>
    <w:p>
      <w:pPr>
        <w:spacing w:after="0"/>
        <w:tabs>
          <w:tab w:leader="none" w:pos="154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21"/>
          <w:szCs w:val="21"/>
          <w:b w:val="1"/>
          <w:bCs w:val="1"/>
          <w:color w:val="auto"/>
        </w:rPr>
        <w:t>ADDITIONAL COVENANTS</w:t>
      </w:r>
    </w:p>
    <w:p>
      <w:pPr>
        <w:spacing w:after="0" w:line="203"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The Company covenants and agrees with the Agent as follows, in addition to any other covenants and agreements made elsewhere in this Agreement:</w:t>
      </w:r>
    </w:p>
    <w:p>
      <w:pPr>
        <w:spacing w:after="0" w:line="163" w:lineRule="exact"/>
        <w:rPr>
          <w:sz w:val="20"/>
          <w:szCs w:val="20"/>
          <w:color w:val="auto"/>
        </w:rPr>
      </w:pPr>
    </w:p>
    <w:p>
      <w:pPr>
        <w:jc w:val="both"/>
        <w:ind w:firstLine="867"/>
        <w:spacing w:after="0" w:line="278" w:lineRule="auto"/>
        <w:tabs>
          <w:tab w:leader="none" w:pos="171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 Prospectus Supplement”)</w:t>
      </w:r>
      <w:r>
        <w:rPr>
          <w:rFonts w:ascii="Arial" w:cs="Arial" w:eastAsia="Arial" w:hAnsi="Arial"/>
          <w:sz w:val="18"/>
          <w:szCs w:val="18"/>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44" w:lineRule="exact"/>
        <w:rPr>
          <w:rFonts w:ascii="Arial" w:cs="Arial" w:eastAsia="Arial" w:hAnsi="Arial"/>
          <w:sz w:val="18"/>
          <w:szCs w:val="18"/>
          <w:color w:val="auto"/>
        </w:rPr>
      </w:pPr>
    </w:p>
    <w:p>
      <w:pPr>
        <w:jc w:val="both"/>
        <w:ind w:firstLine="867"/>
        <w:spacing w:after="0" w:line="258" w:lineRule="auto"/>
        <w:tabs>
          <w:tab w:leader="none" w:pos="172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Securities Act Compliance</w:t>
      </w:r>
      <w:r>
        <w:rPr>
          <w:rFonts w:ascii="Arial" w:cs="Arial" w:eastAsia="Arial" w:hAnsi="Arial"/>
          <w:sz w:val="19"/>
          <w:szCs w:val="19"/>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6" w:name="page117"/>
    <w:bookmarkEnd w:id="116"/>
    <w:p>
      <w:pPr>
        <w:jc w:val="both"/>
        <w:ind w:firstLine="867"/>
        <w:spacing w:after="0" w:line="259" w:lineRule="auto"/>
        <w:tabs>
          <w:tab w:leader="none" w:pos="171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165" w:lineRule="exact"/>
        <w:rPr>
          <w:rFonts w:ascii="Arial" w:cs="Arial" w:eastAsia="Arial" w:hAnsi="Arial"/>
          <w:sz w:val="19"/>
          <w:szCs w:val="19"/>
          <w:color w:val="auto"/>
        </w:rPr>
      </w:pPr>
    </w:p>
    <w:p>
      <w:pPr>
        <w:jc w:val="both"/>
        <w:ind w:firstLine="867"/>
        <w:spacing w:after="0" w:line="263" w:lineRule="auto"/>
        <w:tabs>
          <w:tab w:leader="none" w:pos="172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to file with the Commission within the applicable period specified in Rule 424(b) under the Securities Act any prospectus required to be filed pursuant to such Rule.</w:t>
      </w:r>
    </w:p>
    <w:p>
      <w:pPr>
        <w:spacing w:after="0" w:line="154" w:lineRule="exact"/>
        <w:rPr>
          <w:rFonts w:ascii="Arial" w:cs="Arial" w:eastAsia="Arial" w:hAnsi="Arial"/>
          <w:sz w:val="19"/>
          <w:szCs w:val="19"/>
          <w:color w:val="auto"/>
        </w:rPr>
      </w:pPr>
    </w:p>
    <w:p>
      <w:pPr>
        <w:jc w:val="both"/>
        <w:ind w:firstLine="867"/>
        <w:spacing w:after="0" w:line="271" w:lineRule="auto"/>
        <w:tabs>
          <w:tab w:leader="none" w:pos="171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Use of Free Writing Prospectus</w:t>
      </w:r>
      <w:r>
        <w:rPr>
          <w:rFonts w:ascii="Arial" w:cs="Arial" w:eastAsia="Arial" w:hAnsi="Arial"/>
          <w:sz w:val="19"/>
          <w:szCs w:val="19"/>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9"/>
          <w:szCs w:val="19"/>
          <w:b w:val="1"/>
          <w:bCs w:val="1"/>
          <w:color w:val="auto"/>
        </w:rPr>
        <w:t>Free Writing Prospectus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867"/>
        <w:spacing w:after="0" w:line="260" w:lineRule="auto"/>
        <w:tabs>
          <w:tab w:leader="none" w:pos="168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Free Writing Prospectuses</w:t>
      </w:r>
      <w:r>
        <w:rPr>
          <w:rFonts w:ascii="Arial" w:cs="Arial" w:eastAsia="Arial" w:hAnsi="Arial"/>
          <w:sz w:val="19"/>
          <w:szCs w:val="19"/>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7" w:name="page118"/>
    <w:bookmarkEnd w:id="117"/>
    <w:p>
      <w:pPr>
        <w:jc w:val="both"/>
        <w:spacing w:after="0" w:line="246" w:lineRule="auto"/>
        <w:rPr>
          <w:sz w:val="20"/>
          <w:szCs w:val="20"/>
          <w:color w:val="auto"/>
        </w:rPr>
      </w:pPr>
      <w:r>
        <w:rPr>
          <w:rFonts w:ascii="Arial" w:cs="Arial" w:eastAsia="Arial" w:hAnsi="Arial"/>
          <w:sz w:val="20"/>
          <w:szCs w:val="20"/>
          <w:color w:val="auto"/>
        </w:rPr>
        <w:t xml:space="preserve">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20"/>
          <w:szCs w:val="20"/>
          <w:i w:val="1"/>
          <w:iCs w:val="1"/>
          <w:color w:val="auto"/>
        </w:rPr>
        <w:t>provided, however</w:t>
      </w:r>
      <w:r>
        <w:rPr>
          <w:rFonts w:ascii="Arial" w:cs="Arial" w:eastAsia="Arial" w:hAnsi="Arial"/>
          <w:sz w:val="20"/>
          <w:szCs w:val="20"/>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170" w:lineRule="exact"/>
        <w:rPr>
          <w:sz w:val="20"/>
          <w:szCs w:val="20"/>
          <w:color w:val="auto"/>
        </w:rPr>
      </w:pPr>
    </w:p>
    <w:p>
      <w:pPr>
        <w:jc w:val="both"/>
        <w:ind w:firstLine="867"/>
        <w:spacing w:after="0" w:line="279" w:lineRule="auto"/>
        <w:tabs>
          <w:tab w:leader="none" w:pos="172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40" w:lineRule="exact"/>
        <w:rPr>
          <w:rFonts w:ascii="Arial" w:cs="Arial" w:eastAsia="Arial" w:hAnsi="Arial"/>
          <w:sz w:val="19"/>
          <w:szCs w:val="19"/>
          <w:color w:val="auto"/>
        </w:rPr>
      </w:pPr>
    </w:p>
    <w:p>
      <w:pPr>
        <w:jc w:val="both"/>
        <w:ind w:firstLine="867"/>
        <w:spacing w:after="0" w:line="257" w:lineRule="auto"/>
        <w:tabs>
          <w:tab w:leader="none" w:pos="172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Copies of Registration Statement and Prospectus</w:t>
      </w:r>
      <w:r>
        <w:rPr>
          <w:rFonts w:ascii="Arial" w:cs="Arial" w:eastAsia="Arial" w:hAnsi="Arial"/>
          <w:sz w:val="19"/>
          <w:szCs w:val="19"/>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8" w:name="page119"/>
    <w:bookmarkEnd w:id="118"/>
    <w:p>
      <w:pPr>
        <w:jc w:val="both"/>
        <w:ind w:firstLine="867"/>
        <w:spacing w:after="0" w:line="246" w:lineRule="auto"/>
        <w:tabs>
          <w:tab w:leader="none" w:pos="1678"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Blue Sky Compliance</w:t>
      </w:r>
      <w:r>
        <w:rPr>
          <w:rFonts w:ascii="Arial" w:cs="Arial" w:eastAsia="Arial" w:hAnsi="Arial"/>
          <w:sz w:val="20"/>
          <w:szCs w:val="20"/>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spacing w:after="0" w:line="169" w:lineRule="exact"/>
        <w:rPr>
          <w:rFonts w:ascii="Arial" w:cs="Arial" w:eastAsia="Arial" w:hAnsi="Arial"/>
          <w:sz w:val="20"/>
          <w:szCs w:val="20"/>
          <w:color w:val="auto"/>
        </w:rPr>
      </w:pPr>
    </w:p>
    <w:p>
      <w:pPr>
        <w:jc w:val="both"/>
        <w:ind w:firstLine="867"/>
        <w:spacing w:after="0" w:line="238" w:lineRule="auto"/>
        <w:tabs>
          <w:tab w:leader="none" w:pos="1678"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Earnings Statement</w:t>
      </w:r>
      <w:r>
        <w:rPr>
          <w:rFonts w:ascii="Arial" w:cs="Arial" w:eastAsia="Arial" w:hAnsi="Arial"/>
          <w:sz w:val="21"/>
          <w:szCs w:val="21"/>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76" w:lineRule="exact"/>
        <w:rPr>
          <w:rFonts w:ascii="Arial" w:cs="Arial" w:eastAsia="Arial" w:hAnsi="Arial"/>
          <w:sz w:val="21"/>
          <w:szCs w:val="21"/>
          <w:color w:val="auto"/>
        </w:rPr>
      </w:pPr>
    </w:p>
    <w:p>
      <w:pPr>
        <w:jc w:val="both"/>
        <w:ind w:firstLine="867"/>
        <w:spacing w:after="0" w:line="241" w:lineRule="auto"/>
        <w:tabs>
          <w:tab w:leader="none" w:pos="1724"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Listing; Reservation of Shares</w:t>
      </w:r>
      <w:r>
        <w:rPr>
          <w:rFonts w:ascii="Arial" w:cs="Arial" w:eastAsia="Arial" w:hAnsi="Arial"/>
          <w:sz w:val="21"/>
          <w:szCs w:val="21"/>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74" w:lineRule="exact"/>
        <w:rPr>
          <w:rFonts w:ascii="Arial" w:cs="Arial" w:eastAsia="Arial" w:hAnsi="Arial"/>
          <w:sz w:val="21"/>
          <w:szCs w:val="21"/>
          <w:color w:val="auto"/>
        </w:rPr>
      </w:pPr>
    </w:p>
    <w:p>
      <w:pPr>
        <w:ind w:left="1680" w:hanging="813"/>
        <w:spacing w:after="0"/>
        <w:tabs>
          <w:tab w:leader="none" w:pos="168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Transfer Agent</w:t>
      </w:r>
      <w:r>
        <w:rPr>
          <w:rFonts w:ascii="Arial" w:cs="Arial" w:eastAsia="Arial" w:hAnsi="Arial"/>
          <w:sz w:val="19"/>
          <w:szCs w:val="19"/>
          <w:color w:val="auto"/>
        </w:rPr>
        <w:t>.  The Company shall engage and maintain, at its expense, a registrar and transfer agent for the</w:t>
      </w:r>
    </w:p>
    <w:p>
      <w:pPr>
        <w:spacing w:after="0" w:line="3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Shares.</w:t>
      </w:r>
    </w:p>
    <w:p>
      <w:pPr>
        <w:spacing w:after="0" w:line="178" w:lineRule="exact"/>
        <w:rPr>
          <w:rFonts w:ascii="Arial" w:cs="Arial" w:eastAsia="Arial" w:hAnsi="Arial"/>
          <w:sz w:val="19"/>
          <w:szCs w:val="19"/>
          <w:color w:val="auto"/>
        </w:rPr>
      </w:pPr>
    </w:p>
    <w:p>
      <w:pPr>
        <w:jc w:val="both"/>
        <w:ind w:firstLine="867"/>
        <w:spacing w:after="0" w:line="238" w:lineRule="auto"/>
        <w:tabs>
          <w:tab w:leader="none" w:pos="1781"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Due Diligence</w:t>
      </w:r>
      <w:r>
        <w:rPr>
          <w:rFonts w:ascii="Arial" w:cs="Arial" w:eastAsia="Arial" w:hAnsi="Arial"/>
          <w:sz w:val="21"/>
          <w:szCs w:val="21"/>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6" w:lineRule="exact"/>
        <w:rPr>
          <w:rFonts w:ascii="Arial" w:cs="Arial" w:eastAsia="Arial" w:hAnsi="Arial"/>
          <w:sz w:val="21"/>
          <w:szCs w:val="21"/>
          <w:color w:val="auto"/>
        </w:rPr>
      </w:pPr>
    </w:p>
    <w:p>
      <w:pPr>
        <w:jc w:val="both"/>
        <w:ind w:firstLine="867"/>
        <w:spacing w:after="0" w:line="278" w:lineRule="auto"/>
        <w:tabs>
          <w:tab w:leader="none" w:pos="172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9" w:name="page120"/>
    <w:bookmarkEnd w:id="119"/>
    <w:p>
      <w:pPr>
        <w:ind w:firstLine="867"/>
        <w:spacing w:after="0" w:line="252" w:lineRule="auto"/>
        <w:tabs>
          <w:tab w:leader="none" w:pos="1724"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Deliverables at Triggering Event Dates; Certificates.</w:t>
      </w:r>
      <w:r>
        <w:rPr>
          <w:rFonts w:ascii="Arial" w:cs="Arial" w:eastAsia="Arial" w:hAnsi="Arial"/>
          <w:sz w:val="21"/>
          <w:szCs w:val="21"/>
          <w:color w:val="auto"/>
        </w:rPr>
        <w:t xml:space="preserve"> The Company agrees that on or prior to the date of the first Issuance Notice and, during the term of this Agreement after the date of the first Issuance Notice, upon:</w:t>
      </w:r>
    </w:p>
    <w:p>
      <w:pPr>
        <w:spacing w:after="0" w:line="163" w:lineRule="exact"/>
        <w:rPr>
          <w:sz w:val="20"/>
          <w:szCs w:val="20"/>
          <w:color w:val="auto"/>
        </w:rPr>
      </w:pPr>
    </w:p>
    <w:p>
      <w:pPr>
        <w:jc w:val="both"/>
        <w:ind w:firstLine="1483"/>
        <w:spacing w:after="0" w:line="238" w:lineRule="auto"/>
        <w:rPr>
          <w:sz w:val="20"/>
          <w:szCs w:val="20"/>
          <w:color w:val="auto"/>
        </w:rPr>
      </w:pPr>
      <w:r>
        <w:rPr>
          <w:rFonts w:ascii="Arial" w:cs="Arial" w:eastAsia="Arial" w:hAnsi="Arial"/>
          <w:sz w:val="21"/>
          <w:szCs w:val="21"/>
          <w:color w:val="auto"/>
        </w:rPr>
        <w:t>(A)the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77" w:lineRule="exact"/>
        <w:rPr>
          <w:sz w:val="20"/>
          <w:szCs w:val="20"/>
          <w:color w:val="auto"/>
        </w:rPr>
      </w:pPr>
    </w:p>
    <w:p>
      <w:pPr>
        <w:jc w:val="both"/>
        <w:ind w:firstLine="1483"/>
        <w:spacing w:after="0" w:line="241" w:lineRule="auto"/>
        <w:rPr>
          <w:sz w:val="20"/>
          <w:szCs w:val="20"/>
          <w:color w:val="auto"/>
        </w:rPr>
      </w:pPr>
      <w:r>
        <w:rPr>
          <w:rFonts w:ascii="Arial" w:cs="Arial" w:eastAsia="Arial" w:hAnsi="Arial"/>
          <w:sz w:val="21"/>
          <w:szCs w:val="21"/>
          <w:color w:val="auto"/>
        </w:rPr>
        <w:t>(B)the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75" w:lineRule="exact"/>
        <w:rPr>
          <w:sz w:val="20"/>
          <w:szCs w:val="20"/>
          <w:color w:val="auto"/>
        </w:rPr>
      </w:pPr>
    </w:p>
    <w:p>
      <w:pPr>
        <w:jc w:val="both"/>
        <w:ind w:firstLine="1483"/>
        <w:spacing w:after="0" w:line="271" w:lineRule="auto"/>
        <w:rPr>
          <w:sz w:val="20"/>
          <w:szCs w:val="20"/>
          <w:color w:val="auto"/>
        </w:rPr>
      </w:pPr>
      <w:r>
        <w:rPr>
          <w:rFonts w:ascii="Arial" w:cs="Arial" w:eastAsia="Arial" w:hAnsi="Arial"/>
          <w:sz w:val="19"/>
          <w:szCs w:val="19"/>
          <w:color w:val="auto"/>
        </w:rPr>
        <w:t>(C)the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(any such event, a “</w:t>
      </w:r>
      <w:r>
        <w:rPr>
          <w:rFonts w:ascii="Arial" w:cs="Arial" w:eastAsia="Arial" w:hAnsi="Arial"/>
          <w:sz w:val="18"/>
          <w:szCs w:val="18"/>
          <w:b w:val="1"/>
          <w:bCs w:val="1"/>
          <w:color w:val="auto"/>
        </w:rPr>
        <w:t>Triggering Event Date</w:t>
      </w:r>
      <w:r>
        <w:rPr>
          <w:rFonts w:ascii="Arial" w:cs="Arial" w:eastAsia="Arial" w:hAnsi="Arial"/>
          <w:sz w:val="18"/>
          <w:szCs w:val="18"/>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on the date of such certificate as if made on such date, (B) confirming that the Company has performed all of its obligations hereunder to be performed on or prior to the date of such certificate and as to the matters set forth in </w:t>
      </w:r>
      <w:r>
        <w:rPr>
          <w:rFonts w:ascii="Arial" w:cs="Arial" w:eastAsia="Arial" w:hAnsi="Arial"/>
          <w:sz w:val="18"/>
          <w:szCs w:val="18"/>
          <w:u w:val="single" w:color="auto"/>
          <w:color w:val="auto"/>
        </w:rPr>
        <w:t>Section 5(a)</w:t>
      </w:r>
    </w:p>
    <w:p>
      <w:pPr>
        <w:jc w:val="both"/>
        <w:ind w:firstLine="3"/>
        <w:spacing w:after="0" w:line="232" w:lineRule="auto"/>
        <w:tabs>
          <w:tab w:leader="none" w:pos="371" w:val="left"/>
        </w:tabs>
        <w:numPr>
          <w:ilvl w:val="0"/>
          <w:numId w:val="75"/>
        </w:numPr>
        <w:rPr>
          <w:rFonts w:ascii="Arial" w:cs="Arial" w:eastAsia="Arial" w:hAnsi="Arial"/>
          <w:sz w:val="21"/>
          <w:szCs w:val="21"/>
          <w:u w:val="single" w:color="auto"/>
          <w:color w:val="auto"/>
        </w:rPr>
      </w:pPr>
      <w:r>
        <w:rPr>
          <w:rFonts w:ascii="Arial" w:cs="Arial" w:eastAsia="Arial" w:hAnsi="Arial"/>
          <w:sz w:val="21"/>
          <w:szCs w:val="21"/>
          <w:color w:val="auto"/>
        </w:rPr>
        <w:t xml:space="preserve">hereof, and (C) containing any other certification that the Agent shall reasonably request. The requirement to provide a certificate under this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75" w:lineRule="exact"/>
        <w:rPr>
          <w:rFonts w:ascii="Arial" w:cs="Arial" w:eastAsia="Arial" w:hAnsi="Arial"/>
          <w:sz w:val="21"/>
          <w:szCs w:val="21"/>
          <w:u w:val="single" w:color="auto"/>
          <w:color w:val="auto"/>
        </w:rPr>
      </w:pPr>
    </w:p>
    <w:p>
      <w:pPr>
        <w:jc w:val="both"/>
        <w:ind w:firstLine="867"/>
        <w:spacing w:after="0" w:line="241" w:lineRule="auto"/>
        <w:tabs>
          <w:tab w:leader="none" w:pos="1724"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Legal Opinions.</w:t>
      </w:r>
      <w:r>
        <w:rPr>
          <w:rFonts w:ascii="Arial" w:cs="Arial" w:eastAsia="Arial" w:hAnsi="Arial"/>
          <w:sz w:val="21"/>
          <w:szCs w:val="21"/>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0" w:name="page121"/>
    <w:bookmarkEnd w:id="120"/>
    <w:p>
      <w:pPr>
        <w:jc w:val="both"/>
        <w:spacing w:after="0" w:line="246" w:lineRule="auto"/>
        <w:rPr>
          <w:sz w:val="20"/>
          <w:szCs w:val="20"/>
          <w:color w:val="auto"/>
        </w:rPr>
      </w:pPr>
      <w:r>
        <w:rPr>
          <w:rFonts w:ascii="Arial" w:cs="Arial" w:eastAsia="Arial" w:hAnsi="Arial"/>
          <w:sz w:val="20"/>
          <w:szCs w:val="20"/>
          <w:color w:val="auto"/>
        </w:rPr>
        <w:t>Agreement, a negative assurances letter and the written legal opinions of Gibson, Dunn &amp; Crutcher LLP, counsel to the Company, Wilmer Cutler Pickering Hale and Dorr, LLP, counsel to the Agent, and Honigman LLP, intellectual property counsel to the Company, with respect to certain intellectual property matters,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73" w:lineRule="exact"/>
        <w:rPr>
          <w:sz w:val="20"/>
          <w:szCs w:val="20"/>
          <w:color w:val="auto"/>
        </w:rPr>
      </w:pPr>
    </w:p>
    <w:p>
      <w:pPr>
        <w:jc w:val="both"/>
        <w:ind w:firstLine="867"/>
        <w:spacing w:after="0" w:line="259" w:lineRule="auto"/>
        <w:tabs>
          <w:tab w:leader="none" w:pos="172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KMJ Corbin &amp; Company LLP, the independent registered public accounting firm who has audited the financial statements included or incorporated by reference in the Registration Statement, including any required pro forma financial statements,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61" w:lineRule="exact"/>
        <w:rPr>
          <w:rFonts w:ascii="Arial" w:cs="Arial" w:eastAsia="Arial" w:hAnsi="Arial"/>
          <w:sz w:val="19"/>
          <w:szCs w:val="19"/>
          <w:color w:val="auto"/>
        </w:rPr>
      </w:pPr>
    </w:p>
    <w:p>
      <w:pPr>
        <w:jc w:val="both"/>
        <w:ind w:firstLine="867"/>
        <w:spacing w:after="0" w:line="247" w:lineRule="auto"/>
        <w:tabs>
          <w:tab w:leader="none" w:pos="127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Secretary’s Certificate</w:t>
      </w:r>
      <w:r>
        <w:rPr>
          <w:rFonts w:ascii="Arial" w:cs="Arial" w:eastAsia="Arial" w:hAnsi="Arial"/>
          <w:sz w:val="20"/>
          <w:szCs w:val="20"/>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69" w:lineRule="exact"/>
        <w:rPr>
          <w:rFonts w:ascii="Arial" w:cs="Arial" w:eastAsia="Arial" w:hAnsi="Arial"/>
          <w:sz w:val="20"/>
          <w:szCs w:val="20"/>
          <w:color w:val="auto"/>
        </w:rPr>
      </w:pPr>
    </w:p>
    <w:p>
      <w:pPr>
        <w:jc w:val="both"/>
        <w:ind w:firstLine="867"/>
        <w:spacing w:after="0" w:line="241" w:lineRule="auto"/>
        <w:tabs>
          <w:tab w:leader="none" w:pos="1701"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Agent’s Own Account; Clients’ Account</w:t>
      </w:r>
      <w:r>
        <w:rPr>
          <w:rFonts w:ascii="Arial" w:cs="Arial" w:eastAsia="Arial" w:hAnsi="Arial"/>
          <w:sz w:val="21"/>
          <w:szCs w:val="21"/>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1" w:name="page122"/>
    <w:bookmarkEnd w:id="121"/>
    <w:p>
      <w:pPr>
        <w:jc w:val="both"/>
        <w:ind w:firstLine="867"/>
        <w:spacing w:after="0" w:line="241" w:lineRule="auto"/>
        <w:tabs>
          <w:tab w:leader="none" w:pos="1678"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Investment Limitation</w:t>
      </w:r>
      <w:r>
        <w:rPr>
          <w:rFonts w:ascii="Arial" w:cs="Arial" w:eastAsia="Arial" w:hAnsi="Arial"/>
          <w:sz w:val="21"/>
          <w:szCs w:val="21"/>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74" w:lineRule="exact"/>
        <w:rPr>
          <w:rFonts w:ascii="Arial" w:cs="Arial" w:eastAsia="Arial" w:hAnsi="Arial"/>
          <w:sz w:val="21"/>
          <w:szCs w:val="21"/>
          <w:color w:val="auto"/>
        </w:rPr>
      </w:pPr>
    </w:p>
    <w:p>
      <w:pPr>
        <w:jc w:val="both"/>
        <w:ind w:firstLine="867"/>
        <w:spacing w:after="0" w:line="278" w:lineRule="auto"/>
        <w:tabs>
          <w:tab w:leader="none" w:pos="172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8"/>
          <w:szCs w:val="18"/>
          <w:b w:val="1"/>
          <w:bCs w:val="1"/>
          <w:color w:val="auto"/>
        </w:rPr>
        <w:t>Rule 102</w:t>
      </w:r>
      <w:r>
        <w:rPr>
          <w:rFonts w:ascii="Arial" w:cs="Arial" w:eastAsia="Arial" w:hAnsi="Arial"/>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44" w:lineRule="exact"/>
        <w:rPr>
          <w:rFonts w:ascii="Arial" w:cs="Arial" w:eastAsia="Arial" w:hAnsi="Arial"/>
          <w:sz w:val="18"/>
          <w:szCs w:val="18"/>
          <w:color w:val="auto"/>
        </w:rPr>
      </w:pPr>
    </w:p>
    <w:p>
      <w:pPr>
        <w:jc w:val="both"/>
        <w:ind w:firstLine="867"/>
        <w:spacing w:after="0" w:line="257" w:lineRule="auto"/>
        <w:tabs>
          <w:tab w:leader="none" w:pos="172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Notice of Other Sale</w:t>
      </w:r>
      <w:r>
        <w:rPr>
          <w:rFonts w:ascii="Arial" w:cs="Arial" w:eastAsia="Arial" w:hAnsi="Arial"/>
          <w:sz w:val="19"/>
          <w:szCs w:val="19"/>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modification of any outstanding options, warrants of any rights to purchase or acquire Common Shares, and (iv) issuance or sale of Common Shares or securities convertible into or exchangeable for Common Shares as consideration for mergers, acquisitions or other business combinations, joint ventures or strategic alliances occurring after the date of this Agreement and which are not used for capital-raising purposes, provided that the aggregate number of Common Shares issued or sold under this subsection (iv) shall not exceed 5% of the number of Common Shares outstanding immediately prior to giving effect to such sale of issuance.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2" w:name="page123"/>
    <w:bookmarkEnd w:id="122"/>
    <w:p>
      <w:pPr>
        <w:spacing w:after="0"/>
        <w:tabs>
          <w:tab w:leader="none" w:pos="1560" w:val="left"/>
        </w:tabs>
        <w:rPr>
          <w:sz w:val="20"/>
          <w:szCs w:val="20"/>
          <w:color w:val="auto"/>
        </w:rPr>
      </w:pPr>
      <w:r>
        <w:rPr>
          <w:rFonts w:ascii="Arial" w:cs="Arial" w:eastAsia="Arial" w:hAnsi="Arial"/>
          <w:sz w:val="21"/>
          <w:szCs w:val="21"/>
          <w:b w:val="1"/>
          <w:bCs w:val="1"/>
          <w:color w:val="auto"/>
        </w:rPr>
        <w:t>Section 5.</w:t>
      </w:r>
      <w:r>
        <w:rPr>
          <w:sz w:val="20"/>
          <w:szCs w:val="20"/>
          <w:color w:val="auto"/>
        </w:rPr>
        <w:tab/>
      </w:r>
      <w:r>
        <w:rPr>
          <w:rFonts w:ascii="Arial" w:cs="Arial" w:eastAsia="Arial" w:hAnsi="Arial"/>
          <w:sz w:val="20"/>
          <w:szCs w:val="20"/>
          <w:b w:val="1"/>
          <w:bCs w:val="1"/>
          <w:color w:val="auto"/>
        </w:rPr>
        <w:t>CONDITIONS TO DELIVERY OF ISSUANCE NOTICES AND TO SETTLEMENT</w:t>
      </w:r>
    </w:p>
    <w:p>
      <w:pPr>
        <w:spacing w:after="0" w:line="203" w:lineRule="exact"/>
        <w:rPr>
          <w:sz w:val="20"/>
          <w:szCs w:val="20"/>
          <w:color w:val="auto"/>
        </w:rPr>
      </w:pPr>
    </w:p>
    <w:p>
      <w:pPr>
        <w:jc w:val="both"/>
        <w:ind w:firstLine="867"/>
        <w:spacing w:after="0" w:line="236" w:lineRule="auto"/>
        <w:tabs>
          <w:tab w:leader="none" w:pos="1712"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Conditions Precedent to the Right of the Company to Deliver an Issuance Notice and the Obligation of the Agent to Sell Shares</w:t>
      </w:r>
      <w:r>
        <w:rPr>
          <w:rFonts w:ascii="Arial" w:cs="Arial" w:eastAsia="Arial" w:hAnsi="Arial"/>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9" w:lineRule="exact"/>
        <w:rPr>
          <w:rFonts w:ascii="Arial" w:cs="Arial" w:eastAsia="Arial" w:hAnsi="Arial"/>
          <w:sz w:val="21"/>
          <w:szCs w:val="21"/>
          <w:color w:val="auto"/>
        </w:rPr>
      </w:pPr>
    </w:p>
    <w:p>
      <w:pPr>
        <w:jc w:val="both"/>
        <w:ind w:left="1740" w:hanging="873"/>
        <w:spacing w:after="0" w:line="249" w:lineRule="auto"/>
        <w:tabs>
          <w:tab w:leader="none" w:pos="1740"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Accuracy of the Company’s Representations and Warranties; Performance by the Company</w:t>
      </w:r>
      <w:r>
        <w:rPr>
          <w:rFonts w:ascii="Arial" w:cs="Arial" w:eastAsia="Arial" w:hAnsi="Arial"/>
          <w:sz w:val="20"/>
          <w:szCs w:val="20"/>
          <w:color w:val="auto"/>
        </w:rPr>
        <w:t xml:space="preserve">. The Company shall have delivered the certificate required to be delivered pursuant to </w:t>
      </w:r>
      <w:r>
        <w:rPr>
          <w:rFonts w:ascii="Arial" w:cs="Arial" w:eastAsia="Arial" w:hAnsi="Arial"/>
          <w:sz w:val="20"/>
          <w:szCs w:val="20"/>
          <w:u w:val="single" w:color="auto"/>
          <w:color w:val="auto"/>
        </w:rPr>
        <w:t>Section 4(o)</w:t>
      </w:r>
      <w:r>
        <w:rPr>
          <w:rFonts w:ascii="Arial" w:cs="Arial" w:eastAsia="Arial" w:hAnsi="Arial"/>
          <w:sz w:val="20"/>
          <w:szCs w:val="20"/>
          <w:color w:val="auto"/>
        </w:rPr>
        <w:t xml:space="preserve"> on or before the date on which delivery of such certificate is required pursuant to </w:t>
      </w:r>
      <w:r>
        <w:rPr>
          <w:rFonts w:ascii="Arial" w:cs="Arial" w:eastAsia="Arial" w:hAnsi="Arial"/>
          <w:sz w:val="20"/>
          <w:szCs w:val="20"/>
          <w:u w:val="single" w:color="auto"/>
          <w:color w:val="auto"/>
        </w:rPr>
        <w:t>Section 4(o)</w:t>
      </w:r>
      <w:r>
        <w:rPr>
          <w:rFonts w:ascii="Arial" w:cs="Arial" w:eastAsia="Arial" w:hAnsi="Arial"/>
          <w:sz w:val="20"/>
          <w:szCs w:val="20"/>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Section 4(m), </w:t>
      </w:r>
      <w:r>
        <w:rPr>
          <w:rFonts w:ascii="Arial" w:cs="Arial" w:eastAsia="Arial" w:hAnsi="Arial"/>
          <w:sz w:val="20"/>
          <w:szCs w:val="20"/>
          <w:u w:val="single" w:color="auto"/>
          <w:color w:val="auto"/>
        </w:rPr>
        <w:t>Section 4(q)</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4(r)</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left="1740" w:hanging="873"/>
        <w:spacing w:after="0" w:line="235" w:lineRule="auto"/>
        <w:tabs>
          <w:tab w:leader="none" w:pos="1740"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No Injunction</w:t>
      </w:r>
      <w:r>
        <w:rPr>
          <w:rFonts w:ascii="Arial" w:cs="Arial" w:eastAsia="Arial" w:hAnsi="Arial"/>
          <w:sz w:val="21"/>
          <w:szCs w:val="21"/>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79" w:lineRule="exact"/>
        <w:rPr>
          <w:rFonts w:ascii="Arial" w:cs="Arial" w:eastAsia="Arial" w:hAnsi="Arial"/>
          <w:sz w:val="21"/>
          <w:szCs w:val="21"/>
          <w:color w:val="auto"/>
        </w:rPr>
      </w:pPr>
    </w:p>
    <w:p>
      <w:pPr>
        <w:jc w:val="both"/>
        <w:ind w:left="1740" w:hanging="873"/>
        <w:spacing w:after="0" w:line="264" w:lineRule="auto"/>
        <w:tabs>
          <w:tab w:leader="none" w:pos="174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Material Adverse Changes</w:t>
      </w:r>
      <w:r>
        <w:rPr>
          <w:rFonts w:ascii="Arial" w:cs="Arial" w:eastAsia="Arial" w:hAnsi="Arial"/>
          <w:sz w:val="19"/>
          <w:szCs w:val="19"/>
          <w:color w:val="auto"/>
        </w:rPr>
        <w:t>. Except as disclosed in the Prospectus and the Time of Sale Information, (a) in the judgment of the Agent there shall not have occurred any Material Adverse Change; and (b) there shall not have occurred any downgrading, nor shall any notice have been received by the Company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56" w:lineRule="exact"/>
        <w:rPr>
          <w:rFonts w:ascii="Arial" w:cs="Arial" w:eastAsia="Arial" w:hAnsi="Arial"/>
          <w:sz w:val="19"/>
          <w:szCs w:val="19"/>
          <w:color w:val="auto"/>
        </w:rPr>
      </w:pPr>
    </w:p>
    <w:p>
      <w:pPr>
        <w:jc w:val="both"/>
        <w:ind w:left="1740" w:hanging="873"/>
        <w:spacing w:after="0" w:line="264" w:lineRule="auto"/>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 Suspension of Trading in or Delisting of Common Shares; Other Events</w:t>
      </w:r>
      <w:r>
        <w:rPr>
          <w:rFonts w:ascii="Arial" w:cs="Arial" w:eastAsia="Arial" w:hAnsi="Arial"/>
          <w:sz w:val="19"/>
          <w:szCs w:val="19"/>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-3087370</wp:posOffset>
            </wp:positionV>
            <wp:extent cx="6800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680085" cy="825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23" w:name="page124"/>
    <w:bookmarkEnd w:id="123"/>
    <w:p>
      <w:pPr>
        <w:jc w:val="both"/>
        <w:ind w:left="1740"/>
        <w:spacing w:after="0" w:line="274" w:lineRule="auto"/>
        <w:rPr>
          <w:sz w:val="20"/>
          <w:szCs w:val="20"/>
          <w:color w:val="auto"/>
        </w:rPr>
      </w:pPr>
      <w:r>
        <w:rPr>
          <w:rFonts w:ascii="Arial" w:cs="Arial" w:eastAsia="Arial" w:hAnsi="Arial"/>
          <w:sz w:val="18"/>
          <w:szCs w:val="18"/>
          <w:color w:val="auto"/>
        </w:rPr>
        <w:t>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w:t>
      </w:r>
    </w:p>
    <w:p>
      <w:pPr>
        <w:spacing w:after="0" w:line="1" w:lineRule="exact"/>
        <w:rPr>
          <w:sz w:val="20"/>
          <w:szCs w:val="20"/>
          <w:color w:val="auto"/>
        </w:rPr>
      </w:pPr>
    </w:p>
    <w:p>
      <w:pPr>
        <w:jc w:val="both"/>
        <w:ind w:left="1740" w:hanging="9"/>
        <w:spacing w:after="0" w:line="232" w:lineRule="auto"/>
        <w:tabs>
          <w:tab w:leader="none" w:pos="2128"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0" w:lineRule="exact"/>
        <w:rPr>
          <w:rFonts w:ascii="Arial" w:cs="Arial" w:eastAsia="Arial" w:hAnsi="Arial"/>
          <w:sz w:val="21"/>
          <w:szCs w:val="21"/>
          <w:color w:val="auto"/>
        </w:rPr>
      </w:pPr>
    </w:p>
    <w:p>
      <w:pPr>
        <w:jc w:val="both"/>
        <w:ind w:firstLine="867"/>
        <w:spacing w:after="0" w:line="235" w:lineRule="auto"/>
        <w:tabs>
          <w:tab w:leader="none" w:pos="1724"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Documents Required to be Delivered on each Issuance Notice Date</w:t>
      </w:r>
      <w:r>
        <w:rPr>
          <w:rFonts w:ascii="Arial" w:cs="Arial" w:eastAsia="Arial" w:hAnsi="Arial"/>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9" w:lineRule="exact"/>
        <w:rPr>
          <w:rFonts w:ascii="Arial" w:cs="Arial" w:eastAsia="Arial" w:hAnsi="Arial"/>
          <w:sz w:val="21"/>
          <w:szCs w:val="21"/>
          <w:color w:val="auto"/>
        </w:rPr>
      </w:pPr>
    </w:p>
    <w:p>
      <w:pPr>
        <w:jc w:val="both"/>
        <w:ind w:firstLine="867"/>
        <w:spacing w:after="0" w:line="271" w:lineRule="auto"/>
        <w:tabs>
          <w:tab w:leader="none" w:pos="1712"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2" w:lineRule="exact"/>
        <w:rPr>
          <w:sz w:val="20"/>
          <w:szCs w:val="20"/>
          <w:color w:val="auto"/>
        </w:rPr>
      </w:pPr>
    </w:p>
    <w:p>
      <w:pPr>
        <w:spacing w:after="0"/>
        <w:tabs>
          <w:tab w:leader="none" w:pos="156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21"/>
          <w:szCs w:val="21"/>
          <w:b w:val="1"/>
          <w:bCs w:val="1"/>
          <w:color w:val="auto"/>
        </w:rPr>
        <w:t>INDEMNIFICATION AND CONTRIBUTION</w:t>
      </w:r>
    </w:p>
    <w:p>
      <w:pPr>
        <w:spacing w:after="0" w:line="203" w:lineRule="exact"/>
        <w:rPr>
          <w:sz w:val="20"/>
          <w:szCs w:val="20"/>
          <w:color w:val="auto"/>
        </w:rPr>
      </w:pPr>
    </w:p>
    <w:p>
      <w:pPr>
        <w:jc w:val="both"/>
        <w:ind w:firstLine="867"/>
        <w:spacing w:after="0" w:line="275" w:lineRule="auto"/>
        <w:tabs>
          <w:tab w:leader="none" w:pos="171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Indemnification of the Agent</w:t>
      </w:r>
      <w:r>
        <w:rPr>
          <w:rFonts w:ascii="Arial" w:cs="Arial" w:eastAsia="Arial" w:hAnsi="Arial"/>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4" w:name="page125"/>
    <w:bookmarkEnd w:id="124"/>
    <w:p>
      <w:pPr>
        <w:jc w:val="both"/>
        <w:spacing w:after="0" w:line="270" w:lineRule="auto"/>
        <w:rPr>
          <w:sz w:val="20"/>
          <w:szCs w:val="20"/>
          <w:color w:val="auto"/>
        </w:rPr>
      </w:pPr>
      <w:r>
        <w:rPr>
          <w:rFonts w:ascii="Arial" w:cs="Arial" w:eastAsia="Arial" w:hAnsi="Arial"/>
          <w:sz w:val="18"/>
          <w:szCs w:val="18"/>
          <w:color w:val="auto"/>
        </w:rPr>
        <w:t>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reasonable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“Jefferies and its affiliates may in the future provide various investment banking, commercial banking, financial advisory and other financial services .</w:t>
      </w:r>
    </w:p>
    <w:p>
      <w:pPr>
        <w:spacing w:after="0" w:line="8" w:lineRule="exact"/>
        <w:rPr>
          <w:sz w:val="20"/>
          <w:szCs w:val="20"/>
          <w:color w:val="auto"/>
        </w:rPr>
      </w:pPr>
    </w:p>
    <w:p>
      <w:pPr>
        <w:ind w:firstLine="3"/>
        <w:spacing w:after="0" w:line="237" w:lineRule="auto"/>
        <w:tabs>
          <w:tab w:leader="none" w:pos="116"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 .” (the “Agent Information”). The indemnity agreement set forth in this </w:t>
      </w:r>
      <w:r>
        <w:rPr>
          <w:rFonts w:ascii="Arial" w:cs="Arial" w:eastAsia="Arial" w:hAnsi="Arial"/>
          <w:sz w:val="21"/>
          <w:szCs w:val="21"/>
          <w:u w:val="single" w:color="auto"/>
          <w:color w:val="auto"/>
        </w:rPr>
        <w:t>Section 6(a)</w:t>
      </w:r>
      <w:r>
        <w:rPr>
          <w:rFonts w:ascii="Arial" w:cs="Arial" w:eastAsia="Arial" w:hAnsi="Arial"/>
          <w:sz w:val="21"/>
          <w:szCs w:val="21"/>
          <w:color w:val="auto"/>
        </w:rPr>
        <w:t xml:space="preserve"> shall be in addition to any liabilities that the Company may otherwise have.</w:t>
      </w:r>
    </w:p>
    <w:p>
      <w:pPr>
        <w:spacing w:after="0" w:line="175" w:lineRule="exact"/>
        <w:rPr>
          <w:rFonts w:ascii="Arial" w:cs="Arial" w:eastAsia="Arial" w:hAnsi="Arial"/>
          <w:sz w:val="21"/>
          <w:szCs w:val="21"/>
          <w:color w:val="auto"/>
        </w:rPr>
      </w:pPr>
    </w:p>
    <w:p>
      <w:pPr>
        <w:jc w:val="both"/>
        <w:ind w:firstLine="867"/>
        <w:spacing w:after="0" w:line="257" w:lineRule="auto"/>
        <w:tabs>
          <w:tab w:leader="none" w:pos="1724"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Indemnification of the Company and Company Officers and Directors</w:t>
      </w:r>
      <w:r>
        <w:rPr>
          <w:rFonts w:ascii="Arial" w:cs="Arial" w:eastAsia="Arial" w:hAnsi="Arial"/>
          <w:sz w:val="19"/>
          <w:szCs w:val="19"/>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Agent Information, and to reimburse the Company and each such director, officer and controlling person for any and all documented expenses (including the reasonable and documented fees and disbursements of counsel chosen by the Company) as such expenses are reasonably incurred 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5" w:name="page126"/>
    <w:bookmarkEnd w:id="125"/>
    <w:p>
      <w:pPr>
        <w:jc w:val="both"/>
        <w:spacing w:after="0" w:line="241" w:lineRule="auto"/>
        <w:rPr>
          <w:sz w:val="20"/>
          <w:szCs w:val="20"/>
          <w:color w:val="auto"/>
        </w:rPr>
      </w:pPr>
      <w:r>
        <w:rPr>
          <w:rFonts w:ascii="Arial" w:cs="Arial" w:eastAsia="Arial" w:hAnsi="Arial"/>
          <w:sz w:val="21"/>
          <w:szCs w:val="21"/>
          <w:color w:val="auto"/>
        </w:rPr>
        <w:t>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75" w:lineRule="exact"/>
        <w:rPr>
          <w:sz w:val="20"/>
          <w:szCs w:val="20"/>
          <w:color w:val="auto"/>
        </w:rPr>
      </w:pPr>
    </w:p>
    <w:p>
      <w:pPr>
        <w:jc w:val="both"/>
        <w:ind w:firstLine="867"/>
        <w:spacing w:after="0" w:line="256" w:lineRule="auto"/>
        <w:tabs>
          <w:tab w:leader="none" w:pos="171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Notifications and Other Indemnification Procedures</w:t>
      </w:r>
      <w:r>
        <w:rPr>
          <w:rFonts w:ascii="Arial" w:cs="Arial" w:eastAsia="Arial" w:hAnsi="Arial"/>
          <w:sz w:val="19"/>
          <w:szCs w:val="19"/>
          <w:color w:val="auto"/>
        </w:rPr>
        <w:t xml:space="preserve">. Promptly after receipt by an indemnified party under this Section 6 of notice of the commencement of any action, such indemnified party will, if a claim in respect thereof is to be made against an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Section 6(a) or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0" w:lineRule="exact"/>
        <w:rPr>
          <w:rFonts w:ascii="Arial" w:cs="Arial" w:eastAsia="Arial" w:hAnsi="Arial"/>
          <w:sz w:val="19"/>
          <w:szCs w:val="19"/>
          <w:color w:val="auto"/>
        </w:rPr>
      </w:pPr>
    </w:p>
    <w:p>
      <w:pPr>
        <w:jc w:val="both"/>
        <w:ind w:firstLine="867"/>
        <w:spacing w:after="0" w:line="253" w:lineRule="auto"/>
        <w:tabs>
          <w:tab w:leader="none" w:pos="172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Settlements</w:t>
      </w:r>
      <w:r>
        <w:rPr>
          <w:rFonts w:ascii="Arial" w:cs="Arial" w:eastAsia="Arial" w:hAnsi="Arial"/>
          <w:sz w:val="20"/>
          <w:szCs w:val="20"/>
          <w:color w:val="auto"/>
        </w:rPr>
        <w:t xml:space="preserve">. The indemnifying party under this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-4293870</wp:posOffset>
            </wp:positionV>
            <wp:extent cx="4908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490855" cy="825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-2083435</wp:posOffset>
            </wp:positionV>
            <wp:extent cx="507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507365" cy="8255"/>
                    </a:xfrm>
                    <a:prstGeom prst="rect">
                      <a:avLst/>
                    </a:prstGeom>
                    <a:noFill/>
                  </pic:spPr>
                </pic:pic>
              </a:graphicData>
            </a:graphic>
          </wp:anchor>
        </w:drawing>
        <w:drawing>
          <wp:anchor simplePos="0" relativeHeight="251657728" behindDoc="1" locked="0" layoutInCell="0" allowOverlap="1">
            <wp:simplePos x="0" y="0"/>
            <wp:positionH relativeFrom="column">
              <wp:posOffset>4683760</wp:posOffset>
            </wp:positionH>
            <wp:positionV relativeFrom="paragraph">
              <wp:posOffset>-1346835</wp:posOffset>
            </wp:positionV>
            <wp:extent cx="661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661035" cy="825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6" w:name="page127"/>
    <w:bookmarkEnd w:id="126"/>
    <w:p>
      <w:pPr>
        <w:jc w:val="both"/>
        <w:spacing w:after="0" w:line="276" w:lineRule="auto"/>
        <w:rPr>
          <w:sz w:val="20"/>
          <w:szCs w:val="20"/>
          <w:color w:val="auto"/>
        </w:rPr>
      </w:pPr>
      <w:r>
        <w:rPr>
          <w:rFonts w:ascii="Arial" w:cs="Arial" w:eastAsia="Arial" w:hAnsi="Arial"/>
          <w:sz w:val="18"/>
          <w:szCs w:val="18"/>
          <w:color w:val="auto"/>
        </w:rPr>
        <w:t xml:space="preserve">have requested an indemnifying party to reimburse the indemnified party for fees and expenses of counsel as contemplated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6(b)</w:t>
      </w:r>
      <w:r>
        <w:rPr>
          <w:rFonts w:ascii="Arial" w:cs="Arial" w:eastAsia="Arial" w:hAnsi="Arial"/>
          <w:sz w:val="18"/>
          <w:szCs w:val="18"/>
          <w:color w:val="auto"/>
        </w:rPr>
        <w:t xml:space="preserve"> hereof, the indemnifying party agrees that it shall be liable for any settlement of any proceeding effected without its written consent if (i) such settlement is entered into more than 60 days after receipt by such indemnifying party of the aforesaid request; and</w:t>
      </w:r>
    </w:p>
    <w:p>
      <w:pPr>
        <w:jc w:val="both"/>
        <w:ind w:firstLine="3"/>
        <w:spacing w:after="0" w:line="232" w:lineRule="auto"/>
        <w:tabs>
          <w:tab w:leader="none" w:pos="313" w:val="left"/>
        </w:tabs>
        <w:numPr>
          <w:ilvl w:val="0"/>
          <w:numId w:val="88"/>
        </w:numPr>
        <w:rPr>
          <w:rFonts w:ascii="Arial" w:cs="Arial" w:eastAsia="Arial" w:hAnsi="Arial"/>
          <w:sz w:val="21"/>
          <w:szCs w:val="21"/>
          <w:color w:val="auto"/>
        </w:rPr>
      </w:pPr>
      <w:r>
        <w:rPr>
          <w:rFonts w:ascii="Arial" w:cs="Arial" w:eastAsia="Arial" w:hAnsi="Arial"/>
          <w:sz w:val="21"/>
          <w:szCs w:val="21"/>
          <w:color w:val="auto"/>
        </w:rPr>
        <w:t>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0" w:lineRule="exact"/>
        <w:rPr>
          <w:rFonts w:ascii="Arial" w:cs="Arial" w:eastAsia="Arial" w:hAnsi="Arial"/>
          <w:sz w:val="21"/>
          <w:szCs w:val="21"/>
          <w:color w:val="auto"/>
        </w:rPr>
      </w:pPr>
    </w:p>
    <w:p>
      <w:pPr>
        <w:jc w:val="both"/>
        <w:ind w:firstLine="867"/>
        <w:spacing w:after="0" w:line="258" w:lineRule="auto"/>
        <w:tabs>
          <w:tab w:leader="none" w:pos="1712"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the indemnification provided for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6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with respect to notice of commencement of any action shall apply if a claim for contribution is to be made under this Section 6(e);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no additional notice shall be required with respect to any action for which notice has been given under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36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47" w:lineRule="exact"/>
        <w:rPr>
          <w:sz w:val="20"/>
          <w:szCs w:val="20"/>
          <w:color w:val="auto"/>
        </w:rPr>
      </w:pPr>
    </w:p>
    <w:p>
      <w:pPr>
        <w:ind w:right="260" w:firstLine="864"/>
        <w:spacing w:after="0" w:line="252" w:lineRule="auto"/>
        <w:rPr>
          <w:sz w:val="20"/>
          <w:szCs w:val="20"/>
          <w:color w:val="auto"/>
        </w:rPr>
      </w:pPr>
      <w:r>
        <w:rPr>
          <w:rFonts w:ascii="Arial" w:cs="Arial" w:eastAsia="Arial" w:hAnsi="Arial"/>
          <w:sz w:val="21"/>
          <w:szCs w:val="21"/>
          <w:color w:val="auto"/>
        </w:rPr>
        <w:t xml:space="preserve">The Company and the Agent agree that it would not be just and equitable if contribution pursuant to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were determined by pro rata allocation or by any other method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7" w:name="page128"/>
    <w:bookmarkEnd w:id="127"/>
    <w:p>
      <w:pPr>
        <w:spacing w:after="0"/>
        <w:rPr>
          <w:sz w:val="20"/>
          <w:szCs w:val="20"/>
          <w:color w:val="auto"/>
        </w:rPr>
      </w:pPr>
      <w:r>
        <w:rPr>
          <w:rFonts w:ascii="Arial" w:cs="Arial" w:eastAsia="Arial" w:hAnsi="Arial"/>
          <w:sz w:val="21"/>
          <w:szCs w:val="21"/>
          <w:color w:val="auto"/>
        </w:rPr>
        <w:t xml:space="preserve">allocation which does not take account of the equitable considerations referred to in this </w:t>
      </w:r>
      <w:r>
        <w:rPr>
          <w:rFonts w:ascii="Arial" w:cs="Arial" w:eastAsia="Arial" w:hAnsi="Arial"/>
          <w:sz w:val="21"/>
          <w:szCs w:val="21"/>
          <w:u w:val="single" w:color="auto"/>
          <w:color w:val="auto"/>
        </w:rPr>
        <w:t>Section 6(e)</w:t>
      </w:r>
      <w:r>
        <w:rPr>
          <w:rFonts w:ascii="Arial" w:cs="Arial" w:eastAsia="Arial" w:hAnsi="Arial"/>
          <w:sz w:val="21"/>
          <w:szCs w:val="21"/>
          <w:color w:val="auto"/>
        </w:rPr>
        <w:t>.</w:t>
      </w:r>
    </w:p>
    <w:p>
      <w:pPr>
        <w:spacing w:after="0" w:line="19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1"/>
          <w:szCs w:val="21"/>
          <w:color w:val="auto"/>
        </w:rPr>
        <w:t xml:space="preserve">Notwithstanding the provisions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73" w:lineRule="exact"/>
        <w:rPr>
          <w:sz w:val="20"/>
          <w:szCs w:val="20"/>
          <w:color w:val="auto"/>
        </w:rPr>
      </w:pPr>
    </w:p>
    <w:p>
      <w:pPr>
        <w:spacing w:after="0"/>
        <w:tabs>
          <w:tab w:leader="none" w:pos="154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21"/>
          <w:szCs w:val="21"/>
          <w:b w:val="1"/>
          <w:bCs w:val="1"/>
          <w:color w:val="auto"/>
        </w:rPr>
        <w:t>TERMINATION &amp; SURVIVAL</w:t>
      </w:r>
    </w:p>
    <w:p>
      <w:pPr>
        <w:spacing w:after="0" w:line="203" w:lineRule="exact"/>
        <w:rPr>
          <w:sz w:val="20"/>
          <w:szCs w:val="20"/>
          <w:color w:val="auto"/>
        </w:rPr>
      </w:pPr>
    </w:p>
    <w:p>
      <w:pPr>
        <w:ind w:firstLine="867"/>
        <w:spacing w:after="0" w:line="304" w:lineRule="auto"/>
        <w:tabs>
          <w:tab w:leader="none" w:pos="171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9"/>
          <w:szCs w:val="19"/>
          <w:u w:val="single" w:color="auto"/>
          <w:color w:val="auto"/>
        </w:rPr>
        <w:t>Section 7</w:t>
      </w:r>
      <w:r>
        <w:rPr>
          <w:rFonts w:ascii="Arial" w:cs="Arial" w:eastAsia="Arial" w:hAnsi="Arial"/>
          <w:sz w:val="19"/>
          <w:szCs w:val="19"/>
          <w:color w:val="auto"/>
        </w:rPr>
        <w:t>.</w:t>
      </w:r>
    </w:p>
    <w:p>
      <w:pPr>
        <w:spacing w:after="0" w:line="116" w:lineRule="exact"/>
        <w:rPr>
          <w:rFonts w:ascii="Arial" w:cs="Arial" w:eastAsia="Arial" w:hAnsi="Arial"/>
          <w:sz w:val="19"/>
          <w:szCs w:val="19"/>
          <w:color w:val="auto"/>
        </w:rPr>
      </w:pPr>
    </w:p>
    <w:p>
      <w:pPr>
        <w:ind w:left="1720" w:hanging="853"/>
        <w:spacing w:after="0"/>
        <w:tabs>
          <w:tab w:leader="none" w:pos="172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Termination; Survival Following Termination</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left="1720" w:hanging="428"/>
        <w:spacing w:after="0" w:line="235" w:lineRule="auto"/>
        <w:tabs>
          <w:tab w:leader="none" w:pos="1720" w:val="left"/>
        </w:tabs>
        <w:numPr>
          <w:ilvl w:val="1"/>
          <w:numId w:val="89"/>
        </w:numPr>
        <w:rPr>
          <w:rFonts w:ascii="Arial" w:cs="Arial" w:eastAsia="Arial" w:hAnsi="Arial"/>
          <w:sz w:val="21"/>
          <w:szCs w:val="21"/>
          <w:color w:val="auto"/>
        </w:rPr>
      </w:pPr>
      <w:r>
        <w:rPr>
          <w:rFonts w:ascii="Arial" w:cs="Arial" w:eastAsia="Arial" w:hAnsi="Arial"/>
          <w:sz w:val="21"/>
          <w:szCs w:val="21"/>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21"/>
          <w:szCs w:val="21"/>
          <w:u w:val="single" w:color="auto"/>
          <w:color w:val="auto"/>
        </w:rPr>
        <w:t>Section 3(b)(v)</w:t>
      </w:r>
      <w:r>
        <w:rPr>
          <w:rFonts w:ascii="Arial" w:cs="Arial" w:eastAsia="Arial" w:hAnsi="Arial"/>
          <w:sz w:val="21"/>
          <w:szCs w:val="21"/>
          <w:color w:val="auto"/>
        </w:rPr>
        <w:t xml:space="preserve"> with respect to such Shares and (B)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w:t>
      </w:r>
      <w:r>
        <w:rPr>
          <w:rFonts w:ascii="Arial" w:cs="Arial" w:eastAsia="Arial" w:hAnsi="Arial"/>
          <w:sz w:val="21"/>
          <w:szCs w:val="21"/>
          <w:color w:val="auto"/>
        </w:rPr>
        <w:t>, Section 7 and Section 8 shall survive termination of this Agreement. If termination shall occur prior to the Settlement Date for any sale of Shares, such sale shall nevertheless settle in accordance with the terms of this Agreement.</w:t>
      </w:r>
    </w:p>
    <w:p>
      <w:pPr>
        <w:spacing w:after="0" w:line="175" w:lineRule="exact"/>
        <w:rPr>
          <w:rFonts w:ascii="Arial" w:cs="Arial" w:eastAsia="Arial" w:hAnsi="Arial"/>
          <w:sz w:val="21"/>
          <w:szCs w:val="21"/>
          <w:color w:val="auto"/>
        </w:rPr>
      </w:pPr>
    </w:p>
    <w:p>
      <w:pPr>
        <w:jc w:val="both"/>
        <w:ind w:left="1740" w:hanging="374"/>
        <w:spacing w:after="0" w:line="249" w:lineRule="auto"/>
        <w:tabs>
          <w:tab w:leader="none" w:pos="1706" w:val="left"/>
        </w:tabs>
        <w:numPr>
          <w:ilvl w:val="2"/>
          <w:numId w:val="89"/>
        </w:numPr>
        <w:rPr>
          <w:rFonts w:ascii="Arial" w:cs="Arial" w:eastAsia="Arial" w:hAnsi="Arial"/>
          <w:sz w:val="20"/>
          <w:szCs w:val="20"/>
          <w:color w:val="auto"/>
        </w:rPr>
      </w:pPr>
      <w:r>
        <w:rPr>
          <w:rFonts w:ascii="Arial" w:cs="Arial" w:eastAsia="Arial" w:hAnsi="Arial"/>
          <w:sz w:val="20"/>
          <w:szCs w:val="20"/>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-1344930</wp:posOffset>
            </wp:positionV>
            <wp:extent cx="13347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13347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-772160</wp:posOffset>
            </wp:positionV>
            <wp:extent cx="7835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41" w:lineRule="exact"/>
        <w:rPr>
          <w:sz w:val="20"/>
          <w:szCs w:val="20"/>
          <w:color w:val="auto"/>
        </w:rPr>
      </w:pPr>
    </w:p>
    <w:p>
      <w:pPr>
        <w:spacing w:after="0"/>
        <w:tabs>
          <w:tab w:leader="none" w:pos="156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20"/>
          <w:szCs w:val="20"/>
          <w:b w:val="1"/>
          <w:bCs w:val="1"/>
          <w:color w:val="auto"/>
        </w:rPr>
        <w:t>MISCELLANEOUS</w:t>
      </w:r>
    </w:p>
    <w:p>
      <w:pPr>
        <w:spacing w:after="0" w:line="203" w:lineRule="exact"/>
        <w:rPr>
          <w:sz w:val="20"/>
          <w:szCs w:val="20"/>
          <w:color w:val="auto"/>
        </w:rPr>
      </w:pPr>
    </w:p>
    <w:p>
      <w:pPr>
        <w:jc w:val="both"/>
        <w:ind w:firstLine="867"/>
        <w:spacing w:after="0" w:line="240" w:lineRule="exact"/>
        <w:tabs>
          <w:tab w:leader="none" w:pos="1712"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Press Releases and Disclosure</w:t>
      </w:r>
      <w:r>
        <w:rPr>
          <w:rFonts w:ascii="Arial" w:cs="Arial" w:eastAsia="Arial" w:hAnsi="Arial"/>
          <w:sz w:val="20"/>
          <w:szCs w:val="20"/>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20"/>
          <w:szCs w:val="20"/>
          <w:color w:val="auto"/>
        </w:rPr>
        <w:t>‑</w:t>
      </w:r>
      <w:r>
        <w:rPr>
          <w:rFonts w:ascii="Arial" w:cs="Arial" w:eastAsia="Arial" w:hAnsi="Arial"/>
          <w:sz w:val="20"/>
          <w:szCs w:val="20"/>
          <w:color w:val="auto"/>
        </w:rPr>
        <w:t>K, with this Agreement attached as an exhibit thereto, describing the material terms of the transactions contemplated hereby, and the Company shall consult with the Agent prior to making such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8" w:name="page129"/>
    <w:bookmarkEnd w:id="128"/>
    <w:p>
      <w:pPr>
        <w:jc w:val="both"/>
        <w:spacing w:after="0" w:line="262" w:lineRule="auto"/>
        <w:rPr>
          <w:sz w:val="20"/>
          <w:szCs w:val="20"/>
          <w:color w:val="auto"/>
        </w:rPr>
      </w:pPr>
      <w:r>
        <w:rPr>
          <w:rFonts w:ascii="Arial" w:cs="Arial" w:eastAsia="Arial" w:hAnsi="Arial"/>
          <w:sz w:val="19"/>
          <w:szCs w:val="19"/>
          <w:color w:val="auto"/>
        </w:rPr>
        <w:t>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55" w:lineRule="exact"/>
        <w:rPr>
          <w:sz w:val="20"/>
          <w:szCs w:val="20"/>
          <w:color w:val="auto"/>
        </w:rPr>
      </w:pPr>
    </w:p>
    <w:p>
      <w:pPr>
        <w:jc w:val="both"/>
        <w:ind w:firstLine="867"/>
        <w:spacing w:after="0" w:line="259" w:lineRule="auto"/>
        <w:tabs>
          <w:tab w:leader="none" w:pos="172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5" w:lineRule="exact"/>
        <w:rPr>
          <w:rFonts w:ascii="Arial" w:cs="Arial" w:eastAsia="Arial" w:hAnsi="Arial"/>
          <w:sz w:val="19"/>
          <w:szCs w:val="19"/>
          <w:color w:val="auto"/>
        </w:rPr>
      </w:pPr>
    </w:p>
    <w:p>
      <w:pPr>
        <w:jc w:val="both"/>
        <w:ind w:firstLine="867"/>
        <w:spacing w:after="0" w:line="234" w:lineRule="auto"/>
        <w:tabs>
          <w:tab w:leader="none" w:pos="1712"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9" w:lineRule="exact"/>
        <w:rPr>
          <w:rFonts w:ascii="Arial" w:cs="Arial" w:eastAsia="Arial" w:hAnsi="Arial"/>
          <w:sz w:val="21"/>
          <w:szCs w:val="21"/>
          <w:color w:val="auto"/>
        </w:rPr>
      </w:pPr>
    </w:p>
    <w:p>
      <w:pPr>
        <w:ind w:firstLine="867"/>
        <w:spacing w:after="0" w:line="252" w:lineRule="auto"/>
        <w:tabs>
          <w:tab w:leader="none" w:pos="1724"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hereunder shall be in writing and shall be mailed, hand delivered or telecopied and confirmed to the parties hereto as follows: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If to the Agent: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Jefferies LLC</w:t>
      </w:r>
    </w:p>
    <w:p>
      <w:pPr>
        <w:ind w:left="1300"/>
        <w:spacing w:after="0"/>
        <w:rPr>
          <w:sz w:val="20"/>
          <w:szCs w:val="20"/>
          <w:color w:val="auto"/>
        </w:rPr>
      </w:pPr>
      <w:r>
        <w:rPr>
          <w:rFonts w:ascii="Arial" w:cs="Arial" w:eastAsia="Arial" w:hAnsi="Arial"/>
          <w:sz w:val="21"/>
          <w:szCs w:val="21"/>
          <w:color w:val="auto"/>
        </w:rPr>
        <w:t>520 Madison Avenue</w:t>
      </w:r>
    </w:p>
    <w:p>
      <w:pPr>
        <w:ind w:left="1300"/>
        <w:spacing w:after="0" w:line="230" w:lineRule="auto"/>
        <w:rPr>
          <w:sz w:val="20"/>
          <w:szCs w:val="20"/>
          <w:color w:val="auto"/>
        </w:rPr>
      </w:pPr>
      <w:r>
        <w:rPr>
          <w:rFonts w:ascii="Arial" w:cs="Arial" w:eastAsia="Arial" w:hAnsi="Arial"/>
          <w:sz w:val="21"/>
          <w:szCs w:val="21"/>
          <w:color w:val="auto"/>
        </w:rPr>
        <w:t>New York, NY 10022</w:t>
      </w:r>
    </w:p>
    <w:p>
      <w:pPr>
        <w:ind w:left="1300"/>
        <w:spacing w:after="0" w:line="231" w:lineRule="auto"/>
        <w:rPr>
          <w:sz w:val="20"/>
          <w:szCs w:val="20"/>
          <w:color w:val="auto"/>
        </w:rPr>
      </w:pPr>
      <w:r>
        <w:rPr>
          <w:rFonts w:ascii="Arial" w:cs="Arial" w:eastAsia="Arial" w:hAnsi="Arial"/>
          <w:sz w:val="21"/>
          <w:szCs w:val="21"/>
          <w:color w:val="auto"/>
        </w:rPr>
        <w:t>Facsimile:</w:t>
      </w:r>
    </w:p>
    <w:p>
      <w:pPr>
        <w:ind w:left="1300"/>
        <w:spacing w:after="0"/>
        <w:rPr>
          <w:sz w:val="20"/>
          <w:szCs w:val="20"/>
          <w:color w:val="auto"/>
        </w:rPr>
      </w:pPr>
      <w:r>
        <w:rPr>
          <w:rFonts w:ascii="Arial" w:cs="Arial" w:eastAsia="Arial" w:hAnsi="Arial"/>
          <w:sz w:val="21"/>
          <w:szCs w:val="21"/>
          <w:color w:val="auto"/>
        </w:rPr>
        <w:t>Attention: General Counsel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9" w:name="page130"/>
    <w:bookmarkEnd w:id="129"/>
    <w:p>
      <w:pPr>
        <w:ind w:left="540"/>
        <w:spacing w:after="0"/>
        <w:rPr>
          <w:sz w:val="20"/>
          <w:szCs w:val="20"/>
          <w:color w:val="auto"/>
        </w:rPr>
      </w:pPr>
      <w:r>
        <w:rPr>
          <w:rFonts w:ascii="Arial" w:cs="Arial" w:eastAsia="Arial" w:hAnsi="Arial"/>
          <w:sz w:val="21"/>
          <w:szCs w:val="21"/>
          <w:color w:val="auto"/>
        </w:rPr>
        <w:t>with a copy (which shall not constitute notice) to:</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WilmerHale</w:t>
      </w:r>
    </w:p>
    <w:p>
      <w:pPr>
        <w:ind w:left="1300"/>
        <w:spacing w:after="0"/>
        <w:rPr>
          <w:sz w:val="20"/>
          <w:szCs w:val="20"/>
          <w:color w:val="auto"/>
        </w:rPr>
      </w:pPr>
      <w:r>
        <w:rPr>
          <w:rFonts w:ascii="Arial" w:cs="Arial" w:eastAsia="Arial" w:hAnsi="Arial"/>
          <w:sz w:val="21"/>
          <w:szCs w:val="21"/>
          <w:color w:val="auto"/>
        </w:rPr>
        <w:t>7 World Trade Center</w:t>
      </w:r>
    </w:p>
    <w:p>
      <w:pPr>
        <w:ind w:left="1300"/>
        <w:spacing w:after="0" w:line="230" w:lineRule="auto"/>
        <w:rPr>
          <w:sz w:val="20"/>
          <w:szCs w:val="20"/>
          <w:color w:val="auto"/>
        </w:rPr>
      </w:pPr>
      <w:r>
        <w:rPr>
          <w:rFonts w:ascii="Arial" w:cs="Arial" w:eastAsia="Arial" w:hAnsi="Arial"/>
          <w:sz w:val="21"/>
          <w:szCs w:val="21"/>
          <w:color w:val="auto"/>
        </w:rPr>
        <w:t>250 Greenwich Street</w:t>
      </w:r>
    </w:p>
    <w:p>
      <w:pPr>
        <w:ind w:left="1300"/>
        <w:spacing w:after="0" w:line="231" w:lineRule="auto"/>
        <w:rPr>
          <w:sz w:val="20"/>
          <w:szCs w:val="20"/>
          <w:color w:val="auto"/>
        </w:rPr>
      </w:pPr>
      <w:r>
        <w:rPr>
          <w:rFonts w:ascii="Arial" w:cs="Arial" w:eastAsia="Arial" w:hAnsi="Arial"/>
          <w:sz w:val="21"/>
          <w:szCs w:val="21"/>
          <w:color w:val="auto"/>
        </w:rPr>
        <w:t>New York, NY 10007</w:t>
      </w:r>
    </w:p>
    <w:p>
      <w:pPr>
        <w:ind w:left="1300"/>
        <w:spacing w:after="0" w:line="230" w:lineRule="auto"/>
        <w:rPr>
          <w:sz w:val="20"/>
          <w:szCs w:val="20"/>
          <w:color w:val="auto"/>
        </w:rPr>
      </w:pPr>
      <w:r>
        <w:rPr>
          <w:rFonts w:ascii="Arial" w:cs="Arial" w:eastAsia="Arial" w:hAnsi="Arial"/>
          <w:sz w:val="21"/>
          <w:szCs w:val="21"/>
          <w:color w:val="auto"/>
        </w:rPr>
        <w:t>Attention: Lisa Firenze, Esq.</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lisa.firenze@wilmerhale.com</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If to the Company:</w:t>
      </w:r>
    </w:p>
    <w:p>
      <w:pPr>
        <w:ind w:left="1300"/>
        <w:spacing w:after="0"/>
        <w:rPr>
          <w:sz w:val="20"/>
          <w:szCs w:val="20"/>
          <w:color w:val="auto"/>
        </w:rPr>
      </w:pPr>
      <w:r>
        <w:rPr>
          <w:rFonts w:ascii="Arial" w:cs="Arial" w:eastAsia="Arial" w:hAnsi="Arial"/>
          <w:sz w:val="21"/>
          <w:szCs w:val="21"/>
          <w:color w:val="auto"/>
        </w:rPr>
        <w:t>Eledon Pharmaceuticals, Inc.</w:t>
      </w:r>
    </w:p>
    <w:p>
      <w:pPr>
        <w:ind w:left="1300"/>
        <w:spacing w:after="0" w:line="230" w:lineRule="auto"/>
        <w:rPr>
          <w:sz w:val="20"/>
          <w:szCs w:val="20"/>
          <w:color w:val="auto"/>
        </w:rPr>
      </w:pPr>
      <w:r>
        <w:rPr>
          <w:rFonts w:ascii="Arial" w:cs="Arial" w:eastAsia="Arial" w:hAnsi="Arial"/>
          <w:sz w:val="21"/>
          <w:szCs w:val="21"/>
          <w:color w:val="auto"/>
        </w:rPr>
        <w:t>19900 MacArthur Blvd., Suite 550</w:t>
      </w:r>
    </w:p>
    <w:p>
      <w:pPr>
        <w:ind w:left="1300"/>
        <w:spacing w:after="0" w:line="231" w:lineRule="auto"/>
        <w:rPr>
          <w:sz w:val="20"/>
          <w:szCs w:val="20"/>
          <w:color w:val="auto"/>
        </w:rPr>
      </w:pPr>
      <w:r>
        <w:rPr>
          <w:rFonts w:ascii="Arial" w:cs="Arial" w:eastAsia="Arial" w:hAnsi="Arial"/>
          <w:sz w:val="21"/>
          <w:szCs w:val="21"/>
          <w:color w:val="auto"/>
        </w:rPr>
        <w:t>Irvine, California 92612</w:t>
      </w:r>
    </w:p>
    <w:p>
      <w:pPr>
        <w:ind w:left="1300"/>
        <w:spacing w:after="0" w:line="230" w:lineRule="auto"/>
        <w:rPr>
          <w:sz w:val="20"/>
          <w:szCs w:val="20"/>
          <w:color w:val="auto"/>
        </w:rPr>
      </w:pPr>
      <w:r>
        <w:rPr>
          <w:rFonts w:ascii="Arial" w:cs="Arial" w:eastAsia="Arial" w:hAnsi="Arial"/>
          <w:sz w:val="21"/>
          <w:szCs w:val="21"/>
          <w:color w:val="auto"/>
        </w:rPr>
        <w:t>Attention: Paul Little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plittle@eledon.com</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with a copy (which shall not constitute notice) to:</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Gibson, Dunn &amp; Crutcher, LLP</w:t>
      </w:r>
    </w:p>
    <w:p>
      <w:pPr>
        <w:ind w:left="1300"/>
        <w:spacing w:after="0"/>
        <w:rPr>
          <w:sz w:val="20"/>
          <w:szCs w:val="20"/>
          <w:color w:val="auto"/>
        </w:rPr>
      </w:pPr>
      <w:r>
        <w:rPr>
          <w:rFonts w:ascii="Arial" w:cs="Arial" w:eastAsia="Arial" w:hAnsi="Arial"/>
          <w:sz w:val="21"/>
          <w:szCs w:val="21"/>
          <w:color w:val="auto"/>
        </w:rPr>
        <w:t>555 Mission Street, Suite 3000</w:t>
      </w:r>
    </w:p>
    <w:p>
      <w:pPr>
        <w:ind w:left="1300"/>
        <w:spacing w:after="0"/>
        <w:rPr>
          <w:sz w:val="20"/>
          <w:szCs w:val="20"/>
          <w:color w:val="auto"/>
        </w:rPr>
      </w:pPr>
      <w:r>
        <w:rPr>
          <w:rFonts w:ascii="Arial" w:cs="Arial" w:eastAsia="Arial" w:hAnsi="Arial"/>
          <w:sz w:val="21"/>
          <w:szCs w:val="21"/>
          <w:color w:val="auto"/>
        </w:rPr>
        <w:t>San Francisco, CA 94105</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Ryan A. Murr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rmurr@gibsondunn.com</w:t>
      </w:r>
    </w:p>
    <w:p>
      <w:pPr>
        <w:spacing w:after="0" w:line="179"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Any party hereto may change the address for receipt of communications by giving written notice to the others in accordance with this Section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643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43" w:lineRule="exact"/>
        <w:rPr>
          <w:sz w:val="20"/>
          <w:szCs w:val="20"/>
          <w:color w:val="auto"/>
        </w:rPr>
      </w:pPr>
    </w:p>
    <w:p>
      <w:pPr>
        <w:jc w:val="both"/>
        <w:ind w:firstLine="867"/>
        <w:spacing w:after="0" w:line="238" w:lineRule="auto"/>
        <w:tabs>
          <w:tab w:leader="none" w:pos="1712"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76" w:lineRule="exact"/>
        <w:rPr>
          <w:rFonts w:ascii="Arial" w:cs="Arial" w:eastAsia="Arial" w:hAnsi="Arial"/>
          <w:sz w:val="21"/>
          <w:szCs w:val="21"/>
          <w:color w:val="auto"/>
        </w:rPr>
      </w:pPr>
    </w:p>
    <w:p>
      <w:pPr>
        <w:jc w:val="both"/>
        <w:ind w:firstLine="867"/>
        <w:spacing w:after="0" w:line="271" w:lineRule="auto"/>
        <w:tabs>
          <w:tab w:leader="none" w:pos="1689"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Partial Unenforceability</w:t>
      </w:r>
      <w:r>
        <w:rPr>
          <w:rFonts w:ascii="Arial" w:cs="Arial" w:eastAsia="Arial" w:hAnsi="Arial"/>
          <w:sz w:val="19"/>
          <w:szCs w:val="19"/>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7" w:lineRule="exact"/>
        <w:rPr>
          <w:rFonts w:ascii="Arial" w:cs="Arial" w:eastAsia="Arial" w:hAnsi="Arial"/>
          <w:sz w:val="19"/>
          <w:szCs w:val="19"/>
          <w:color w:val="auto"/>
        </w:rPr>
      </w:pPr>
    </w:p>
    <w:p>
      <w:pPr>
        <w:ind w:firstLine="867"/>
        <w:spacing w:after="0" w:line="252" w:lineRule="auto"/>
        <w:tabs>
          <w:tab w:leader="none" w:pos="172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Governing Law Provisions</w:t>
      </w:r>
      <w:r>
        <w:rPr>
          <w:rFonts w:ascii="Arial" w:cs="Arial" w:eastAsia="Arial" w:hAnsi="Arial"/>
          <w:sz w:val="21"/>
          <w:szCs w:val="21"/>
          <w:color w:val="auto"/>
        </w:rPr>
        <w:t>. This Agreement shall be governed by and construed in accordance with the internal laws of the State of New York applicable to agreements made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30" w:name="page131"/>
    <w:bookmarkEnd w:id="130"/>
    <w:p>
      <w:pPr>
        <w:jc w:val="both"/>
        <w:spacing w:after="0" w:line="276" w:lineRule="auto"/>
        <w:rPr>
          <w:sz w:val="20"/>
          <w:szCs w:val="20"/>
          <w:color w:val="auto"/>
        </w:rPr>
      </w:pPr>
      <w:r>
        <w:rPr>
          <w:rFonts w:ascii="Arial" w:cs="Arial" w:eastAsia="Arial" w:hAnsi="Arial"/>
          <w:sz w:val="18"/>
          <w:szCs w:val="18"/>
          <w:color w:val="auto"/>
        </w:rPr>
        <w:t>to be performed in such state. Any legal suit, action or proceeding arising out of or based upon this Agreement or the transactions contemplated hereby (“</w:t>
      </w:r>
      <w:r>
        <w:rPr>
          <w:rFonts w:ascii="Arial" w:cs="Arial" w:eastAsia="Arial" w:hAnsi="Arial"/>
          <w:sz w:val="18"/>
          <w:szCs w:val="18"/>
          <w:b w:val="1"/>
          <w:bCs w:val="1"/>
          <w:color w:val="auto"/>
        </w:rPr>
        <w:t>Related Proceedings</w:t>
      </w:r>
      <w:r>
        <w:rPr>
          <w:rFonts w:ascii="Arial" w:cs="Arial" w:eastAsia="Arial" w:hAnsi="Arial"/>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8"/>
          <w:szCs w:val="18"/>
          <w:b w:val="1"/>
          <w:bCs w:val="1"/>
          <w:color w:val="auto"/>
        </w:rPr>
        <w:t>Specified Courts</w:t>
      </w:r>
      <w:r>
        <w:rPr>
          <w:rFonts w:ascii="Arial" w:cs="Arial" w:eastAsia="Arial" w:hAnsi="Arial"/>
          <w:sz w:val="18"/>
          <w:szCs w:val="18"/>
          <w:color w:val="auto"/>
        </w:rPr>
        <w:t>”), and each party irrevocably submits to the exclusive jurisdiction (except for proceedings instituted in regard to the enforcement of a judgment of any such court (a “</w:t>
      </w:r>
      <w:r>
        <w:rPr>
          <w:rFonts w:ascii="Arial" w:cs="Arial" w:eastAsia="Arial" w:hAnsi="Arial"/>
          <w:sz w:val="18"/>
          <w:szCs w:val="18"/>
          <w:b w:val="1"/>
          <w:bCs w:val="1"/>
          <w:color w:val="auto"/>
        </w:rPr>
        <w:t>Related Judgment</w:t>
      </w:r>
      <w:r>
        <w:rPr>
          <w:rFonts w:ascii="Arial" w:cs="Arial" w:eastAsia="Arial" w:hAnsi="Arial"/>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46" w:lineRule="exact"/>
        <w:rPr>
          <w:sz w:val="20"/>
          <w:szCs w:val="20"/>
          <w:color w:val="auto"/>
        </w:rPr>
      </w:pPr>
    </w:p>
    <w:p>
      <w:pPr>
        <w:jc w:val="both"/>
        <w:ind w:firstLine="867"/>
        <w:spacing w:after="0" w:line="247" w:lineRule="auto"/>
        <w:tabs>
          <w:tab w:leader="none" w:pos="172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Immediately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1" w:name="page132"/>
    <w:bookmarkEnd w:id="131"/>
    <w:p>
      <w:pPr>
        <w:jc w:val="both"/>
        <w:ind w:firstLine="864"/>
        <w:spacing w:after="0" w:line="241" w:lineRule="auto"/>
        <w:rPr>
          <w:sz w:val="20"/>
          <w:szCs w:val="20"/>
          <w:color w:val="auto"/>
        </w:rPr>
      </w:pPr>
      <w:r>
        <w:rPr>
          <w:rFonts w:ascii="Arial" w:cs="Arial" w:eastAsia="Arial" w:hAnsi="Arial"/>
          <w:sz w:val="21"/>
          <w:szCs w:val="21"/>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81"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Very truly yours,</w:t>
      </w:r>
    </w:p>
    <w:p>
      <w:pPr>
        <w:spacing w:after="0" w:line="191" w:lineRule="exact"/>
        <w:rPr>
          <w:sz w:val="20"/>
          <w:szCs w:val="20"/>
          <w:color w:val="auto"/>
        </w:rPr>
      </w:pPr>
    </w:p>
    <w:p>
      <w:pPr>
        <w:ind w:left="6060"/>
        <w:spacing w:after="0"/>
        <w:rPr>
          <w:sz w:val="20"/>
          <w:szCs w:val="20"/>
          <w:color w:val="auto"/>
        </w:rPr>
      </w:pPr>
      <w:r>
        <w:rPr>
          <w:rFonts w:ascii="Arial" w:cs="Arial" w:eastAsia="Arial" w:hAnsi="Arial"/>
          <w:sz w:val="21"/>
          <w:szCs w:val="21"/>
          <w:b w:val="1"/>
          <w:bCs w:val="1"/>
          <w:color w:val="auto"/>
        </w:rPr>
        <w:t>ELEDON PHARMACEUTICALS, INC.</w:t>
      </w:r>
    </w:p>
    <w:p>
      <w:pPr>
        <w:spacing w:after="0" w:line="203"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By:</w:t>
      </w:r>
    </w:p>
    <w:p>
      <w:pPr>
        <w:ind w:left="10760"/>
        <w:spacing w:after="0"/>
        <w:rPr>
          <w:sz w:val="20"/>
          <w:szCs w:val="20"/>
          <w:color w:val="auto"/>
        </w:rPr>
      </w:pPr>
      <w:r>
        <w:rPr>
          <w:rFonts w:ascii="Arial" w:cs="Arial" w:eastAsia="Arial" w:hAnsi="Arial"/>
          <w:sz w:val="21"/>
          <w:szCs w:val="21"/>
          <w:u w:val="single" w:color="auto"/>
          <w:color w:val="auto"/>
        </w:rPr>
        <w:t>/s/</w:t>
      </w:r>
    </w:p>
    <w:p>
      <w:pPr>
        <w:ind w:left="6060"/>
        <w:spacing w:after="0" w:line="230" w:lineRule="auto"/>
        <w:rPr>
          <w:sz w:val="20"/>
          <w:szCs w:val="20"/>
          <w:color w:val="auto"/>
        </w:rPr>
      </w:pPr>
      <w:r>
        <w:rPr>
          <w:rFonts w:ascii="Arial" w:cs="Arial" w:eastAsia="Arial" w:hAnsi="Arial"/>
          <w:sz w:val="21"/>
          <w:szCs w:val="21"/>
          <w:u w:val="single" w:color="auto"/>
          <w:color w:val="auto"/>
        </w:rPr>
        <w:t>David-Alexandre C. Gros,</w:t>
      </w:r>
    </w:p>
    <w:p>
      <w:pPr>
        <w:ind w:left="6060"/>
        <w:spacing w:after="0" w:line="231" w:lineRule="auto"/>
        <w:rPr>
          <w:sz w:val="20"/>
          <w:szCs w:val="20"/>
          <w:color w:val="auto"/>
        </w:rPr>
      </w:pPr>
      <w:r>
        <w:rPr>
          <w:rFonts w:ascii="Arial" w:cs="Arial" w:eastAsia="Arial" w:hAnsi="Arial"/>
          <w:sz w:val="21"/>
          <w:szCs w:val="21"/>
          <w:u w:val="single" w:color="auto"/>
          <w:color w:val="auto"/>
        </w:rPr>
        <w:t>M.D.</w:t>
      </w:r>
    </w:p>
    <w:p>
      <w:pPr>
        <w:ind w:left="9100"/>
        <w:spacing w:after="0"/>
        <w:rPr>
          <w:sz w:val="20"/>
          <w:szCs w:val="20"/>
          <w:color w:val="auto"/>
        </w:rPr>
      </w:pPr>
      <w:r>
        <w:rPr>
          <w:rFonts w:ascii="Arial" w:cs="Arial" w:eastAsia="Arial" w:hAnsi="Arial"/>
          <w:sz w:val="20"/>
          <w:szCs w:val="20"/>
          <w:color w:val="auto"/>
        </w:rPr>
        <w:t>Name: David-Alexandre</w:t>
      </w:r>
    </w:p>
    <w:p>
      <w:pPr>
        <w:ind w:left="6060"/>
        <w:spacing w:after="0" w:line="232" w:lineRule="auto"/>
        <w:rPr>
          <w:sz w:val="20"/>
          <w:szCs w:val="20"/>
          <w:color w:val="auto"/>
        </w:rPr>
      </w:pPr>
      <w:r>
        <w:rPr>
          <w:rFonts w:ascii="Arial" w:cs="Arial" w:eastAsia="Arial" w:hAnsi="Arial"/>
          <w:sz w:val="21"/>
          <w:szCs w:val="21"/>
          <w:color w:val="auto"/>
        </w:rPr>
        <w:t>C. Gros, M.D.</w:t>
      </w:r>
    </w:p>
    <w:p>
      <w:pPr>
        <w:ind w:left="9100"/>
        <w:spacing w:after="0" w:line="231" w:lineRule="auto"/>
        <w:rPr>
          <w:sz w:val="20"/>
          <w:szCs w:val="20"/>
          <w:color w:val="auto"/>
        </w:rPr>
      </w:pPr>
      <w:r>
        <w:rPr>
          <w:rFonts w:ascii="Arial" w:cs="Arial" w:eastAsia="Arial" w:hAnsi="Arial"/>
          <w:sz w:val="21"/>
          <w:szCs w:val="21"/>
          <w:color w:val="auto"/>
        </w:rPr>
        <w:t>Title: Chief Executive</w:t>
      </w:r>
    </w:p>
    <w:p>
      <w:pPr>
        <w:ind w:left="6060"/>
        <w:spacing w:after="0"/>
        <w:rPr>
          <w:sz w:val="20"/>
          <w:szCs w:val="20"/>
          <w:color w:val="auto"/>
        </w:rPr>
      </w:pPr>
      <w:r>
        <w:rPr>
          <w:rFonts w:ascii="Arial" w:cs="Arial" w:eastAsia="Arial" w:hAnsi="Arial"/>
          <w:sz w:val="21"/>
          <w:szCs w:val="2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foregoing Agreement is hereby confirmed and accepted by the Agent in New York, New York as of the date first above</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written.</w:t>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JEFFERIES LLC</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Magarro</w:t>
      </w:r>
    </w:p>
    <w:p>
      <w:pPr>
        <w:ind w:left="660"/>
        <w:spacing w:after="0"/>
        <w:rPr>
          <w:sz w:val="20"/>
          <w:szCs w:val="20"/>
          <w:color w:val="auto"/>
        </w:rPr>
      </w:pPr>
      <w:r>
        <w:rPr>
          <w:rFonts w:ascii="Arial" w:cs="Arial" w:eastAsia="Arial" w:hAnsi="Arial"/>
          <w:sz w:val="21"/>
          <w:szCs w:val="21"/>
          <w:color w:val="auto"/>
        </w:rPr>
        <w:t>Name: Michael Magarro</w:t>
      </w:r>
    </w:p>
    <w:p>
      <w:pPr>
        <w:ind w:left="660"/>
        <w:spacing w:after="0"/>
        <w:rPr>
          <w:sz w:val="20"/>
          <w:szCs w:val="20"/>
          <w:color w:val="auto"/>
        </w:rPr>
      </w:pPr>
      <w:r>
        <w:rPr>
          <w:rFonts w:ascii="Arial" w:cs="Arial" w:eastAsia="Arial" w:hAnsi="Arial"/>
          <w:sz w:val="21"/>
          <w:szCs w:val="21"/>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466090</wp:posOffset>
            </wp:positionV>
            <wp:extent cx="718058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1"/>
          <w:szCs w:val="21"/>
          <w:b w:val="1"/>
          <w:bCs w:val="1"/>
          <w:color w:val="auto"/>
        </w:rPr>
        <w:t>EXHIBIT 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ISSUANCE NOTICE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Jefferies LLC</w:t>
      </w:r>
    </w:p>
    <w:p>
      <w:pPr>
        <w:spacing w:after="0"/>
        <w:rPr>
          <w:sz w:val="20"/>
          <w:szCs w:val="20"/>
          <w:color w:val="auto"/>
        </w:rPr>
      </w:pPr>
      <w:r>
        <w:rPr>
          <w:rFonts w:ascii="Arial" w:cs="Arial" w:eastAsia="Arial" w:hAnsi="Arial"/>
          <w:sz w:val="21"/>
          <w:szCs w:val="21"/>
          <w:color w:val="auto"/>
        </w:rPr>
        <w:t>520 Madison Avenue</w:t>
      </w:r>
    </w:p>
    <w:p>
      <w:pPr>
        <w:spacing w:after="0"/>
        <w:rPr>
          <w:sz w:val="20"/>
          <w:szCs w:val="20"/>
          <w:color w:val="auto"/>
        </w:rPr>
      </w:pPr>
      <w:r>
        <w:rPr>
          <w:rFonts w:ascii="Arial" w:cs="Arial" w:eastAsia="Arial" w:hAnsi="Arial"/>
          <w:sz w:val="21"/>
          <w:szCs w:val="21"/>
          <w:color w:val="auto"/>
        </w:rPr>
        <w:t>New York, New York 10022</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Attn: [__________]</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Open Market Sale Agreement between __________ (the “</w:t>
      </w:r>
      <w:r>
        <w:rPr>
          <w:rFonts w:ascii="Arial" w:cs="Arial" w:eastAsia="Arial" w:hAnsi="Arial"/>
          <w:sz w:val="18"/>
          <w:szCs w:val="18"/>
          <w:b w:val="1"/>
          <w:bCs w:val="1"/>
          <w:color w:val="auto"/>
        </w:rPr>
        <w:t>Company</w:t>
      </w:r>
      <w:r>
        <w:rPr>
          <w:rFonts w:ascii="Arial" w:cs="Arial" w:eastAsia="Arial" w:hAnsi="Arial"/>
          <w:sz w:val="18"/>
          <w:szCs w:val="18"/>
          <w:color w:val="auto"/>
        </w:rPr>
        <w:t>”) and Jefferies LLC (the “</w:t>
      </w:r>
      <w:r>
        <w:rPr>
          <w:rFonts w:ascii="Arial" w:cs="Arial" w:eastAsia="Arial" w:hAnsi="Arial"/>
          <w:sz w:val="18"/>
          <w:szCs w:val="18"/>
          <w:b w:val="1"/>
          <w:bCs w:val="1"/>
          <w:color w:val="auto"/>
        </w:rPr>
        <w:t>Agent</w:t>
      </w:r>
      <w:r>
        <w:rPr>
          <w:rFonts w:ascii="Arial" w:cs="Arial" w:eastAsia="Arial" w:hAnsi="Arial"/>
          <w:sz w:val="18"/>
          <w:szCs w:val="18"/>
          <w:color w:val="auto"/>
        </w:rPr>
        <w:t>”) dated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________ ___, 2021. The Company confirms that all conditions to the delivery of this Issuance Notice are satisfied as of the date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hereof.</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of Delivery of Issuance Notice (determined pursuant to </w:t>
      </w:r>
      <w:r>
        <w:rPr>
          <w:rFonts w:ascii="Arial" w:cs="Arial" w:eastAsia="Arial" w:hAnsi="Arial"/>
          <w:sz w:val="21"/>
          <w:szCs w:val="21"/>
          <w:u w:val="single" w:color="auto"/>
          <w:color w:val="auto"/>
        </w:rPr>
        <w:t>Section 3(b)(i)</w:t>
      </w:r>
      <w:r>
        <w:rPr>
          <w:rFonts w:ascii="Arial" w:cs="Arial" w:eastAsia="Arial" w:hAnsi="Arial"/>
          <w:sz w:val="21"/>
          <w:szCs w:val="21"/>
          <w:color w:val="auto"/>
        </w:rPr>
        <w:t>): _______________________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Issuance Amount (equal to the total Sales Price for such Shares):</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Number of days in selling period:</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First date of selling period:</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Last date of selling period:</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Settlement Date(s) if other than standard T+2 settlement: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Floor Price Limitation (in no event less than $1.00 without the prior written consent of the Agent, which consent may be withheld in the Agent’s sole discretion): $ ____ per share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Comments:</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______________________</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By:</w:t>
      </w:r>
    </w:p>
    <w:p>
      <w:pPr>
        <w:ind w:left="9100"/>
        <w:spacing w:after="0"/>
        <w:rPr>
          <w:sz w:val="20"/>
          <w:szCs w:val="20"/>
          <w:color w:val="auto"/>
        </w:rPr>
      </w:pPr>
      <w:r>
        <w:rPr>
          <w:rFonts w:ascii="Arial" w:cs="Arial" w:eastAsia="Arial" w:hAnsi="Arial"/>
          <w:sz w:val="21"/>
          <w:szCs w:val="21"/>
          <w:color w:val="auto"/>
        </w:rPr>
        <w:t>Name:</w:t>
      </w:r>
    </w:p>
    <w:p>
      <w:pPr>
        <w:ind w:left="91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109220</wp:posOffset>
            </wp:positionV>
            <wp:extent cx="718058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3" w:name="page134"/>
    <w:bookmarkEnd w:id="133"/>
    <w:p>
      <w:pPr>
        <w:jc w:val="center"/>
        <w:ind w:right="-1100"/>
        <w:spacing w:after="0"/>
        <w:rPr>
          <w:sz w:val="20"/>
          <w:szCs w:val="20"/>
          <w:color w:val="auto"/>
        </w:rPr>
      </w:pPr>
      <w:r>
        <w:rPr>
          <w:rFonts w:ascii="Arial" w:cs="Arial" w:eastAsia="Arial" w:hAnsi="Arial"/>
          <w:sz w:val="21"/>
          <w:szCs w:val="21"/>
          <w:b w:val="1"/>
          <w:bCs w:val="1"/>
          <w:color w:val="auto"/>
        </w:rPr>
        <w:t>Schedule A</w:t>
      </w:r>
    </w:p>
    <w:p>
      <w:pPr>
        <w:spacing w:after="0" w:line="9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Notice Parties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David-Alexandre C. Gros, M.D.,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Paul Little, Chief Financial Officer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The Agent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Michael Magarro</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Donald Lynaugh</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Jack Fabbri</w:t>
      </w:r>
    </w:p>
    <w:p>
      <w:pPr>
        <w:sectPr>
          <w:pgSz w:w="11900" w:h="16838" w:orient="portrait"/>
          <w:cols w:equalWidth="0" w:num="1">
            <w:col w:w="10139"/>
          </w:cols>
          <w:pgMar w:left="320" w:top="705" w:right="1440" w:bottom="1440" w:gutter="0" w:footer="0" w:header="0"/>
        </w:sectPr>
      </w:pPr>
    </w:p>
    <w:bookmarkStart w:id="134" w:name="page135"/>
    <w:bookmarkEnd w:id="134"/>
    <w:p>
      <w:pPr>
        <w:ind w:left="10440"/>
        <w:spacing w:after="0"/>
        <w:rPr>
          <w:sz w:val="20"/>
          <w:szCs w:val="20"/>
          <w:color w:val="auto"/>
        </w:rPr>
      </w:pPr>
      <w:r>
        <w:rPr>
          <w:rFonts w:ascii="Arial" w:cs="Arial" w:eastAsia="Arial" w:hAnsi="Arial"/>
          <w:sz w:val="15"/>
          <w:szCs w:val="15"/>
          <w:b w:val="1"/>
          <w:bCs w:val="1"/>
          <w:color w:val="auto"/>
        </w:rPr>
        <w:t>Exhibit 4.5</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REGISTRANT’S SECURITIES REGISTERED PURSUANT TO SECTION 12 OF THE SECURITIES EXCHANGE ACT OF 1934</w:t>
      </w:r>
    </w:p>
    <w:p>
      <w:pPr>
        <w:spacing w:after="0" w:line="2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by-laws, which are filed as exhibits to our Annual Report on Form 10-K, to which this exhibit is also appended.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Our authorized capital stock consists of 200,000,000 shares of common stock and 5,000,000 shares of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only by the board of directors, and business transacted at any special meetings of stockholders shall be limited to matters relating to the purpose or purposes stated in the notice of such meeting. Except as may be otherwise provided by applicable law, our restated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Each holder of common stock is entitled to one vote for each share held on all matters to be voted upon by stockholders.</w:t>
      </w:r>
    </w:p>
    <w:p>
      <w:pPr>
        <w:spacing w:after="0" w:line="21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The holders of common stock, after any preferences of holders of any preferred stock, are entitled to receive dividends when and if declared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out of legally available funds.</w:t>
      </w:r>
    </w:p>
    <w:p>
      <w:pPr>
        <w:spacing w:after="0" w:line="16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b w:val="1"/>
          <w:bCs w:val="1"/>
          <w:i w:val="1"/>
          <w:iCs w:val="1"/>
          <w:color w:val="auto"/>
        </w:rPr>
        <w:t xml:space="preserve">Liquidation and Dissolution. </w:t>
      </w:r>
      <w:r>
        <w:rPr>
          <w:rFonts w:ascii="Arial" w:cs="Arial" w:eastAsia="Arial" w:hAnsi="Arial"/>
          <w:sz w:val="15"/>
          <w:szCs w:val="15"/>
          <w:color w:val="auto"/>
        </w:rPr>
        <w:t>If we are liquidated or dissolved, the holders of the common stock will be entitled to share in our assets available for distribution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in proportion to the amount of common stock they own. The amount available for common stockholders is calculated after payment of liabilities. Holders of any preferred stock may be entitled to receive a preferential share of our assets before the holders of the common stock receive any assets.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Rights. </w:t>
      </w:r>
      <w:r>
        <w:rPr>
          <w:rFonts w:ascii="Arial" w:cs="Arial" w:eastAsia="Arial" w:hAnsi="Arial"/>
          <w:sz w:val="17"/>
          <w:szCs w:val="17"/>
          <w:color w:val="auto"/>
        </w:rPr>
        <w:t>Holders of the common stock have no right to:</w:t>
      </w:r>
    </w:p>
    <w:p>
      <w:pPr>
        <w:spacing w:after="0" w:line="62" w:lineRule="exact"/>
        <w:rPr>
          <w:sz w:val="20"/>
          <w:szCs w:val="20"/>
          <w:color w:val="auto"/>
        </w:rPr>
      </w:pPr>
    </w:p>
    <w:p>
      <w:pPr>
        <w:ind w:left="1280" w:hanging="416"/>
        <w:spacing w:after="0"/>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convert the stock into any other security;</w:t>
      </w:r>
    </w:p>
    <w:p>
      <w:pPr>
        <w:spacing w:after="0" w:line="268" w:lineRule="exact"/>
        <w:rPr>
          <w:rFonts w:ascii="Arial" w:cs="Arial" w:eastAsia="Arial" w:hAnsi="Arial"/>
          <w:sz w:val="17"/>
          <w:szCs w:val="17"/>
          <w:color w:val="auto"/>
        </w:rPr>
      </w:pPr>
    </w:p>
    <w:p>
      <w:pPr>
        <w:ind w:left="1280" w:hanging="416"/>
        <w:spacing w:after="0"/>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have the stock redeemed;</w:t>
      </w:r>
    </w:p>
    <w:p>
      <w:pPr>
        <w:spacing w:after="0" w:line="268" w:lineRule="exact"/>
        <w:rPr>
          <w:rFonts w:ascii="Arial" w:cs="Arial" w:eastAsia="Arial" w:hAnsi="Arial"/>
          <w:sz w:val="17"/>
          <w:szCs w:val="17"/>
          <w:color w:val="auto"/>
        </w:rPr>
      </w:pPr>
    </w:p>
    <w:p>
      <w:pPr>
        <w:ind w:left="1280" w:hanging="416"/>
        <w:spacing w:after="0"/>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purchase additional stock; or</w:t>
      </w:r>
    </w:p>
    <w:p>
      <w:pPr>
        <w:spacing w:after="0" w:line="268" w:lineRule="exact"/>
        <w:rPr>
          <w:rFonts w:ascii="Arial" w:cs="Arial" w:eastAsia="Arial" w:hAnsi="Arial"/>
          <w:sz w:val="17"/>
          <w:szCs w:val="17"/>
          <w:color w:val="auto"/>
        </w:rPr>
      </w:pPr>
    </w:p>
    <w:p>
      <w:pPr>
        <w:ind w:left="1280" w:hanging="416"/>
        <w:spacing w:after="0"/>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maintain their proportionate ownership interest.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does not have cumulative voting rights. Holders of shares of the common stock are not required to make additional capital contributions.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Transfer Agent and Registrar. </w:t>
      </w:r>
      <w:r>
        <w:rPr>
          <w:rFonts w:ascii="Arial" w:cs="Arial" w:eastAsia="Arial" w:hAnsi="Arial"/>
          <w:sz w:val="17"/>
          <w:szCs w:val="17"/>
          <w:color w:val="auto"/>
        </w:rPr>
        <w:t>Continental Stock Transfer &amp; Trust Company is transfer agent and registrar for the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333375</wp:posOffset>
            </wp:positionV>
            <wp:extent cx="718058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5" w:name="page136"/>
    <w:bookmarkEnd w:id="135"/>
    <w:p>
      <w:pPr>
        <w:ind w:right="60"/>
        <w:spacing w:after="0" w:line="277"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X and Series X</w:t>
      </w:r>
      <w:r>
        <w:rPr>
          <w:rFonts w:ascii="Arial" w:cs="Arial" w:eastAsia="Arial" w:hAnsi="Arial"/>
          <w:sz w:val="14"/>
          <w:szCs w:val="14"/>
          <w:b w:val="1"/>
          <w:bCs w:val="1"/>
          <w:i w:val="1"/>
          <w:iCs w:val="1"/>
          <w:color w:val="auto"/>
        </w:rPr>
        <w:t>1</w:t>
      </w:r>
      <w:r>
        <w:rPr>
          <w:rFonts w:ascii="Arial" w:cs="Arial" w:eastAsia="Arial" w:hAnsi="Arial"/>
          <w:sz w:val="17"/>
          <w:szCs w:val="17"/>
          <w:b w:val="1"/>
          <w:bCs w:val="1"/>
          <w:i w:val="1"/>
          <w:iCs w:val="1"/>
          <w:color w:val="auto"/>
        </w:rPr>
        <w:t xml:space="preserve"> Convertible Preferred Stock</w:t>
      </w: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Each share of Series X Convertible Preferred Stock, par value $0.001 per share (the “Series X Preferred Stock”) and the Series X</w:t>
      </w:r>
      <w:r>
        <w:rPr>
          <w:rFonts w:ascii="Arial" w:cs="Arial" w:eastAsia="Arial" w:hAnsi="Arial"/>
          <w:sz w:val="13"/>
          <w:szCs w:val="13"/>
          <w:i w:val="1"/>
          <w:iCs w:val="1"/>
          <w:color w:val="auto"/>
        </w:rPr>
        <w:t>1</w:t>
      </w:r>
      <w:r>
        <w:rPr>
          <w:rFonts w:ascii="Arial" w:cs="Arial" w:eastAsia="Arial" w:hAnsi="Arial"/>
          <w:sz w:val="16"/>
          <w:szCs w:val="16"/>
          <w:color w:val="auto"/>
        </w:rPr>
        <w:t xml:space="preserve"> Convertible Preferred Stock, par value $0.001 per share (the “Series X</w:t>
      </w:r>
      <w:r>
        <w:rPr>
          <w:rFonts w:ascii="Arial" w:cs="Arial" w:eastAsia="Arial" w:hAnsi="Arial"/>
          <w:sz w:val="13"/>
          <w:szCs w:val="13"/>
          <w:i w:val="1"/>
          <w:iCs w:val="1"/>
          <w:color w:val="auto"/>
        </w:rPr>
        <w:t>1</w:t>
      </w:r>
      <w:r>
        <w:rPr>
          <w:rFonts w:ascii="Arial" w:cs="Arial" w:eastAsia="Arial" w:hAnsi="Arial"/>
          <w:sz w:val="16"/>
          <w:szCs w:val="16"/>
          <w:color w:val="auto"/>
        </w:rPr>
        <w:t xml:space="preserve"> Preferred Stock,” and together with the Series X Preferred Stock, the “Convertible Preferred Stock”), is convertible into 55.5555556 shares of Common Stock at the option of the holder at any time; subject to certain limitations, including, that the holder will be prohibited from converting the Convertible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w:t>
      </w:r>
      <w:r>
        <w:rPr>
          <w:rFonts w:ascii="Arial" w:cs="Arial" w:eastAsia="Arial" w:hAnsi="Arial"/>
          <w:sz w:val="13"/>
          <w:szCs w:val="13"/>
          <w:color w:val="auto"/>
        </w:rPr>
        <w:t>1</w:t>
      </w:r>
      <w:r>
        <w:rPr>
          <w:rFonts w:ascii="Arial" w:cs="Arial" w:eastAsia="Arial" w:hAnsi="Arial"/>
          <w:sz w:val="16"/>
          <w:szCs w:val="16"/>
          <w:color w:val="auto"/>
        </w:rPr>
        <w:t xml:space="preserve"> Preferred Stock, respectively. In the event of the Company’s liquidation, dissolution or winding up, holders of the Convertible Preferred Stock will participate pari passu with any distribution of proceeds to holders of Common Stock. Holders of the Convertible Preferred Stock are entitled to receive dividends on shares of the Convertible Preferred Stock, on an as-if-converted-to-Common-Stock basis (without regard to any beneficial ownership limitations), and in the same form as dividends actually paid on shares of the Common Stock. Shares of the Convertible Preferred Stock will generally have no voting rights, except as required by law and except that the consent of a majority of the holders of either series of outstanding Convertible Preferred Stock will be required to amend the terms of the such series.</w:t>
      </w:r>
    </w:p>
    <w:p>
      <w:pPr>
        <w:spacing w:after="0" w:line="174"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As long as any shares of the Convertible Preferred Stock are outstanding, the Company will not, without the affirmative vote of the holders of a majority of the then outstanding shares of either series of the Convertible Preferred Stock, as applicable, (a) alter or change adversely the powers, preferences or rights given to either series of the Convertible Preferred Stock, (b) alter or amend the Certificate of Designation for either series of the Convertible Preferred Stock (c) amend its certificate of incorporation or other charter documents in any manner that adversely affects any rights of the holders of either series of the Convertible Preferred Stock, (d) increase the number of authorized shares of either series of the Convertible Preferred Stock, or (e) enter into any agreement with respect to any of the foregoing. The Convertible Preferred Stock does not have a preference upon any liquidation, dissolution or winding-up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of Our Certificate of Incorporation and By-laws and Delaware Law That May Have Anti-Takeover Effects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Staggered Board; Removal of Directors</w:t>
      </w:r>
    </w:p>
    <w:p>
      <w:pPr>
        <w:spacing w:after="0" w:line="21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Our certificate of incorporation and by-laws divide our board of directors into three classes with staggered three-year terms. In addition, a director is only able to be removed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only be filled by vote of a majority of our directors then in office. The classification of our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304800</wp:posOffset>
            </wp:positionV>
            <wp:extent cx="718058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6" w:name="page137"/>
    <w:bookmarkEnd w:id="136"/>
    <w:p>
      <w:pPr>
        <w:ind w:right="40"/>
        <w:spacing w:after="0" w:line="279" w:lineRule="auto"/>
        <w:rPr>
          <w:sz w:val="20"/>
          <w:szCs w:val="20"/>
          <w:color w:val="auto"/>
        </w:rPr>
      </w:pPr>
      <w:r>
        <w:rPr>
          <w:rFonts w:ascii="Arial" w:cs="Arial" w:eastAsia="Arial" w:hAnsi="Arial"/>
          <w:sz w:val="17"/>
          <w:szCs w:val="17"/>
          <w:color w:val="auto"/>
        </w:rPr>
        <w:t>directors and the limitations on the removal of directors and filling of vacancies could make it more difficult for a third party to acquire, or discourage a third party from seeking to acquire, control of our company.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 Special Meetings</w:t>
      </w:r>
    </w:p>
    <w:p>
      <w:pPr>
        <w:spacing w:after="0" w:line="217"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by-laws also provide that, except as otherwise required by law, special meetings of our stockholders can only be called by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 for Stockholder Proposals</w:t>
      </w:r>
    </w:p>
    <w:p>
      <w:pPr>
        <w:spacing w:after="0" w:line="21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Business Combination Statute</w:t>
      </w:r>
    </w:p>
    <w:p>
      <w:pPr>
        <w:spacing w:after="0" w:line="21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Certificate of Incorporation and By-laws</w:t>
      </w:r>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“-Staggered Board; Removal of Directors” and “-Stockholder Action by Written Consent; Special Meetings.”</w:t>
      </w:r>
    </w:p>
    <w:p>
      <w:pPr>
        <w:sectPr>
          <w:pgSz w:w="11900" w:h="16838" w:orient="portrait"/>
          <w:cols w:equalWidth="0" w:num="1">
            <w:col w:w="11240"/>
          </w:cols>
          <w:pgMar w:left="320" w:top="540" w:right="339" w:bottom="1440" w:gutter="0" w:footer="0" w:header="0"/>
        </w:sectPr>
      </w:pPr>
    </w:p>
    <w:bookmarkStart w:id="137" w:name="page138"/>
    <w:bookmarkEnd w:id="137"/>
    <w:p>
      <w:pPr>
        <w:ind w:left="10180"/>
        <w:spacing w:after="0"/>
        <w:rPr>
          <w:sz w:val="20"/>
          <w:szCs w:val="20"/>
          <w:color w:val="auto"/>
        </w:rPr>
      </w:pPr>
      <w:r>
        <w:rPr>
          <w:rFonts w:ascii="Arial" w:cs="Arial" w:eastAsia="Arial" w:hAnsi="Arial"/>
          <w:sz w:val="19"/>
          <w:szCs w:val="19"/>
          <w:b w:val="1"/>
          <w:bCs w:val="1"/>
          <w:color w:val="080808"/>
        </w:rPr>
        <w:t>Exhibit 10.8</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80808"/>
        </w:rPr>
        <w:t>EXECUTIVE EMPLOYMENT AGREEMENT</w:t>
      </w:r>
    </w:p>
    <w:p>
      <w:pPr>
        <w:spacing w:after="0" w:line="22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080808"/>
        </w:rPr>
        <w:t>This Executive Employment Agreement (the “</w:t>
      </w:r>
      <w:r>
        <w:rPr>
          <w:rFonts w:ascii="Arial" w:cs="Arial" w:eastAsia="Arial" w:hAnsi="Arial"/>
          <w:sz w:val="21"/>
          <w:szCs w:val="21"/>
          <w:u w:val="single" w:color="auto"/>
          <w:color w:val="080808"/>
        </w:rPr>
        <w:t>Agreement</w:t>
      </w:r>
      <w:r>
        <w:rPr>
          <w:rFonts w:ascii="Arial" w:cs="Arial" w:eastAsia="Arial" w:hAnsi="Arial"/>
          <w:sz w:val="21"/>
          <w:szCs w:val="21"/>
          <w:color w:val="080808"/>
        </w:rPr>
        <w:t>”) is entered into as of September 9, 2020 (the “</w:t>
      </w:r>
      <w:r>
        <w:rPr>
          <w:rFonts w:ascii="Arial" w:cs="Arial" w:eastAsia="Arial" w:hAnsi="Arial"/>
          <w:sz w:val="21"/>
          <w:szCs w:val="21"/>
          <w:u w:val="single" w:color="auto"/>
          <w:color w:val="080808"/>
        </w:rPr>
        <w:t>Effective Date</w:t>
      </w:r>
      <w:r>
        <w:rPr>
          <w:rFonts w:ascii="Arial" w:cs="Arial" w:eastAsia="Arial" w:hAnsi="Arial"/>
          <w:sz w:val="21"/>
          <w:szCs w:val="21"/>
          <w:color w:val="080808"/>
        </w:rPr>
        <w:t>”), by and between Novus Therapeutics, Inc. (the “</w:t>
      </w:r>
      <w:r>
        <w:rPr>
          <w:rFonts w:ascii="Arial" w:cs="Arial" w:eastAsia="Arial" w:hAnsi="Arial"/>
          <w:sz w:val="21"/>
          <w:szCs w:val="21"/>
          <w:u w:val="single" w:color="auto"/>
          <w:color w:val="080808"/>
        </w:rPr>
        <w:t>Company</w:t>
      </w:r>
      <w:r>
        <w:rPr>
          <w:rFonts w:ascii="Arial" w:cs="Arial" w:eastAsia="Arial" w:hAnsi="Arial"/>
          <w:sz w:val="21"/>
          <w:szCs w:val="21"/>
          <w:color w:val="080808"/>
        </w:rPr>
        <w:t>”) and David-Alexandre Gros (“</w:t>
      </w:r>
      <w:r>
        <w:rPr>
          <w:rFonts w:ascii="Arial" w:cs="Arial" w:eastAsia="Arial" w:hAnsi="Arial"/>
          <w:sz w:val="21"/>
          <w:szCs w:val="21"/>
          <w:u w:val="single" w:color="auto"/>
          <w:color w:val="080808"/>
        </w:rPr>
        <w:t>Executive</w:t>
      </w:r>
      <w:r>
        <w:rPr>
          <w:rFonts w:ascii="Arial" w:cs="Arial" w:eastAsia="Arial" w:hAnsi="Arial"/>
          <w:sz w:val="21"/>
          <w:szCs w:val="21"/>
          <w:color w:val="080808"/>
        </w:rPr>
        <w:t>”).</w:t>
      </w:r>
    </w:p>
    <w:p>
      <w:pPr>
        <w:spacing w:after="0" w:line="18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b w:val="1"/>
          <w:bCs w:val="1"/>
          <w:color w:val="080808"/>
        </w:rPr>
        <w:t>WHEREAS</w:t>
      </w:r>
      <w:r>
        <w:rPr>
          <w:rFonts w:ascii="Arial" w:cs="Arial" w:eastAsia="Arial" w:hAnsi="Arial"/>
          <w:sz w:val="21"/>
          <w:szCs w:val="21"/>
          <w:color w:val="080808"/>
        </w:rPr>
        <w:t>, the Company wishes to employ Executive on a full-time basis as Chief Executive Officer of the Company and</w:t>
      </w:r>
      <w:r>
        <w:rPr>
          <w:rFonts w:ascii="Arial" w:cs="Arial" w:eastAsia="Arial" w:hAnsi="Arial"/>
          <w:sz w:val="21"/>
          <w:szCs w:val="21"/>
          <w:b w:val="1"/>
          <w:bCs w:val="1"/>
          <w:color w:val="080808"/>
        </w:rPr>
        <w:t xml:space="preserve"> </w:t>
      </w:r>
      <w:r>
        <w:rPr>
          <w:rFonts w:ascii="Arial" w:cs="Arial" w:eastAsia="Arial" w:hAnsi="Arial"/>
          <w:sz w:val="21"/>
          <w:szCs w:val="21"/>
          <w:color w:val="080808"/>
        </w:rPr>
        <w:t>Executive wishes to work on a full-time basis as the Chief Executive Officer of the Company; and</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080808"/>
        </w:rPr>
        <w:t>WHEREAS</w:t>
      </w:r>
      <w:r>
        <w:rPr>
          <w:rFonts w:ascii="Arial" w:cs="Arial" w:eastAsia="Arial" w:hAnsi="Arial"/>
          <w:sz w:val="19"/>
          <w:szCs w:val="19"/>
          <w:color w:val="080808"/>
        </w:rPr>
        <w:t>, the Company and Executive wish to enter into this Agreement on the terms and conditions set forth below.</w:t>
      </w:r>
    </w:p>
    <w:p>
      <w:pPr>
        <w:spacing w:after="0" w:line="246"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080808"/>
        </w:rPr>
        <w:t>NOW</w:t>
      </w:r>
      <w:r>
        <w:rPr>
          <w:rFonts w:ascii="Arial" w:cs="Arial" w:eastAsia="Arial" w:hAnsi="Arial"/>
          <w:sz w:val="21"/>
          <w:szCs w:val="21"/>
          <w:color w:val="080808"/>
        </w:rPr>
        <w:t>,</w:t>
      </w:r>
      <w:r>
        <w:rPr>
          <w:rFonts w:ascii="Arial" w:cs="Arial" w:eastAsia="Arial" w:hAnsi="Arial"/>
          <w:sz w:val="21"/>
          <w:szCs w:val="21"/>
          <w:b w:val="1"/>
          <w:bCs w:val="1"/>
          <w:color w:val="080808"/>
        </w:rPr>
        <w:t xml:space="preserve"> THEREFORE</w:t>
      </w:r>
      <w:r>
        <w:rPr>
          <w:rFonts w:ascii="Arial" w:cs="Arial" w:eastAsia="Arial" w:hAnsi="Arial"/>
          <w:sz w:val="21"/>
          <w:szCs w:val="21"/>
          <w:color w:val="080808"/>
        </w:rPr>
        <w:t>, it is hereby agreed as follows</w:t>
      </w:r>
    </w:p>
    <w:p>
      <w:pPr>
        <w:spacing w:after="0" w:line="229" w:lineRule="exact"/>
        <w:rPr>
          <w:sz w:val="20"/>
          <w:szCs w:val="20"/>
          <w:color w:val="auto"/>
        </w:rPr>
      </w:pPr>
    </w:p>
    <w:p>
      <w:pPr>
        <w:jc w:val="both"/>
        <w:ind w:firstLine="1729"/>
        <w:spacing w:after="0" w:line="279" w:lineRule="auto"/>
        <w:rPr>
          <w:sz w:val="20"/>
          <w:szCs w:val="20"/>
          <w:color w:val="auto"/>
        </w:rPr>
      </w:pPr>
      <w:r>
        <w:rPr>
          <w:rFonts w:ascii="Arial" w:cs="Arial" w:eastAsia="Arial" w:hAnsi="Arial"/>
          <w:sz w:val="19"/>
          <w:szCs w:val="19"/>
          <w:color w:val="080808"/>
        </w:rPr>
        <w:t xml:space="preserve">1. </w:t>
      </w:r>
      <w:r>
        <w:rPr>
          <w:rFonts w:ascii="Arial" w:cs="Arial" w:eastAsia="Arial" w:hAnsi="Arial"/>
          <w:sz w:val="19"/>
          <w:szCs w:val="19"/>
          <w:u w:val="single" w:color="auto"/>
          <w:color w:val="080808"/>
        </w:rPr>
        <w:t>Employment</w:t>
      </w:r>
      <w:r>
        <w:rPr>
          <w:rFonts w:ascii="Arial" w:cs="Arial" w:eastAsia="Arial" w:hAnsi="Arial"/>
          <w:sz w:val="19"/>
          <w:szCs w:val="19"/>
          <w:color w:val="080808"/>
        </w:rPr>
        <w:t xml:space="preserve">. The Company agrees to employ Executive, and Executive hereby accepts such employment on an at-will basis, upon the terms and subject to the conditions set forth herein, for a period commencing on the Effective Date and ending on the date that this Agreement is terminated in accordance with </w:t>
      </w:r>
      <w:r>
        <w:rPr>
          <w:rFonts w:ascii="Arial" w:cs="Arial" w:eastAsia="Arial" w:hAnsi="Arial"/>
          <w:sz w:val="19"/>
          <w:szCs w:val="19"/>
          <w:u w:val="single" w:color="auto"/>
          <w:color w:val="080808"/>
        </w:rPr>
        <w:t>Section 7</w:t>
      </w:r>
      <w:r>
        <w:rPr>
          <w:rFonts w:ascii="Arial" w:cs="Arial" w:eastAsia="Arial" w:hAnsi="Arial"/>
          <w:sz w:val="19"/>
          <w:szCs w:val="19"/>
          <w:color w:val="080808"/>
        </w:rPr>
        <w:t xml:space="preserve"> below (the “</w:t>
      </w:r>
      <w:r>
        <w:rPr>
          <w:rFonts w:ascii="Arial" w:cs="Arial" w:eastAsia="Arial" w:hAnsi="Arial"/>
          <w:sz w:val="19"/>
          <w:szCs w:val="19"/>
          <w:u w:val="single" w:color="auto"/>
          <w:color w:val="080808"/>
        </w:rPr>
        <w:t>Employment Term</w:t>
      </w:r>
      <w:r>
        <w:rPr>
          <w:rFonts w:ascii="Arial" w:cs="Arial" w:eastAsia="Arial" w:hAnsi="Arial"/>
          <w:sz w:val="19"/>
          <w:szCs w:val="19"/>
          <w:color w:val="080808"/>
        </w:rPr>
        <w:t>”).</w:t>
      </w:r>
    </w:p>
    <w:p>
      <w:pPr>
        <w:spacing w:after="0" w:line="166" w:lineRule="exact"/>
        <w:rPr>
          <w:sz w:val="20"/>
          <w:szCs w:val="20"/>
          <w:color w:val="auto"/>
        </w:rPr>
      </w:pPr>
    </w:p>
    <w:p>
      <w:pPr>
        <w:jc w:val="both"/>
        <w:ind w:left="160" w:firstLine="1552"/>
        <w:spacing w:after="0" w:line="249" w:lineRule="auto"/>
        <w:rPr>
          <w:sz w:val="20"/>
          <w:szCs w:val="20"/>
          <w:color w:val="auto"/>
        </w:rPr>
      </w:pPr>
      <w:r>
        <w:rPr>
          <w:rFonts w:ascii="Arial" w:cs="Arial" w:eastAsia="Arial" w:hAnsi="Arial"/>
          <w:sz w:val="20"/>
          <w:szCs w:val="20"/>
          <w:color w:val="080808"/>
        </w:rPr>
        <w:t xml:space="preserve">2. </w:t>
      </w:r>
      <w:r>
        <w:rPr>
          <w:rFonts w:ascii="Arial" w:cs="Arial" w:eastAsia="Arial" w:hAnsi="Arial"/>
          <w:sz w:val="20"/>
          <w:szCs w:val="20"/>
          <w:u w:val="single" w:color="auto"/>
          <w:color w:val="080808"/>
        </w:rPr>
        <w:t>Position; Duties</w:t>
      </w:r>
      <w:r>
        <w:rPr>
          <w:rFonts w:ascii="Arial" w:cs="Arial" w:eastAsia="Arial" w:hAnsi="Arial"/>
          <w:sz w:val="20"/>
          <w:szCs w:val="20"/>
          <w:color w:val="080808"/>
        </w:rPr>
        <w:t>. During the Employment Term, Executive shall serve as Chief Executive Officer of the Company. In such position, Executive shall report to the Company’s Board of Directors (the “</w:t>
      </w:r>
      <w:r>
        <w:rPr>
          <w:rFonts w:ascii="Arial" w:cs="Arial" w:eastAsia="Arial" w:hAnsi="Arial"/>
          <w:sz w:val="20"/>
          <w:szCs w:val="20"/>
          <w:u w:val="single" w:color="auto"/>
          <w:color w:val="080808"/>
        </w:rPr>
        <w:t>Board</w:t>
      </w:r>
      <w:r>
        <w:rPr>
          <w:rFonts w:ascii="Arial" w:cs="Arial" w:eastAsia="Arial" w:hAnsi="Arial"/>
          <w:sz w:val="20"/>
          <w:szCs w:val="20"/>
          <w:color w:val="080808"/>
        </w:rPr>
        <w:t xml:space="preserve">”) and shall have such duties and authority as are customary to such position and as otherwise determined from time to time by the Board. During the Employment Term, Executive </w:t>
      </w:r>
      <w:r>
        <w:rPr>
          <w:rFonts w:ascii="Arial" w:cs="Arial" w:eastAsia="Arial" w:hAnsi="Arial"/>
          <w:sz w:val="20"/>
          <w:szCs w:val="20"/>
          <w:color w:val="000000"/>
        </w:rPr>
        <w:t>agrees to devote Executive’s full time and reasonable best efforts to the performance of Executive’s</w:t>
      </w:r>
      <w:r>
        <w:rPr>
          <w:rFonts w:ascii="Arial" w:cs="Arial" w:eastAsia="Arial" w:hAnsi="Arial"/>
          <w:sz w:val="20"/>
          <w:szCs w:val="20"/>
          <w:color w:val="080808"/>
        </w:rPr>
        <w:t xml:space="preserve"> </w:t>
      </w:r>
      <w:r>
        <w:rPr>
          <w:rFonts w:ascii="Arial" w:cs="Arial" w:eastAsia="Arial" w:hAnsi="Arial"/>
          <w:sz w:val="20"/>
          <w:szCs w:val="20"/>
          <w:color w:val="000000"/>
        </w:rPr>
        <w:t>duties to the Company. The foregoing shall not be construed to prohibit Executive from engaging in activities relating to serving on civic and charitable boards or committees, and managing personal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ind w:left="1740"/>
              <w:spacing w:after="0"/>
              <w:rPr>
                <w:sz w:val="20"/>
                <w:szCs w:val="20"/>
                <w:color w:val="auto"/>
              </w:rPr>
            </w:pPr>
            <w:r>
              <w:rPr>
                <w:rFonts w:ascii="Arial" w:cs="Arial" w:eastAsia="Arial" w:hAnsi="Arial"/>
                <w:sz w:val="21"/>
                <w:szCs w:val="21"/>
                <w:color w:val="070707"/>
              </w:rPr>
              <w:t>3.</w:t>
            </w:r>
          </w:p>
        </w:tc>
        <w:tc>
          <w:tcPr>
            <w:tcW w:w="1500" w:type="dxa"/>
            <w:vAlign w:val="bottom"/>
          </w:tcPr>
          <w:p>
            <w:pPr>
              <w:spacing w:after="0"/>
              <w:rPr>
                <w:sz w:val="21"/>
                <w:szCs w:val="21"/>
                <w:color w:val="auto"/>
              </w:rPr>
            </w:pPr>
          </w:p>
        </w:tc>
        <w:tc>
          <w:tcPr>
            <w:tcW w:w="7500" w:type="dxa"/>
            <w:vAlign w:val="bottom"/>
            <w:gridSpan w:val="2"/>
          </w:tcPr>
          <w:p>
            <w:pPr>
              <w:jc w:val="right"/>
              <w:ind w:right="3380"/>
              <w:spacing w:after="0"/>
              <w:rPr>
                <w:sz w:val="20"/>
                <w:szCs w:val="20"/>
                <w:color w:val="auto"/>
              </w:rPr>
            </w:pPr>
            <w:r>
              <w:rPr>
                <w:rFonts w:ascii="Arial" w:cs="Arial" w:eastAsia="Arial" w:hAnsi="Arial"/>
                <w:sz w:val="21"/>
                <w:szCs w:val="21"/>
                <w:color w:val="auto"/>
                <w:w w:val="88"/>
              </w:rPr>
              <w:t>Base Salary; Sign-on Bonus; Performance Bonus.</w:t>
            </w:r>
          </w:p>
        </w:tc>
      </w:tr>
      <w:tr>
        <w:trPr>
          <w:trHeight w:val="20"/>
        </w:trPr>
        <w:tc>
          <w:tcPr>
            <w:tcW w:w="2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1"/>
        </w:trPr>
        <w:tc>
          <w:tcPr>
            <w:tcW w:w="2240" w:type="dxa"/>
            <w:vAlign w:val="bottom"/>
          </w:tcPr>
          <w:p>
            <w:pPr>
              <w:ind w:left="1740"/>
              <w:spacing w:after="0"/>
              <w:rPr>
                <w:sz w:val="20"/>
                <w:szCs w:val="20"/>
                <w:color w:val="auto"/>
              </w:rPr>
            </w:pPr>
            <w:r>
              <w:rPr>
                <w:rFonts w:ascii="Arial" w:cs="Arial" w:eastAsia="Arial" w:hAnsi="Arial"/>
                <w:sz w:val="21"/>
                <w:szCs w:val="21"/>
                <w:color w:val="070707"/>
              </w:rPr>
              <w:t>(a)</w:t>
            </w:r>
          </w:p>
        </w:tc>
        <w:tc>
          <w:tcPr>
            <w:tcW w:w="1500" w:type="dxa"/>
            <w:vAlign w:val="bottom"/>
          </w:tcPr>
          <w:p>
            <w:pPr>
              <w:spacing w:after="0"/>
              <w:rPr>
                <w:sz w:val="24"/>
                <w:szCs w:val="24"/>
                <w:color w:val="auto"/>
              </w:rPr>
            </w:pPr>
          </w:p>
        </w:tc>
        <w:tc>
          <w:tcPr>
            <w:tcW w:w="7500" w:type="dxa"/>
            <w:vAlign w:val="bottom"/>
            <w:gridSpan w:val="2"/>
          </w:tcPr>
          <w:p>
            <w:pPr>
              <w:jc w:val="right"/>
              <w:spacing w:after="0"/>
              <w:rPr>
                <w:sz w:val="20"/>
                <w:szCs w:val="20"/>
                <w:color w:val="auto"/>
              </w:rPr>
            </w:pPr>
            <w:r>
              <w:rPr>
                <w:rFonts w:ascii="Arial" w:cs="Arial" w:eastAsia="Arial" w:hAnsi="Arial"/>
                <w:sz w:val="21"/>
                <w:szCs w:val="21"/>
                <w:color w:val="070707"/>
                <w:w w:val="91"/>
              </w:rPr>
              <w:t>During the Employment Term, the Company shall pay Executive an initial base salary at</w:t>
            </w:r>
          </w:p>
        </w:tc>
      </w:tr>
      <w:tr>
        <w:trPr>
          <w:trHeight w:val="250"/>
        </w:trPr>
        <w:tc>
          <w:tcPr>
            <w:tcW w:w="2240" w:type="dxa"/>
            <w:vAlign w:val="bottom"/>
          </w:tcPr>
          <w:p>
            <w:pPr>
              <w:spacing w:after="0"/>
              <w:rPr>
                <w:sz w:val="20"/>
                <w:szCs w:val="20"/>
                <w:color w:val="auto"/>
              </w:rPr>
            </w:pPr>
            <w:r>
              <w:rPr>
                <w:rFonts w:ascii="Arial" w:cs="Arial" w:eastAsia="Arial" w:hAnsi="Arial"/>
                <w:sz w:val="21"/>
                <w:szCs w:val="21"/>
                <w:color w:val="070707"/>
              </w:rPr>
              <w:t>the  annualized  rate  of</w:t>
            </w:r>
          </w:p>
        </w:tc>
        <w:tc>
          <w:tcPr>
            <w:tcW w:w="9000" w:type="dxa"/>
            <w:vAlign w:val="bottom"/>
            <w:gridSpan w:val="3"/>
          </w:tcPr>
          <w:p>
            <w:pPr>
              <w:jc w:val="right"/>
              <w:spacing w:after="0"/>
              <w:rPr>
                <w:sz w:val="20"/>
                <w:szCs w:val="20"/>
                <w:color w:val="auto"/>
              </w:rPr>
            </w:pPr>
            <w:r>
              <w:rPr>
                <w:rFonts w:ascii="Arial" w:cs="Arial" w:eastAsia="Arial" w:hAnsi="Arial"/>
                <w:sz w:val="21"/>
                <w:szCs w:val="21"/>
                <w:color w:val="070707"/>
                <w:w w:val="98"/>
              </w:rPr>
              <w:t>$500,000,  payable  in  regular  installments  in  accordance  with  the  Company’s  usual  payment</w:t>
            </w:r>
          </w:p>
        </w:tc>
      </w:tr>
    </w:tbl>
    <w:p>
      <w:pPr>
        <w:jc w:val="both"/>
        <w:spacing w:after="0" w:line="284" w:lineRule="auto"/>
        <w:rPr>
          <w:sz w:val="20"/>
          <w:szCs w:val="20"/>
          <w:color w:val="auto"/>
        </w:rPr>
      </w:pPr>
      <w:r>
        <w:rPr>
          <w:rFonts w:ascii="Arial" w:cs="Arial" w:eastAsia="Arial" w:hAnsi="Arial"/>
          <w:sz w:val="19"/>
          <w:szCs w:val="19"/>
          <w:color w:val="070707"/>
        </w:rPr>
        <w:t>practices. Executive’s base salary may be increased in the sole discretion of the Board or the Compensation Committee of the Board (the “</w:t>
      </w:r>
      <w:r>
        <w:rPr>
          <w:rFonts w:ascii="Arial" w:cs="Arial" w:eastAsia="Arial" w:hAnsi="Arial"/>
          <w:sz w:val="19"/>
          <w:szCs w:val="19"/>
          <w:u w:val="single" w:color="auto"/>
          <w:color w:val="070707"/>
        </w:rPr>
        <w:t>Committee</w:t>
      </w:r>
      <w:r>
        <w:rPr>
          <w:rFonts w:ascii="Arial" w:cs="Arial" w:eastAsia="Arial" w:hAnsi="Arial"/>
          <w:sz w:val="19"/>
          <w:szCs w:val="19"/>
          <w:color w:val="070707"/>
        </w:rPr>
        <w:t xml:space="preserve">”). Executive’s annual base salary, as in effect from time to time, is hereinafter referred to as the </w:t>
      </w:r>
      <w:r>
        <w:rPr>
          <w:rFonts w:ascii="Arial" w:cs="Arial" w:eastAsia="Arial" w:hAnsi="Arial"/>
          <w:sz w:val="19"/>
          <w:szCs w:val="19"/>
          <w:color w:val="1C1C1C"/>
        </w:rPr>
        <w:t>“</w:t>
      </w:r>
      <w:r>
        <w:rPr>
          <w:rFonts w:ascii="Arial" w:cs="Arial" w:eastAsia="Arial" w:hAnsi="Arial"/>
          <w:sz w:val="19"/>
          <w:szCs w:val="19"/>
          <w:u w:val="single" w:color="auto"/>
          <w:color w:val="1C1C1C"/>
        </w:rPr>
        <w:t>Base</w:t>
      </w:r>
      <w:r>
        <w:rPr>
          <w:rFonts w:ascii="Arial" w:cs="Arial" w:eastAsia="Arial" w:hAnsi="Arial"/>
          <w:sz w:val="19"/>
          <w:szCs w:val="19"/>
          <w:color w:val="070707"/>
        </w:rPr>
        <w:t xml:space="preserve"> </w:t>
      </w:r>
      <w:r>
        <w:rPr>
          <w:rFonts w:ascii="Arial" w:cs="Arial" w:eastAsia="Arial" w:hAnsi="Arial"/>
          <w:sz w:val="19"/>
          <w:szCs w:val="19"/>
          <w:u w:val="single" w:color="auto"/>
          <w:color w:val="070707"/>
        </w:rPr>
        <w:t>Salary</w:t>
      </w:r>
      <w:r>
        <w:rPr>
          <w:rFonts w:ascii="Arial" w:cs="Arial" w:eastAsia="Arial" w:hAnsi="Arial"/>
          <w:sz w:val="19"/>
          <w:szCs w:val="19"/>
          <w:color w:val="070707"/>
        </w:rPr>
        <w:t>.”</w:t>
      </w:r>
    </w:p>
    <w:p>
      <w:pPr>
        <w:sectPr>
          <w:pgSz w:w="11900" w:h="16838" w:orient="portrait"/>
          <w:cols w:equalWidth="0" w:num="1">
            <w:col w:w="11240"/>
          </w:cols>
          <w:pgMar w:left="320" w:top="770" w:right="339" w:bottom="1440" w:gutter="0" w:footer="0" w:header="0"/>
        </w:sectPr>
      </w:pPr>
    </w:p>
    <w:p>
      <w:pPr>
        <w:spacing w:after="0" w:line="161" w:lineRule="exact"/>
        <w:rPr>
          <w:sz w:val="20"/>
          <w:szCs w:val="20"/>
          <w:color w:val="auto"/>
        </w:rPr>
      </w:pPr>
    </w:p>
    <w:p>
      <w:pPr>
        <w:ind w:left="1740"/>
        <w:spacing w:after="0"/>
        <w:rPr>
          <w:sz w:val="20"/>
          <w:szCs w:val="20"/>
          <w:color w:val="auto"/>
        </w:rPr>
      </w:pPr>
      <w:r>
        <w:rPr>
          <w:rFonts w:ascii="Arial" w:cs="Arial" w:eastAsia="Arial" w:hAnsi="Arial"/>
          <w:sz w:val="21"/>
          <w:szCs w:val="21"/>
          <w:color w:val="070707"/>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70707"/>
        </w:rPr>
        <w:t>in the amount of $92,000.</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070707"/>
        </w:rPr>
        <w:t>Within 30 days from the Effective Date, the Company will pay a one-time signing bonus</w:t>
      </w:r>
    </w:p>
    <w:p>
      <w:pPr>
        <w:spacing w:after="0" w:line="438" w:lineRule="exact"/>
        <w:rPr>
          <w:sz w:val="20"/>
          <w:szCs w:val="20"/>
          <w:color w:val="auto"/>
        </w:rPr>
      </w:pPr>
    </w:p>
    <w:p>
      <w:pPr>
        <w:sectPr>
          <w:pgSz w:w="11900" w:h="16838" w:orient="portrait"/>
          <w:cols w:equalWidth="0" w:num="2">
            <w:col w:w="3100" w:space="720"/>
            <w:col w:w="7420"/>
          </w:cols>
          <w:pgMar w:left="320" w:top="770" w:right="339" w:bottom="1440" w:gutter="0" w:footer="0" w:header="0"/>
          <w:type w:val="continuous"/>
        </w:sectPr>
      </w:pPr>
    </w:p>
    <w:p>
      <w:pPr>
        <w:spacing w:after="0" w:line="39" w:lineRule="exact"/>
        <w:rPr>
          <w:sz w:val="20"/>
          <w:szCs w:val="20"/>
          <w:color w:val="auto"/>
        </w:rPr>
      </w:pPr>
    </w:p>
    <w:p>
      <w:pPr>
        <w:ind w:left="1740"/>
        <w:spacing w:after="0"/>
        <w:tabs>
          <w:tab w:leader="none" w:pos="3800" w:val="left"/>
        </w:tabs>
        <w:rPr>
          <w:sz w:val="20"/>
          <w:szCs w:val="20"/>
          <w:color w:val="auto"/>
        </w:rPr>
      </w:pPr>
      <w:r>
        <w:rPr>
          <w:rFonts w:ascii="Arial" w:cs="Arial" w:eastAsia="Arial" w:hAnsi="Arial"/>
          <w:sz w:val="19"/>
          <w:szCs w:val="19"/>
          <w:color w:val="070707"/>
        </w:rPr>
        <w:t>(c)</w:t>
      </w:r>
      <w:r>
        <w:rPr>
          <w:sz w:val="20"/>
          <w:szCs w:val="20"/>
          <w:color w:val="auto"/>
        </w:rPr>
        <w:tab/>
      </w:r>
      <w:r>
        <w:rPr>
          <w:rFonts w:ascii="Arial" w:cs="Arial" w:eastAsia="Arial" w:hAnsi="Arial"/>
          <w:sz w:val="19"/>
          <w:szCs w:val="19"/>
          <w:color w:val="070707"/>
        </w:rPr>
        <w:t>If, at any time during the Measurement Period (defined below), the market value of the</w:t>
      </w:r>
    </w:p>
    <w:p>
      <w:pPr>
        <w:sectPr>
          <w:pgSz w:w="11900" w:h="16838" w:orient="portrait"/>
          <w:cols w:equalWidth="0" w:num="1">
            <w:col w:w="11240"/>
          </w:cols>
          <w:pgMar w:left="320" w:top="770" w:right="339" w:bottom="1440" w:gutter="0" w:footer="0" w:header="0"/>
          <w:type w:val="continuous"/>
        </w:sectPr>
      </w:pPr>
    </w:p>
    <w:p>
      <w:pPr>
        <w:spacing w:after="0" w:line="45" w:lineRule="exact"/>
        <w:rPr>
          <w:sz w:val="20"/>
          <w:szCs w:val="20"/>
          <w:color w:val="auto"/>
        </w:rPr>
      </w:pPr>
    </w:p>
    <w:p>
      <w:pPr>
        <w:spacing w:after="0" w:line="230" w:lineRule="auto"/>
        <w:rPr>
          <w:sz w:val="20"/>
          <w:szCs w:val="20"/>
          <w:color w:val="auto"/>
        </w:rPr>
      </w:pPr>
      <w:r>
        <w:rPr>
          <w:rFonts w:ascii="Arial" w:cs="Arial" w:eastAsia="Arial" w:hAnsi="Arial"/>
          <w:sz w:val="21"/>
          <w:szCs w:val="21"/>
          <w:color w:val="070707"/>
        </w:rPr>
        <w:t>Company’s Common Stock, as quoted on the Nasdaq Stock Market or other principal exchange on which the Company’s Common Stock is traded (the “</w:t>
      </w:r>
      <w:r>
        <w:rPr>
          <w:rFonts w:ascii="Arial" w:cs="Arial" w:eastAsia="Arial" w:hAnsi="Arial"/>
          <w:sz w:val="21"/>
          <w:szCs w:val="21"/>
          <w:u w:val="single" w:color="auto"/>
          <w:color w:val="070707"/>
        </w:rPr>
        <w:t>Common Stock</w:t>
      </w:r>
      <w:r>
        <w:rPr>
          <w:rFonts w:ascii="Arial" w:cs="Arial" w:eastAsia="Arial" w:hAnsi="Arial"/>
          <w:sz w:val="21"/>
          <w:szCs w:val="21"/>
          <w:color w:val="070707"/>
        </w:rPr>
        <w:t>”), exceeds $1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138" w:name="page139"/>
    <w:bookmarkEnd w:id="138"/>
    <w:p>
      <w:pPr>
        <w:jc w:val="both"/>
        <w:spacing w:after="0" w:line="245" w:lineRule="auto"/>
        <w:rPr>
          <w:sz w:val="20"/>
          <w:szCs w:val="20"/>
          <w:color w:val="auto"/>
        </w:rPr>
      </w:pPr>
      <w:r>
        <w:rPr>
          <w:rFonts w:ascii="Arial" w:cs="Arial" w:eastAsia="Arial" w:hAnsi="Arial"/>
          <w:sz w:val="20"/>
          <w:szCs w:val="20"/>
          <w:color w:val="070707"/>
        </w:rPr>
        <w:t>billion (determined on an as-converted basis) for either 30 consecutive calendar days (the first such occurrence being the “</w:t>
      </w:r>
      <w:r>
        <w:rPr>
          <w:rFonts w:ascii="Arial" w:cs="Arial" w:eastAsia="Arial" w:hAnsi="Arial"/>
          <w:sz w:val="20"/>
          <w:szCs w:val="20"/>
          <w:u w:val="single" w:color="auto"/>
          <w:color w:val="070707"/>
        </w:rPr>
        <w:t>Capitalization Milestone</w:t>
      </w:r>
      <w:r>
        <w:rPr>
          <w:rFonts w:ascii="Arial" w:cs="Arial" w:eastAsia="Arial" w:hAnsi="Arial"/>
          <w:sz w:val="20"/>
          <w:szCs w:val="20"/>
          <w:color w:val="070707"/>
        </w:rPr>
        <w:t>”), or (ii) upon a Change of Control of the Company, then the Company shall pay to Executive the sum of $10,000,000, which the Company shall have the right (in the Company’s sole and absolute discretion) to pay in cash, Company Common Stock or a combination of cash and Common Stock (the “</w:t>
      </w:r>
      <w:r>
        <w:rPr>
          <w:rFonts w:ascii="Arial" w:cs="Arial" w:eastAsia="Arial" w:hAnsi="Arial"/>
          <w:sz w:val="20"/>
          <w:szCs w:val="20"/>
          <w:u w:val="single" w:color="auto"/>
          <w:color w:val="070707"/>
        </w:rPr>
        <w:t>Performance Bonus</w:t>
      </w:r>
      <w:r>
        <w:rPr>
          <w:rFonts w:ascii="Arial" w:cs="Arial" w:eastAsia="Arial" w:hAnsi="Arial"/>
          <w:sz w:val="20"/>
          <w:szCs w:val="20"/>
          <w:color w:val="070707"/>
        </w:rPr>
        <w:t>”). The value of any Common Stock issued to Executive pursuant to this Section 3(c) shall be based on the 10-day volume-weighted average price of the Common Stock ending one trading day before the payment date. The Performance Bonus shall be paid within 30 days of the date when Capitalization Milestone is achieved, or such later date as may be specified by Executive (but in no event later than March 15 of the following year in which the Performance Bonus is earned). For purposes of this Section 3(c), the “Measurement Period” shall mean either: (i) the duration of the Employment Term in the event that Executive’s employment is terminated for Cause or without Good Reason, or (ii) in the case of a termination of Executive’s employment by the Company without Cause or by Executive for Good Reason, then either: (x) the duration of the Employment Term, plus a period of nine months post-termination, if such termination occurs prior to December 31, 2022, or (y) if such termination occurs on or after December 31, 2022, then the duration of the Employment Term, plus a period of six months post-termination.</w:t>
      </w:r>
    </w:p>
    <w:p>
      <w:pPr>
        <w:spacing w:after="0" w:line="197" w:lineRule="exact"/>
        <w:rPr>
          <w:sz w:val="20"/>
          <w:szCs w:val="20"/>
          <w:color w:val="auto"/>
        </w:rPr>
      </w:pPr>
    </w:p>
    <w:p>
      <w:pPr>
        <w:ind w:left="1740"/>
        <w:spacing w:after="0"/>
        <w:tabs>
          <w:tab w:leader="none" w:pos="3720" w:val="left"/>
        </w:tabs>
        <w:rPr>
          <w:sz w:val="20"/>
          <w:szCs w:val="20"/>
          <w:color w:val="auto"/>
        </w:rPr>
      </w:pPr>
      <w:r>
        <w:rPr>
          <w:rFonts w:ascii="Arial" w:cs="Arial" w:eastAsia="Arial" w:hAnsi="Arial"/>
          <w:sz w:val="21"/>
          <w:szCs w:val="21"/>
          <w:color w:val="auto"/>
        </w:rPr>
        <w:t>4.</w:t>
      </w:r>
      <w:r>
        <w:rPr>
          <w:sz w:val="20"/>
          <w:szCs w:val="20"/>
          <w:color w:val="auto"/>
        </w:rPr>
        <w:tab/>
      </w:r>
      <w:r>
        <w:rPr>
          <w:rFonts w:ascii="Arial" w:cs="Arial" w:eastAsia="Arial" w:hAnsi="Arial"/>
          <w:sz w:val="21"/>
          <w:szCs w:val="21"/>
          <w:u w:val="single" w:color="auto"/>
          <w:color w:val="auto"/>
        </w:rPr>
        <w:t>Incentive Compensation; Equity Awards</w:t>
      </w:r>
      <w:r>
        <w:rPr>
          <w:rFonts w:ascii="Arial" w:cs="Arial" w:eastAsia="Arial" w:hAnsi="Arial"/>
          <w:sz w:val="21"/>
          <w:szCs w:val="21"/>
          <w:color w:val="auto"/>
        </w:rPr>
        <w:t>.</w:t>
      </w:r>
    </w:p>
    <w:p>
      <w:pPr>
        <w:spacing w:after="0" w:line="223" w:lineRule="exact"/>
        <w:rPr>
          <w:sz w:val="20"/>
          <w:szCs w:val="20"/>
          <w:color w:val="auto"/>
        </w:rPr>
      </w:pPr>
    </w:p>
    <w:p>
      <w:pPr>
        <w:jc w:val="both"/>
        <w:ind w:firstLine="1732"/>
        <w:spacing w:after="0" w:line="250" w:lineRule="auto"/>
        <w:tabs>
          <w:tab w:leader="none" w:pos="2577" w:val="left"/>
        </w:tabs>
        <w:numPr>
          <w:ilvl w:val="0"/>
          <w:numId w:val="95"/>
        </w:numPr>
        <w:rPr>
          <w:rFonts w:ascii="Arial" w:cs="Arial" w:eastAsia="Arial" w:hAnsi="Arial"/>
          <w:sz w:val="20"/>
          <w:szCs w:val="20"/>
          <w:color w:val="auto"/>
        </w:rPr>
      </w:pPr>
      <w:r>
        <w:rPr>
          <w:rFonts w:ascii="Arial" w:cs="Arial" w:eastAsia="Arial" w:hAnsi="Arial"/>
          <w:sz w:val="20"/>
          <w:szCs w:val="20"/>
          <w:color w:val="auto"/>
        </w:rPr>
        <w:t>During the Employment Term, Executive shall be eligible to receive an annual cash bonus based on performance objectives established by the Committee each year (the “</w:t>
      </w:r>
      <w:r>
        <w:rPr>
          <w:rFonts w:ascii="Arial" w:cs="Arial" w:eastAsia="Arial" w:hAnsi="Arial"/>
          <w:sz w:val="20"/>
          <w:szCs w:val="20"/>
          <w:u w:val="single" w:color="auto"/>
          <w:color w:val="auto"/>
        </w:rPr>
        <w:t>Annual Bonus</w:t>
      </w:r>
      <w:r>
        <w:rPr>
          <w:rFonts w:ascii="Arial" w:cs="Arial" w:eastAsia="Arial" w:hAnsi="Arial"/>
          <w:sz w:val="20"/>
          <w:szCs w:val="20"/>
          <w:color w:val="auto"/>
        </w:rPr>
        <w:t>”). Executive’s target Annual Bonus amount will be the percentage of Base Salary designated as the target by the Committee, which annual target amount shall equal 60% of the Base Salary then in effect (the “</w:t>
      </w:r>
      <w:r>
        <w:rPr>
          <w:rFonts w:ascii="Arial" w:cs="Arial" w:eastAsia="Arial" w:hAnsi="Arial"/>
          <w:sz w:val="20"/>
          <w:szCs w:val="20"/>
          <w:u w:val="single" w:color="auto"/>
          <w:color w:val="auto"/>
        </w:rPr>
        <w:t>Annual Target Bonus</w:t>
      </w:r>
      <w:r>
        <w:rPr>
          <w:rFonts w:ascii="Arial" w:cs="Arial" w:eastAsia="Arial" w:hAnsi="Arial"/>
          <w:sz w:val="20"/>
          <w:szCs w:val="20"/>
          <w:color w:val="auto"/>
        </w:rPr>
        <w:t>”). Notwithstanding the preceding, the Annual Bonus, if any, may be below (including zero), at, or above the target based upon the achievement of the performance objectives.</w:t>
      </w:r>
    </w:p>
    <w:p>
      <w:pPr>
        <w:spacing w:after="0" w:line="194" w:lineRule="exact"/>
        <w:rPr>
          <w:rFonts w:ascii="Arial" w:cs="Arial" w:eastAsia="Arial" w:hAnsi="Arial"/>
          <w:sz w:val="20"/>
          <w:szCs w:val="20"/>
          <w:color w:val="auto"/>
        </w:rPr>
      </w:pPr>
    </w:p>
    <w:p>
      <w:pPr>
        <w:jc w:val="both"/>
        <w:ind w:firstLine="1732"/>
        <w:spacing w:after="0" w:line="235" w:lineRule="auto"/>
        <w:tabs>
          <w:tab w:leader="none" w:pos="2588" w:val="left"/>
        </w:tabs>
        <w:numPr>
          <w:ilvl w:val="0"/>
          <w:numId w:val="95"/>
        </w:numPr>
        <w:rPr>
          <w:rFonts w:ascii="Arial" w:cs="Arial" w:eastAsia="Arial" w:hAnsi="Arial"/>
          <w:sz w:val="21"/>
          <w:szCs w:val="21"/>
          <w:color w:val="auto"/>
        </w:rPr>
      </w:pPr>
      <w:r>
        <w:rPr>
          <w:rFonts w:ascii="Arial" w:cs="Arial" w:eastAsia="Arial" w:hAnsi="Arial"/>
          <w:sz w:val="21"/>
          <w:szCs w:val="21"/>
          <w:color w:val="auto"/>
        </w:rPr>
        <w:t>As of the Effective Date, Executive shall be hereby granted an option to purchase up to 18,278.140 shares of Series X</w:t>
      </w:r>
      <w:r>
        <w:rPr>
          <w:rFonts w:ascii="Arial" w:cs="Arial" w:eastAsia="Arial" w:hAnsi="Arial"/>
          <w:sz w:val="17"/>
          <w:szCs w:val="17"/>
          <w:color w:val="auto"/>
        </w:rPr>
        <w:t>1</w:t>
      </w:r>
      <w:r>
        <w:rPr>
          <w:rFonts w:ascii="Arial" w:cs="Arial" w:eastAsia="Arial" w:hAnsi="Arial"/>
          <w:sz w:val="21"/>
          <w:szCs w:val="21"/>
          <w:color w:val="auto"/>
        </w:rPr>
        <w:t xml:space="preserve"> Preferred Stock (“</w:t>
      </w:r>
      <w:r>
        <w:rPr>
          <w:rFonts w:ascii="Arial" w:cs="Arial" w:eastAsia="Arial" w:hAnsi="Arial"/>
          <w:sz w:val="21"/>
          <w:szCs w:val="21"/>
          <w:u w:val="single" w:color="auto"/>
          <w:color w:val="auto"/>
        </w:rPr>
        <w:t>Preferred Stock</w:t>
      </w:r>
      <w:r>
        <w:rPr>
          <w:rFonts w:ascii="Arial" w:cs="Arial" w:eastAsia="Arial" w:hAnsi="Arial"/>
          <w:sz w:val="21"/>
          <w:szCs w:val="21"/>
          <w:color w:val="auto"/>
        </w:rPr>
        <w:t>”) at a price of $500 per share (the “</w:t>
      </w:r>
      <w:r>
        <w:rPr>
          <w:rFonts w:ascii="Arial" w:cs="Arial" w:eastAsia="Arial" w:hAnsi="Arial"/>
          <w:sz w:val="21"/>
          <w:szCs w:val="21"/>
          <w:u w:val="single" w:color="auto"/>
          <w:color w:val="auto"/>
        </w:rPr>
        <w:t>Preferred Option</w:t>
      </w:r>
      <w:r>
        <w:rPr>
          <w:rFonts w:ascii="Arial" w:cs="Arial" w:eastAsia="Arial" w:hAnsi="Arial"/>
          <w:sz w:val="21"/>
          <w:szCs w:val="21"/>
          <w:color w:val="auto"/>
        </w:rPr>
        <w:t>”). The Preferred Option shall vest and become exercisable with respect to 4,569.535 shares on the first anniversary of the Effective Date, and then with respect to 380.795 shares monthly thereafter over the following 36 months, subject to Executive’s continued service through each applicable vesting date. In the event that the Anelixis Acquisition is not consummated within 30 days from the Effective Date, then the Preferred Option shall expire at such time.</w:t>
      </w:r>
    </w:p>
    <w:p>
      <w:pPr>
        <w:spacing w:after="0" w:line="205" w:lineRule="exact"/>
        <w:rPr>
          <w:rFonts w:ascii="Arial" w:cs="Arial" w:eastAsia="Arial" w:hAnsi="Arial"/>
          <w:sz w:val="21"/>
          <w:szCs w:val="21"/>
          <w:color w:val="auto"/>
        </w:rPr>
      </w:pPr>
    </w:p>
    <w:p>
      <w:pPr>
        <w:jc w:val="both"/>
        <w:ind w:firstLine="1732"/>
        <w:spacing w:after="0" w:line="248" w:lineRule="auto"/>
        <w:tabs>
          <w:tab w:leader="none" w:pos="2577"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 during the Employment Term, the majority of the Assumed Warrants (defined below) are exercised in full, then at such time, Executive shall receive a proportionate grant of Common Stock that in the aggregate shall be equal to one percent of the total number of shares of Common Stock on a fully-diluted basis (excluding all of the Assumed Warrants and any shares issued upon the exercise of the Assumed Warrants, but including any outstanding Preferred Stock on an as-converted basis, without regard to any beneficial ownership conversion limitations that may otherwise apply) immediately following such exercise of the majority of such Assumed Warrants (the “</w:t>
      </w:r>
      <w:r>
        <w:rPr>
          <w:rFonts w:ascii="Arial" w:cs="Arial" w:eastAsia="Arial" w:hAnsi="Arial"/>
          <w:sz w:val="20"/>
          <w:szCs w:val="20"/>
          <w:u w:val="single" w:color="auto"/>
          <w:color w:val="auto"/>
        </w:rPr>
        <w:t>Incentive Shares</w:t>
      </w:r>
      <w:r>
        <w:rPr>
          <w:rFonts w:ascii="Arial" w:cs="Arial" w:eastAsia="Arial" w:hAnsi="Arial"/>
          <w:sz w:val="20"/>
          <w:szCs w:val="20"/>
          <w:color w:val="auto"/>
        </w:rPr>
        <w:t>”). For the avoidance of doubt, the number of shares of Common Stock that comprise the Incentive Shares shall be determined as of the date the majority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39" w:name="page140"/>
    <w:bookmarkEnd w:id="139"/>
    <w:p>
      <w:pPr>
        <w:jc w:val="both"/>
        <w:spacing w:after="0" w:line="260" w:lineRule="auto"/>
        <w:rPr>
          <w:sz w:val="20"/>
          <w:szCs w:val="20"/>
          <w:color w:val="auto"/>
        </w:rPr>
      </w:pPr>
      <w:r>
        <w:rPr>
          <w:rFonts w:ascii="Arial" w:cs="Arial" w:eastAsia="Arial" w:hAnsi="Arial"/>
          <w:sz w:val="19"/>
          <w:szCs w:val="19"/>
          <w:color w:val="auto"/>
        </w:rPr>
        <w:t xml:space="preserve">Assumed Warrants are exercised, provided, that, in the event the Assumed Warrants are not fully exercised at such time, any unissued Incentive Shares shall be issued if and when such additional portion of the Assumed Warrants are exercised. The Incentive Shares shall be issued within 30 days following the exercise in full of the applicable Assumed Warrants, or such later date as may be directed by the Executive, but not later than March 15 of the following year after such milestone is met; provided, however, that the Company shall have the right (in the Company’s sole and absolute discretion) to pay the Incentive Shares in cash, Company Common Stock or a combination of cash and Common Stock. </w:t>
      </w:r>
      <w:r>
        <w:rPr>
          <w:rFonts w:ascii="Arial" w:cs="Arial" w:eastAsia="Arial" w:hAnsi="Arial"/>
          <w:sz w:val="19"/>
          <w:szCs w:val="19"/>
          <w:color w:val="070707"/>
        </w:rPr>
        <w:t>The value of any Common Stock issued to Executive pursuant to this Section 4(c) shall be</w:t>
      </w:r>
      <w:r>
        <w:rPr>
          <w:rFonts w:ascii="Arial" w:cs="Arial" w:eastAsia="Arial" w:hAnsi="Arial"/>
          <w:sz w:val="19"/>
          <w:szCs w:val="19"/>
          <w:color w:val="auto"/>
        </w:rPr>
        <w:t xml:space="preserve"> </w:t>
      </w:r>
      <w:r>
        <w:rPr>
          <w:rFonts w:ascii="Arial" w:cs="Arial" w:eastAsia="Arial" w:hAnsi="Arial"/>
          <w:sz w:val="19"/>
          <w:szCs w:val="19"/>
          <w:color w:val="070707"/>
        </w:rPr>
        <w:t xml:space="preserve">based on the 10-day volume-weighted average price of the Common Stock ending one trading day before the payment date. </w:t>
      </w:r>
      <w:r>
        <w:rPr>
          <w:rFonts w:ascii="Arial" w:cs="Arial" w:eastAsia="Arial" w:hAnsi="Arial"/>
          <w:sz w:val="19"/>
          <w:szCs w:val="19"/>
          <w:color w:val="000000"/>
        </w:rPr>
        <w:t>For</w:t>
      </w:r>
      <w:r>
        <w:rPr>
          <w:rFonts w:ascii="Arial" w:cs="Arial" w:eastAsia="Arial" w:hAnsi="Arial"/>
          <w:sz w:val="19"/>
          <w:szCs w:val="19"/>
          <w:color w:val="070707"/>
        </w:rPr>
        <w:t xml:space="preserve"> </w:t>
      </w:r>
      <w:r>
        <w:rPr>
          <w:rFonts w:ascii="Arial" w:cs="Arial" w:eastAsia="Arial" w:hAnsi="Arial"/>
          <w:sz w:val="19"/>
          <w:szCs w:val="19"/>
          <w:color w:val="000000"/>
        </w:rPr>
        <w:t>purposes of this Section 4(c), the “</w:t>
      </w:r>
      <w:r>
        <w:rPr>
          <w:rFonts w:ascii="Arial" w:cs="Arial" w:eastAsia="Arial" w:hAnsi="Arial"/>
          <w:sz w:val="19"/>
          <w:szCs w:val="19"/>
          <w:u w:val="single" w:color="auto"/>
          <w:color w:val="000000"/>
        </w:rPr>
        <w:t>Assumed Warrants</w:t>
      </w:r>
      <w:r>
        <w:rPr>
          <w:rFonts w:ascii="Arial" w:cs="Arial" w:eastAsia="Arial" w:hAnsi="Arial"/>
          <w:sz w:val="19"/>
          <w:szCs w:val="19"/>
          <w:color w:val="000000"/>
        </w:rPr>
        <w:t>” shall mean those certain Common Stock warrants representing the right to acquire approximately 18,896,646 shares of Common Stock issued by Anelixis Therapeutics, Inc. (“</w:t>
      </w:r>
      <w:r>
        <w:rPr>
          <w:rFonts w:ascii="Arial" w:cs="Arial" w:eastAsia="Arial" w:hAnsi="Arial"/>
          <w:sz w:val="19"/>
          <w:szCs w:val="19"/>
          <w:u w:val="single" w:color="auto"/>
          <w:color w:val="000000"/>
        </w:rPr>
        <w:t>Anelixis</w:t>
      </w:r>
      <w:r>
        <w:rPr>
          <w:rFonts w:ascii="Arial" w:cs="Arial" w:eastAsia="Arial" w:hAnsi="Arial"/>
          <w:sz w:val="19"/>
          <w:szCs w:val="19"/>
          <w:color w:val="000000"/>
        </w:rPr>
        <w:t>”), as and when assumed by the Company upon the Company’s acquisition of Anelixis (the “</w:t>
      </w:r>
      <w:r>
        <w:rPr>
          <w:rFonts w:ascii="Arial" w:cs="Arial" w:eastAsia="Arial" w:hAnsi="Arial"/>
          <w:sz w:val="19"/>
          <w:szCs w:val="19"/>
          <w:u w:val="single" w:color="auto"/>
          <w:color w:val="000000"/>
        </w:rPr>
        <w:t>Anelixis Acquisition</w:t>
      </w:r>
      <w:r>
        <w:rPr>
          <w:rFonts w:ascii="Arial" w:cs="Arial" w:eastAsia="Arial" w:hAnsi="Arial"/>
          <w:sz w:val="19"/>
          <w:szCs w:val="19"/>
          <w:color w:val="000000"/>
        </w:rPr>
        <w:t>”).</w:t>
      </w:r>
    </w:p>
    <w:p>
      <w:pPr>
        <w:spacing w:after="0" w:line="186" w:lineRule="exact"/>
        <w:rPr>
          <w:sz w:val="20"/>
          <w:szCs w:val="20"/>
          <w:color w:val="auto"/>
        </w:rPr>
      </w:pPr>
    </w:p>
    <w:p>
      <w:pPr>
        <w:ind w:firstLine="1732"/>
        <w:spacing w:after="0" w:line="252" w:lineRule="auto"/>
        <w:tabs>
          <w:tab w:leader="none" w:pos="2588"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Preferred Option and Incentive Shares will be subject to stockholder approval no later than the 2021 Annual Meeting of Stockholders.</w:t>
      </w:r>
    </w:p>
    <w:p>
      <w:pPr>
        <w:spacing w:after="0" w:line="189" w:lineRule="exact"/>
        <w:rPr>
          <w:sz w:val="20"/>
          <w:szCs w:val="20"/>
          <w:color w:val="auto"/>
        </w:rPr>
      </w:pPr>
    </w:p>
    <w:p>
      <w:pPr>
        <w:jc w:val="both"/>
        <w:ind w:firstLine="1729"/>
        <w:spacing w:after="0" w:line="238" w:lineRule="auto"/>
        <w:rPr>
          <w:sz w:val="20"/>
          <w:szCs w:val="20"/>
          <w:color w:val="auto"/>
        </w:rPr>
      </w:pPr>
      <w:r>
        <w:rPr>
          <w:rFonts w:ascii="Arial" w:cs="Arial" w:eastAsia="Arial" w:hAnsi="Arial"/>
          <w:sz w:val="21"/>
          <w:szCs w:val="21"/>
          <w:color w:val="070707"/>
        </w:rPr>
        <w:t xml:space="preserve">5. </w:t>
      </w:r>
      <w:r>
        <w:rPr>
          <w:rFonts w:ascii="Arial" w:cs="Arial" w:eastAsia="Arial" w:hAnsi="Arial"/>
          <w:sz w:val="21"/>
          <w:szCs w:val="21"/>
          <w:u w:val="single" w:color="auto"/>
          <w:color w:val="000000"/>
        </w:rPr>
        <w:t>Employee Benefits</w:t>
      </w:r>
      <w:r>
        <w:rPr>
          <w:rFonts w:ascii="Arial" w:cs="Arial" w:eastAsia="Arial" w:hAnsi="Arial"/>
          <w:sz w:val="21"/>
          <w:szCs w:val="21"/>
          <w:color w:val="000000"/>
        </w:rPr>
        <w:t>. During the Employment Term, Executive shall be entitled to</w:t>
      </w:r>
      <w:r>
        <w:rPr>
          <w:rFonts w:ascii="Arial" w:cs="Arial" w:eastAsia="Arial" w:hAnsi="Arial"/>
          <w:sz w:val="21"/>
          <w:szCs w:val="21"/>
          <w:color w:val="070707"/>
        </w:rPr>
        <w:t xml:space="preserve"> </w:t>
      </w:r>
      <w:r>
        <w:rPr>
          <w:rFonts w:ascii="Arial" w:cs="Arial" w:eastAsia="Arial" w:hAnsi="Arial"/>
          <w:sz w:val="21"/>
          <w:szCs w:val="21"/>
          <w:color w:val="000000"/>
        </w:rPr>
        <w:t xml:space="preserve">participate in the Company’s employee </w:t>
      </w:r>
      <w:r>
        <w:rPr>
          <w:rFonts w:ascii="Arial" w:cs="Arial" w:eastAsia="Arial" w:hAnsi="Arial"/>
          <w:sz w:val="21"/>
          <w:szCs w:val="21"/>
          <w:color w:val="070707"/>
        </w:rPr>
        <w:t>benefit plans as in effect from time to time (collectively “</w:t>
      </w:r>
      <w:r>
        <w:rPr>
          <w:rFonts w:ascii="Arial" w:cs="Arial" w:eastAsia="Arial" w:hAnsi="Arial"/>
          <w:sz w:val="21"/>
          <w:szCs w:val="21"/>
          <w:u w:val="single" w:color="auto"/>
          <w:color w:val="070707"/>
        </w:rPr>
        <w:t>Employee Benefits</w:t>
      </w:r>
      <w:r>
        <w:rPr>
          <w:rFonts w:ascii="Arial" w:cs="Arial" w:eastAsia="Arial" w:hAnsi="Arial"/>
          <w:sz w:val="21"/>
          <w:szCs w:val="21"/>
          <w:color w:val="070707"/>
        </w:rPr>
        <w:t>”), on the same</w:t>
      </w:r>
      <w:r>
        <w:rPr>
          <w:rFonts w:ascii="Arial" w:cs="Arial" w:eastAsia="Arial" w:hAnsi="Arial"/>
          <w:sz w:val="21"/>
          <w:szCs w:val="21"/>
          <w:color w:val="000000"/>
        </w:rPr>
        <w:t xml:space="preserve"> </w:t>
      </w:r>
      <w:r>
        <w:rPr>
          <w:rFonts w:ascii="Arial" w:cs="Arial" w:eastAsia="Arial" w:hAnsi="Arial"/>
          <w:sz w:val="21"/>
          <w:szCs w:val="21"/>
          <w:color w:val="070707"/>
        </w:rPr>
        <w:t>basis as those benefits are generally made available to other senior executives of the Company, in each case to the extent that Executive is eligible under the terms of such plans or programs.</w:t>
      </w:r>
    </w:p>
    <w:p>
      <w:pPr>
        <w:spacing w:after="0" w:line="202"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6. </w:t>
      </w:r>
      <w:r>
        <w:rPr>
          <w:rFonts w:ascii="Arial" w:cs="Arial" w:eastAsia="Arial" w:hAnsi="Arial"/>
          <w:sz w:val="21"/>
          <w:szCs w:val="21"/>
          <w:u w:val="single" w:color="auto"/>
          <w:color w:val="auto"/>
        </w:rPr>
        <w:t>Business Expenses</w:t>
      </w:r>
      <w:r>
        <w:rPr>
          <w:rFonts w:ascii="Arial" w:cs="Arial" w:eastAsia="Arial" w:hAnsi="Arial"/>
          <w:sz w:val="21"/>
          <w:szCs w:val="21"/>
          <w:color w:val="auto"/>
        </w:rPr>
        <w:t>. During the Employment Term, reasonable business expenses incurred by Executive in the performance of Executive’s duties hereunder shall be advanced or promptly reimbursed by the Company in accordance with Company policies.</w:t>
      </w:r>
    </w:p>
    <w:p>
      <w:pPr>
        <w:spacing w:after="0" w:line="201"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auto"/>
        </w:rPr>
        <w:t xml:space="preserve">7. </w:t>
      </w: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The Employment Term and Executive’s employment may be terminated by the Company at any time and for any reason upon Notice to Executive and by Executive upon at least 30 days’ advance Notice of any such resignation of Executive’s employment. Notwithstanding any other provision of this Agreement, the provisions of this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shall exclusively govern Executive’s rights to payment of compensation, severance, Employee Benefits and business expenses upon termination of employment with the Company.</w:t>
      </w:r>
    </w:p>
    <w:p>
      <w:pPr>
        <w:spacing w:after="0" w:line="205" w:lineRule="exact"/>
        <w:rPr>
          <w:sz w:val="20"/>
          <w:szCs w:val="20"/>
          <w:color w:val="auto"/>
        </w:rPr>
      </w:pPr>
    </w:p>
    <w:p>
      <w:pPr>
        <w:ind w:left="1740"/>
        <w:spacing w:after="0"/>
        <w:tabs>
          <w:tab w:leader="none" w:pos="38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u w:val="single" w:color="auto"/>
          <w:color w:val="auto"/>
        </w:rPr>
        <w:t>By the Company for Cause; By Executive without Good Reason.</w:t>
      </w:r>
    </w:p>
    <w:p>
      <w:pPr>
        <w:spacing w:after="0" w:line="223" w:lineRule="exact"/>
        <w:rPr>
          <w:sz w:val="20"/>
          <w:szCs w:val="20"/>
          <w:color w:val="auto"/>
        </w:rPr>
      </w:pPr>
    </w:p>
    <w:p>
      <w:pPr>
        <w:ind w:left="4020" w:hanging="1422"/>
        <w:spacing w:after="0"/>
        <w:tabs>
          <w:tab w:leader="none" w:pos="4020" w:val="left"/>
        </w:tabs>
        <w:numPr>
          <w:ilvl w:val="1"/>
          <w:numId w:val="97"/>
        </w:numPr>
        <w:rPr>
          <w:rFonts w:ascii="Arial" w:cs="Arial" w:eastAsia="Arial" w:hAnsi="Arial"/>
          <w:sz w:val="19"/>
          <w:szCs w:val="19"/>
          <w:color w:val="080808"/>
        </w:rPr>
      </w:pPr>
      <w:r>
        <w:rPr>
          <w:rFonts w:ascii="Arial" w:cs="Arial" w:eastAsia="Arial" w:hAnsi="Arial"/>
          <w:sz w:val="20"/>
          <w:szCs w:val="20"/>
          <w:color w:val="auto"/>
        </w:rPr>
        <w:t>The Employment Term and Executive’s employment may be terminated by the</w:t>
      </w:r>
    </w:p>
    <w:p>
      <w:pPr>
        <w:spacing w:after="0" w:line="20" w:lineRule="exact"/>
        <w:rPr>
          <w:rFonts w:ascii="Arial" w:cs="Arial" w:eastAsia="Arial" w:hAnsi="Arial"/>
          <w:sz w:val="19"/>
          <w:szCs w:val="19"/>
          <w:color w:val="080808"/>
        </w:rPr>
      </w:pPr>
    </w:p>
    <w:p>
      <w:pPr>
        <w:spacing w:after="0"/>
        <w:rPr>
          <w:rFonts w:ascii="Arial" w:cs="Arial" w:eastAsia="Arial" w:hAnsi="Arial"/>
          <w:sz w:val="19"/>
          <w:szCs w:val="19"/>
          <w:color w:val="080808"/>
        </w:rPr>
      </w:pPr>
      <w:r>
        <w:rPr>
          <w:rFonts w:ascii="Arial" w:cs="Arial" w:eastAsia="Arial" w:hAnsi="Arial"/>
          <w:sz w:val="20"/>
          <w:szCs w:val="20"/>
          <w:color w:val="auto"/>
        </w:rPr>
        <w:t>Company for Cause and shall terminate automatically upon the effective date of Executive’s resignation without Good Reason.</w:t>
      </w:r>
    </w:p>
    <w:p>
      <w:pPr>
        <w:spacing w:after="0" w:line="216" w:lineRule="exact"/>
        <w:rPr>
          <w:rFonts w:ascii="Arial" w:cs="Arial" w:eastAsia="Arial" w:hAnsi="Arial"/>
          <w:sz w:val="19"/>
          <w:szCs w:val="19"/>
          <w:color w:val="080808"/>
        </w:rPr>
      </w:pPr>
    </w:p>
    <w:p>
      <w:pPr>
        <w:ind w:left="4820" w:hanging="1527"/>
        <w:spacing w:after="0"/>
        <w:tabs>
          <w:tab w:leader="none" w:pos="4820" w:val="left"/>
        </w:tabs>
        <w:numPr>
          <w:ilvl w:val="2"/>
          <w:numId w:val="97"/>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 events:</w:t>
      </w:r>
    </w:p>
    <w:p>
      <w:pPr>
        <w:spacing w:after="0" w:line="31" w:lineRule="exact"/>
        <w:rPr>
          <w:rFonts w:ascii="Arial" w:cs="Arial" w:eastAsia="Arial" w:hAnsi="Arial"/>
          <w:sz w:val="19"/>
          <w:szCs w:val="19"/>
          <w:color w:val="auto"/>
        </w:rPr>
      </w:pPr>
    </w:p>
    <w:p>
      <w:pPr>
        <w:jc w:val="both"/>
        <w:ind w:left="860" w:firstLine="7"/>
        <w:spacing w:after="0" w:line="250" w:lineRule="auto"/>
        <w:tabs>
          <w:tab w:leader="none" w:pos="1122"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Executive’s conviction of, or plea of 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any crime involving dishonesty or moral turpitude or any felony; or (ii) a good faith finding by the Company that Executive has (x) engaged in dishonesty, willful misconduct or gross negligence in connection with the performance of his duties or services to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0" w:name="page141"/>
    <w:bookmarkEnd w:id="140"/>
    <w:p>
      <w:pPr>
        <w:jc w:val="both"/>
        <w:ind w:left="860" w:firstLine="7"/>
        <w:spacing w:after="0" w:line="249" w:lineRule="auto"/>
        <w:tabs>
          <w:tab w:leader="none" w:pos="1185" w:val="left"/>
        </w:tabs>
        <w:numPr>
          <w:ilvl w:val="0"/>
          <w:numId w:val="99"/>
        </w:numPr>
        <w:rPr>
          <w:rFonts w:ascii="Arial" w:cs="Arial" w:eastAsia="Arial" w:hAnsi="Arial"/>
          <w:sz w:val="20"/>
          <w:szCs w:val="20"/>
          <w:color w:val="auto"/>
        </w:rPr>
      </w:pPr>
      <w:r>
        <w:rPr>
          <w:rFonts w:ascii="Arial" w:cs="Arial" w:eastAsia="Arial" w:hAnsi="Arial"/>
          <w:sz w:val="20"/>
          <w:szCs w:val="20"/>
          <w:color w:val="auto"/>
        </w:rPr>
        <w:t>breached any confidentiality, inventions, and non-solicitation agreement between Executive and the Company, or (z) violated Company policies or procedures in a manner that has materially injured, or is reasonably likely to materially injure, the Company’s business or reputation. Notwithstanding anything herein to the contrary, Executive’s employment will be deemed to have been terminated for Cause if it is determined subsequent to Executive’s termination of employment that grounds for termination for Cause existed at the time of Executive’s termination of employment. The determination of Cause shall be made by the Board, in its good faith discretion.</w:t>
      </w:r>
    </w:p>
    <w:p>
      <w:pPr>
        <w:spacing w:after="0" w:line="192" w:lineRule="exact"/>
        <w:rPr>
          <w:rFonts w:ascii="Arial" w:cs="Arial" w:eastAsia="Arial" w:hAnsi="Arial"/>
          <w:sz w:val="20"/>
          <w:szCs w:val="20"/>
          <w:color w:val="auto"/>
        </w:rPr>
      </w:pPr>
    </w:p>
    <w:p>
      <w:pPr>
        <w:jc w:val="both"/>
        <w:ind w:left="860" w:firstLine="2433"/>
        <w:spacing w:after="0" w:line="262" w:lineRule="auto"/>
        <w:tabs>
          <w:tab w:leader="none" w:pos="4798" w:val="left"/>
        </w:tabs>
        <w:numPr>
          <w:ilvl w:val="1"/>
          <w:numId w:val="99"/>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 are undertaken without Executive’s prior written consent: (i) a material adverse change in Executive’s duties, responsibilities, title or reporting relationship, or (ii) a material reduction in Executive’s annualized base salary without his prior written consent (other than aggregate reductions of up to 15% in connection with, and in an amount substantially proportionate to, reductions made by the Company to the annualized base salaries of its other senior executives). To terminate Executive’s employment for Good Reason, Executive must (x) provide notice to the Company of the event giving rise to the Good Reason within 90 days after such event occurs, (y) provide the Company with at least 30 days to cure, and (z) if not cured, resign for Good Reason within 30 days following expiration of the cure period.</w:t>
      </w:r>
    </w:p>
    <w:p>
      <w:pPr>
        <w:spacing w:after="0" w:line="180" w:lineRule="exact"/>
        <w:rPr>
          <w:sz w:val="20"/>
          <w:szCs w:val="20"/>
          <w:color w:val="auto"/>
        </w:rPr>
      </w:pPr>
    </w:p>
    <w:p>
      <w:pPr>
        <w:ind w:left="2600"/>
        <w:spacing w:after="0"/>
        <w:tabs>
          <w:tab w:leader="none" w:pos="4680" w:val="left"/>
        </w:tabs>
        <w:rPr>
          <w:sz w:val="20"/>
          <w:szCs w:val="20"/>
          <w:color w:val="auto"/>
        </w:rPr>
      </w:pPr>
      <w:r>
        <w:rPr>
          <w:rFonts w:ascii="Arial" w:cs="Arial" w:eastAsia="Arial" w:hAnsi="Arial"/>
          <w:sz w:val="19"/>
          <w:szCs w:val="19"/>
          <w:color w:val="080808"/>
        </w:rPr>
        <w:t>(ii)</w:t>
      </w:r>
      <w:r>
        <w:rPr>
          <w:sz w:val="20"/>
          <w:szCs w:val="20"/>
          <w:color w:val="auto"/>
        </w:rPr>
        <w:tab/>
      </w:r>
      <w:r>
        <w:rPr>
          <w:rFonts w:ascii="Arial" w:cs="Arial" w:eastAsia="Arial" w:hAnsi="Arial"/>
          <w:sz w:val="20"/>
          <w:szCs w:val="20"/>
          <w:color w:val="auto"/>
        </w:rPr>
        <w:t>If Executive’s employment is terminated by the Company for Cause, or if</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Executive resigns without Good Reason, Executive shall be entitled to receive:</w:t>
      </w:r>
    </w:p>
    <w:p>
      <w:pPr>
        <w:spacing w:after="0" w:line="205" w:lineRule="exact"/>
        <w:rPr>
          <w:sz w:val="20"/>
          <w:szCs w:val="20"/>
          <w:color w:val="auto"/>
        </w:rPr>
      </w:pPr>
    </w:p>
    <w:p>
      <w:pPr>
        <w:jc w:val="both"/>
        <w:ind w:left="1740" w:firstLine="1463"/>
        <w:spacing w:after="0" w:line="252" w:lineRule="auto"/>
        <w:rPr>
          <w:sz w:val="20"/>
          <w:szCs w:val="20"/>
          <w:color w:val="auto"/>
        </w:rPr>
      </w:pPr>
      <w:r>
        <w:rPr>
          <w:rFonts w:ascii="Arial" w:cs="Arial" w:eastAsia="Arial" w:hAnsi="Arial"/>
          <w:sz w:val="21"/>
          <w:szCs w:val="21"/>
          <w:color w:val="auto"/>
        </w:rPr>
        <w:t>(A) the Base Salary accrued through the date of termination, payable as soon as practicable following the date of such termination or as otherwise required by applicable law;</w:t>
      </w:r>
    </w:p>
    <w:p>
      <w:pPr>
        <w:spacing w:after="0" w:line="163" w:lineRule="exact"/>
        <w:rPr>
          <w:sz w:val="20"/>
          <w:szCs w:val="20"/>
          <w:color w:val="auto"/>
        </w:rPr>
      </w:pPr>
    </w:p>
    <w:p>
      <w:pPr>
        <w:ind w:left="3200"/>
        <w:spacing w:after="0"/>
        <w:tabs>
          <w:tab w:leader="none" w:pos="592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any Annual Bonus earned, but unpaid, as of the date of</w:t>
      </w:r>
    </w:p>
    <w:p>
      <w:pPr>
        <w:spacing w:after="0" w:line="9" w:lineRule="exact"/>
        <w:rPr>
          <w:sz w:val="20"/>
          <w:szCs w:val="20"/>
          <w:color w:val="auto"/>
        </w:rPr>
      </w:pPr>
    </w:p>
    <w:p>
      <w:pPr>
        <w:jc w:val="both"/>
        <w:ind w:left="1740"/>
        <w:spacing w:after="0" w:line="235" w:lineRule="auto"/>
        <w:rPr>
          <w:sz w:val="20"/>
          <w:szCs w:val="20"/>
          <w:color w:val="auto"/>
        </w:rPr>
      </w:pPr>
      <w:r>
        <w:rPr>
          <w:rFonts w:ascii="Arial" w:cs="Arial" w:eastAsia="Arial" w:hAnsi="Arial"/>
          <w:sz w:val="21"/>
          <w:szCs w:val="21"/>
          <w:color w:val="auto"/>
        </w:rPr>
        <w:t>termination for the year immediately preceding the year in which such termination occurs, paid on the date when bonuses are otherwise paid to Company executives, and in all events by March 15</w:t>
      </w:r>
      <w:r>
        <w:rPr>
          <w:rFonts w:ascii="Arial" w:cs="Arial" w:eastAsia="Arial" w:hAnsi="Arial"/>
          <w:sz w:val="17"/>
          <w:szCs w:val="17"/>
          <w:color w:val="auto"/>
        </w:rPr>
        <w:t>th</w:t>
      </w:r>
      <w:r>
        <w:rPr>
          <w:rFonts w:ascii="Arial" w:cs="Arial" w:eastAsia="Arial" w:hAnsi="Arial"/>
          <w:sz w:val="21"/>
          <w:szCs w:val="21"/>
          <w:color w:val="auto"/>
        </w:rPr>
        <w:t xml:space="preserve"> of the calendar year following the year in which such termination occurs;</w:t>
      </w:r>
    </w:p>
    <w:p>
      <w:pPr>
        <w:spacing w:after="0" w:line="175" w:lineRule="exact"/>
        <w:rPr>
          <w:sz w:val="20"/>
          <w:szCs w:val="20"/>
          <w:color w:val="auto"/>
        </w:rPr>
      </w:pPr>
    </w:p>
    <w:p>
      <w:pPr>
        <w:jc w:val="both"/>
        <w:ind w:left="1740" w:firstLine="1463"/>
        <w:spacing w:after="0" w:line="250" w:lineRule="auto"/>
        <w:rPr>
          <w:sz w:val="20"/>
          <w:szCs w:val="20"/>
          <w:color w:val="auto"/>
        </w:rPr>
      </w:pPr>
      <w:r>
        <w:rPr>
          <w:rFonts w:ascii="Arial" w:cs="Arial" w:eastAsia="Arial" w:hAnsi="Arial"/>
          <w:sz w:val="20"/>
          <w:szCs w:val="20"/>
          <w:color w:val="auto"/>
        </w:rPr>
        <w:t>(C) reimbursement, within 30 days following submission by Executive to the Company of appropriate supporting documentation, for any unreimbursed business expenses properly incurred by Executive in accordance with Company policy prior to the date of Executive’s termination; provided, that claims for such reimbursement (accompanied by appropriate supporting documentation) are submitted to the Company within 30 days following the date of Executive’s termination of employment; and</w:t>
      </w:r>
    </w:p>
    <w:p>
      <w:pPr>
        <w:spacing w:after="0" w:line="169" w:lineRule="exact"/>
        <w:rPr>
          <w:sz w:val="20"/>
          <w:szCs w:val="20"/>
          <w:color w:val="auto"/>
        </w:rPr>
      </w:pPr>
    </w:p>
    <w:p>
      <w:pPr>
        <w:jc w:val="both"/>
        <w:ind w:left="1740" w:firstLine="1463"/>
        <w:spacing w:after="0" w:line="241" w:lineRule="auto"/>
        <w:rPr>
          <w:sz w:val="20"/>
          <w:szCs w:val="20"/>
          <w:color w:val="auto"/>
        </w:rPr>
      </w:pPr>
      <w:r>
        <w:rPr>
          <w:rFonts w:ascii="Arial" w:cs="Arial" w:eastAsia="Arial" w:hAnsi="Arial"/>
          <w:sz w:val="21"/>
          <w:szCs w:val="21"/>
          <w:color w:val="auto"/>
        </w:rPr>
        <w:t>(D) such Employee Benefits, if any, as to which Executive may be entitled under the employee benefit plans of the Company, which shall be paid in accordance with the terms of the applicable plans (the amounts described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1" w:name="page142"/>
    <w:bookmarkEnd w:id="141"/>
    <w:p>
      <w:pPr>
        <w:ind w:left="1740"/>
        <w:spacing w:after="0"/>
        <w:rPr>
          <w:sz w:val="20"/>
          <w:szCs w:val="20"/>
          <w:color w:val="auto"/>
        </w:rPr>
      </w:pPr>
      <w:r>
        <w:rPr>
          <w:rFonts w:ascii="Arial" w:cs="Arial" w:eastAsia="Arial" w:hAnsi="Arial"/>
          <w:sz w:val="21"/>
          <w:szCs w:val="21"/>
          <w:color w:val="auto"/>
        </w:rPr>
        <w:t>clauses (A) through (D) hereof, the “</w:t>
      </w:r>
      <w:r>
        <w:rPr>
          <w:rFonts w:ascii="Arial" w:cs="Arial" w:eastAsia="Arial" w:hAnsi="Arial"/>
          <w:sz w:val="21"/>
          <w:szCs w:val="21"/>
          <w:u w:val="single" w:color="auto"/>
          <w:color w:val="auto"/>
        </w:rPr>
        <w:t>Accrued Rights</w:t>
      </w:r>
      <w:r>
        <w:rPr>
          <w:rFonts w:ascii="Arial" w:cs="Arial" w:eastAsia="Arial" w:hAnsi="Arial"/>
          <w:sz w:val="21"/>
          <w:szCs w:val="21"/>
          <w:color w:val="auto"/>
        </w:rPr>
        <w:t>”).</w:t>
      </w:r>
    </w:p>
    <w:p>
      <w:pPr>
        <w:spacing w:after="0" w:line="197" w:lineRule="exact"/>
        <w:rPr>
          <w:sz w:val="20"/>
          <w:szCs w:val="20"/>
          <w:color w:val="auto"/>
        </w:rPr>
      </w:pPr>
    </w:p>
    <w:p>
      <w:pPr>
        <w:jc w:val="both"/>
        <w:ind w:left="860" w:firstLine="798"/>
        <w:spacing w:after="0" w:line="241" w:lineRule="auto"/>
        <w:rPr>
          <w:sz w:val="20"/>
          <w:szCs w:val="20"/>
          <w:color w:val="auto"/>
        </w:rPr>
      </w:pPr>
      <w:r>
        <w:rPr>
          <w:rFonts w:ascii="Arial" w:cs="Arial" w:eastAsia="Arial" w:hAnsi="Arial"/>
          <w:sz w:val="21"/>
          <w:szCs w:val="21"/>
          <w:color w:val="auto"/>
        </w:rPr>
        <w:t xml:space="preserve">Following such termination of Executive’s employment by the Company for Cause or resignation by Executive without Good Reason, except as set forth in this </w:t>
      </w:r>
      <w:r>
        <w:rPr>
          <w:rFonts w:ascii="Arial" w:cs="Arial" w:eastAsia="Arial" w:hAnsi="Arial"/>
          <w:sz w:val="21"/>
          <w:szCs w:val="21"/>
          <w:u w:val="single" w:color="auto"/>
          <w:color w:val="auto"/>
        </w:rPr>
        <w:t>Section 7(a)(ii),</w:t>
      </w:r>
      <w:r>
        <w:rPr>
          <w:rFonts w:ascii="Arial" w:cs="Arial" w:eastAsia="Arial" w:hAnsi="Arial"/>
          <w:sz w:val="21"/>
          <w:szCs w:val="21"/>
          <w:color w:val="auto"/>
        </w:rPr>
        <w:t xml:space="preserve"> Executive shall have no further rights to any compensation or any other benefits under this Agreement.</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r>
              <w:rPr>
                <w:rFonts w:ascii="Arial" w:cs="Arial" w:eastAsia="Arial" w:hAnsi="Arial"/>
                <w:sz w:val="21"/>
                <w:szCs w:val="21"/>
                <w:color w:val="auto"/>
              </w:rPr>
              <w:t>(b)</w:t>
            </w:r>
          </w:p>
        </w:tc>
        <w:tc>
          <w:tcPr>
            <w:tcW w:w="5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21"/>
                <w:szCs w:val="21"/>
                <w:color w:val="auto"/>
              </w:rPr>
              <w:t>Disability or Death.</w:t>
            </w:r>
          </w:p>
        </w:tc>
      </w:tr>
      <w:tr>
        <w:trPr>
          <w:trHeight w:val="20"/>
        </w:trPr>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479"/>
        </w:trPr>
        <w:tc>
          <w:tcPr>
            <w:tcW w:w="1560" w:type="dxa"/>
            <w:vAlign w:val="bottom"/>
          </w:tcPr>
          <w:p>
            <w:pPr>
              <w:ind w:left="860"/>
              <w:spacing w:after="0"/>
              <w:rPr>
                <w:sz w:val="20"/>
                <w:szCs w:val="20"/>
                <w:color w:val="auto"/>
              </w:rPr>
            </w:pPr>
            <w:r>
              <w:rPr>
                <w:rFonts w:ascii="Arial" w:cs="Arial" w:eastAsia="Arial" w:hAnsi="Arial"/>
                <w:sz w:val="20"/>
                <w:szCs w:val="20"/>
                <w:color w:val="080808"/>
              </w:rPr>
              <w:t>(i)</w:t>
            </w:r>
          </w:p>
        </w:tc>
        <w:tc>
          <w:tcPr>
            <w:tcW w:w="520" w:type="dxa"/>
            <w:vAlign w:val="bottom"/>
          </w:tcPr>
          <w:p>
            <w:pPr>
              <w:spacing w:after="0"/>
              <w:rPr>
                <w:sz w:val="24"/>
                <w:szCs w:val="24"/>
                <w:color w:val="auto"/>
              </w:rPr>
            </w:pPr>
          </w:p>
        </w:tc>
        <w:tc>
          <w:tcPr>
            <w:tcW w:w="7420" w:type="dxa"/>
            <w:vAlign w:val="bottom"/>
            <w:gridSpan w:val="2"/>
          </w:tcPr>
          <w:p>
            <w:pPr>
              <w:ind w:left="820"/>
              <w:spacing w:after="0"/>
              <w:rPr>
                <w:sz w:val="20"/>
                <w:szCs w:val="20"/>
                <w:color w:val="auto"/>
              </w:rPr>
            </w:pPr>
            <w:r>
              <w:rPr>
                <w:rFonts w:ascii="Arial" w:cs="Arial" w:eastAsia="Arial" w:hAnsi="Arial"/>
                <w:sz w:val="21"/>
                <w:szCs w:val="21"/>
                <w:color w:val="auto"/>
                <w:w w:val="98"/>
              </w:rPr>
              <w:t>The  Employment  Term  and  Executive’s  employment  shall  terminate</w:t>
            </w:r>
          </w:p>
        </w:tc>
      </w:tr>
    </w:tbl>
    <w:p>
      <w:pPr>
        <w:jc w:val="both"/>
        <w:spacing w:after="0" w:line="254" w:lineRule="auto"/>
        <w:rPr>
          <w:sz w:val="20"/>
          <w:szCs w:val="20"/>
          <w:color w:val="auto"/>
        </w:rPr>
      </w:pPr>
      <w:r>
        <w:rPr>
          <w:rFonts w:ascii="Arial" w:cs="Arial" w:eastAsia="Arial" w:hAnsi="Arial"/>
          <w:sz w:val="19"/>
          <w:szCs w:val="19"/>
          <w:color w:val="auto"/>
        </w:rPr>
        <w:t>automatically upon Executive’s death and may be terminated by the Company upon Executive’s Disability. For purposes of this Agreement, a “</w:t>
      </w:r>
      <w:r>
        <w:rPr>
          <w:rFonts w:ascii="Arial" w:cs="Arial" w:eastAsia="Arial" w:hAnsi="Arial"/>
          <w:sz w:val="19"/>
          <w:szCs w:val="19"/>
          <w:u w:val="single" w:color="auto"/>
          <w:color w:val="auto"/>
        </w:rPr>
        <w:t>Disability</w:t>
      </w:r>
      <w:r>
        <w:rPr>
          <w:rFonts w:ascii="Arial" w:cs="Arial" w:eastAsia="Arial" w:hAnsi="Arial"/>
          <w:sz w:val="19"/>
          <w:szCs w:val="19"/>
          <w:color w:val="auto"/>
        </w:rPr>
        <w:t>” shall be deemed to have occurred if Executive has for sixty (60) consecutive days or one hundred twenty</w:t>
      </w:r>
    </w:p>
    <w:p>
      <w:pPr>
        <w:spacing w:after="0" w:line="2" w:lineRule="exact"/>
        <w:rPr>
          <w:sz w:val="20"/>
          <w:szCs w:val="20"/>
          <w:color w:val="auto"/>
        </w:rPr>
      </w:pPr>
    </w:p>
    <w:p>
      <w:pPr>
        <w:ind w:firstLine="3"/>
        <w:spacing w:after="0" w:line="237" w:lineRule="auto"/>
        <w:tabs>
          <w:tab w:leader="none" w:pos="53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non-consecutive days in any twelve (12) month period been disabled in a manner which has rendered Executive unable to perform the essential functions of Executive’s job duties with or without reasonable accommodation.</w:t>
      </w:r>
    </w:p>
    <w:p>
      <w:pPr>
        <w:spacing w:after="0" w:line="201" w:lineRule="exact"/>
        <w:rPr>
          <w:sz w:val="20"/>
          <w:szCs w:val="20"/>
          <w:color w:val="auto"/>
        </w:rPr>
      </w:pPr>
    </w:p>
    <w:p>
      <w:pPr>
        <w:jc w:val="both"/>
        <w:ind w:firstLine="2594"/>
        <w:spacing w:after="0" w:line="249" w:lineRule="auto"/>
        <w:rPr>
          <w:sz w:val="20"/>
          <w:szCs w:val="20"/>
          <w:color w:val="auto"/>
        </w:rPr>
      </w:pPr>
      <w:r>
        <w:rPr>
          <w:rFonts w:ascii="Arial" w:cs="Arial" w:eastAsia="Arial" w:hAnsi="Arial"/>
          <w:sz w:val="20"/>
          <w:szCs w:val="20"/>
          <w:color w:val="080808"/>
        </w:rPr>
        <w:t xml:space="preserve">(ii) </w:t>
      </w:r>
      <w:r>
        <w:rPr>
          <w:rFonts w:ascii="Arial" w:cs="Arial" w:eastAsia="Arial" w:hAnsi="Arial"/>
          <w:sz w:val="20"/>
          <w:szCs w:val="20"/>
          <w:color w:val="000000"/>
        </w:rPr>
        <w:t>If the Executive’s employment terminates due to Disability or death, then</w:t>
      </w:r>
      <w:r>
        <w:rPr>
          <w:rFonts w:ascii="Arial" w:cs="Arial" w:eastAsia="Arial" w:hAnsi="Arial"/>
          <w:sz w:val="20"/>
          <w:szCs w:val="20"/>
          <w:color w:val="080808"/>
        </w:rPr>
        <w:t xml:space="preserve"> </w:t>
      </w:r>
      <w:r>
        <w:rPr>
          <w:rFonts w:ascii="Arial" w:cs="Arial" w:eastAsia="Arial" w:hAnsi="Arial"/>
          <w:sz w:val="20"/>
          <w:szCs w:val="20"/>
          <w:color w:val="000000"/>
        </w:rPr>
        <w:t>Executive shall be entitled to pro rata acceleration of the vesting of all outstanding equity awards subject to time-based vesting, including the Preferred Option, determined on the basis of each completed month of service (or portion thereof) that the Executive served as an employee hereunder following the last applicable vesting date (or, if not such vesting date had yet occurred, the applicable grant date) and prior to termination of employment, with any applicable options remaining exercisable thereafter for a period of 12 months; and</w:t>
      </w:r>
    </w:p>
    <w:p>
      <w:pPr>
        <w:spacing w:after="0" w:line="193" w:lineRule="exact"/>
        <w:rPr>
          <w:sz w:val="20"/>
          <w:szCs w:val="20"/>
          <w:color w:val="auto"/>
        </w:rPr>
      </w:pPr>
    </w:p>
    <w:p>
      <w:pPr>
        <w:jc w:val="both"/>
        <w:ind w:firstLine="2594"/>
        <w:spacing w:after="0" w:line="271" w:lineRule="auto"/>
        <w:rPr>
          <w:sz w:val="20"/>
          <w:szCs w:val="20"/>
          <w:color w:val="auto"/>
        </w:rPr>
      </w:pPr>
      <w:r>
        <w:rPr>
          <w:rFonts w:ascii="Arial" w:cs="Arial" w:eastAsia="Arial" w:hAnsi="Arial"/>
          <w:sz w:val="19"/>
          <w:szCs w:val="19"/>
          <w:color w:val="080808"/>
        </w:rPr>
        <w:t xml:space="preserve">(iii) </w:t>
      </w:r>
      <w:r>
        <w:rPr>
          <w:rFonts w:ascii="Arial" w:cs="Arial" w:eastAsia="Arial" w:hAnsi="Arial"/>
          <w:sz w:val="19"/>
          <w:szCs w:val="19"/>
          <w:color w:val="000000"/>
        </w:rPr>
        <w:t>Upon termination of Executive’s employment for either Disability or death,</w:t>
      </w:r>
      <w:r>
        <w:rPr>
          <w:rFonts w:ascii="Arial" w:cs="Arial" w:eastAsia="Arial" w:hAnsi="Arial"/>
          <w:sz w:val="19"/>
          <w:szCs w:val="19"/>
          <w:color w:val="080808"/>
        </w:rPr>
        <w:t xml:space="preserve"> </w:t>
      </w:r>
      <w:r>
        <w:rPr>
          <w:rFonts w:ascii="Arial" w:cs="Arial" w:eastAsia="Arial" w:hAnsi="Arial"/>
          <w:sz w:val="19"/>
          <w:szCs w:val="19"/>
          <w:color w:val="000000"/>
        </w:rPr>
        <w:t>Executive or Executive’s estate (as the case may be) shall be entitled to receive (A) the Accrued Rights and (B) a pro rata portion of the Annual Target Bonus for the year in which the termination of service occurs, payable on the date when bonuses are otherwise paid to Company executives and in all events by March 15 of the calendar year following the year in which such termination occurs.</w:t>
      </w:r>
    </w:p>
    <w:p>
      <w:pPr>
        <w:spacing w:after="0" w:line="173" w:lineRule="exact"/>
        <w:rPr>
          <w:sz w:val="20"/>
          <w:szCs w:val="20"/>
          <w:color w:val="auto"/>
        </w:rPr>
      </w:pPr>
    </w:p>
    <w:p>
      <w:pPr>
        <w:jc w:val="both"/>
        <w:ind w:firstLine="738"/>
        <w:spacing w:after="0" w:line="252" w:lineRule="auto"/>
        <w:rPr>
          <w:sz w:val="20"/>
          <w:szCs w:val="20"/>
          <w:color w:val="auto"/>
        </w:rPr>
      </w:pPr>
      <w:r>
        <w:rPr>
          <w:rFonts w:ascii="Arial" w:cs="Arial" w:eastAsia="Arial" w:hAnsi="Arial"/>
          <w:sz w:val="21"/>
          <w:szCs w:val="21"/>
          <w:color w:val="auto"/>
        </w:rPr>
        <w:t xml:space="preserve">Following Executive’s termination of employment due to death or Disability, except as set forth in this </w:t>
      </w:r>
      <w:r>
        <w:rPr>
          <w:rFonts w:ascii="Arial" w:cs="Arial" w:eastAsia="Arial" w:hAnsi="Arial"/>
          <w:sz w:val="21"/>
          <w:szCs w:val="21"/>
          <w:u w:val="single" w:color="auto"/>
          <w:color w:val="auto"/>
        </w:rPr>
        <w:t>Section 7(b)(ii)</w:t>
      </w:r>
      <w:r>
        <w:rPr>
          <w:rFonts w:ascii="Arial" w:cs="Arial" w:eastAsia="Arial" w:hAnsi="Arial"/>
          <w:sz w:val="21"/>
          <w:szCs w:val="21"/>
          <w:color w:val="auto"/>
        </w:rPr>
        <w:t>, Executive shall have no further rights to any compensation or any other benefits under this Agreement.</w:t>
      </w:r>
    </w:p>
    <w:p>
      <w:pPr>
        <w:spacing w:after="0" w:line="189" w:lineRule="exact"/>
        <w:rPr>
          <w:sz w:val="20"/>
          <w:szCs w:val="20"/>
          <w:color w:val="auto"/>
        </w:rPr>
      </w:pPr>
    </w:p>
    <w:p>
      <w:pPr>
        <w:ind w:left="1720"/>
        <w:spacing w:after="0"/>
        <w:tabs>
          <w:tab w:leader="none" w:pos="3780" w:val="left"/>
          <w:tab w:leader="none" w:pos="974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u w:val="single" w:color="auto"/>
          <w:color w:val="auto"/>
        </w:rPr>
        <w:t>By the Company without Cause; By Executive with Good Reason</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The Employment</w:t>
      </w:r>
    </w:p>
    <w:p>
      <w:pPr>
        <w:spacing w:after="0" w:line="9" w:lineRule="exact"/>
        <w:rPr>
          <w:sz w:val="20"/>
          <w:szCs w:val="20"/>
          <w:color w:val="auto"/>
        </w:rPr>
      </w:pPr>
    </w:p>
    <w:p>
      <w:pPr>
        <w:ind w:left="120"/>
        <w:spacing w:after="0" w:line="284" w:lineRule="auto"/>
        <w:rPr>
          <w:sz w:val="20"/>
          <w:szCs w:val="20"/>
          <w:color w:val="auto"/>
        </w:rPr>
      </w:pPr>
      <w:r>
        <w:rPr>
          <w:rFonts w:ascii="Arial" w:cs="Arial" w:eastAsia="Arial" w:hAnsi="Arial"/>
          <w:sz w:val="19"/>
          <w:szCs w:val="19"/>
          <w:color w:val="auto"/>
        </w:rPr>
        <w:t>Term and Executive’s employment may be terminated by the Company at any time without Cause or by Executive with Good Reason, provided that Executive shall be eligible to receive the severance benefits set forth below in this Section 7(c), as applicable.</w:t>
      </w:r>
    </w:p>
    <w:p>
      <w:pPr>
        <w:spacing w:after="0" w:line="161" w:lineRule="exact"/>
        <w:rPr>
          <w:sz w:val="20"/>
          <w:szCs w:val="20"/>
          <w:color w:val="auto"/>
        </w:rPr>
      </w:pPr>
    </w:p>
    <w:p>
      <w:pPr>
        <w:ind w:right="260" w:firstLine="2598"/>
        <w:spacing w:after="0" w:line="259" w:lineRule="auto"/>
        <w:tabs>
          <w:tab w:leader="none" w:pos="3408"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Termination not in connection with a Change in Control</w:t>
      </w:r>
      <w:r>
        <w:rPr>
          <w:rFonts w:ascii="Arial" w:cs="Arial" w:eastAsia="Arial" w:hAnsi="Arial"/>
          <w:sz w:val="20"/>
          <w:szCs w:val="20"/>
          <w:color w:val="auto"/>
        </w:rPr>
        <w:t>. If Executive’s employment is terminated by the Company without Cause (other than by reason of death or Disability) or if Executive resigns with Good Reason, in either event, not in connection with a Change in Control, Executive shall be entitled to receive: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2" w:name="page143"/>
    <w:bookmarkEnd w:id="142"/>
    <w:p>
      <w:pPr>
        <w:spacing w:after="0" w:line="10" w:lineRule="exact"/>
        <w:rPr>
          <w:sz w:val="20"/>
          <w:szCs w:val="20"/>
          <w:color w:val="auto"/>
        </w:rPr>
      </w:pPr>
    </w:p>
    <w:p>
      <w:pPr>
        <w:ind w:left="1600"/>
        <w:spacing w:after="0"/>
        <w:rPr>
          <w:sz w:val="20"/>
          <w:szCs w:val="20"/>
          <w:color w:val="auto"/>
        </w:rPr>
      </w:pPr>
      <w:r>
        <w:rPr>
          <w:rFonts w:ascii="Arial" w:cs="Arial" w:eastAsia="Arial" w:hAnsi="Arial"/>
          <w:sz w:val="20"/>
          <w:szCs w:val="20"/>
          <w:color w:val="080808"/>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Accrued Rights; and</w:t>
      </w:r>
    </w:p>
    <w:p>
      <w:pPr>
        <w:spacing w:after="0" w:line="231" w:lineRule="exact"/>
        <w:rPr>
          <w:sz w:val="20"/>
          <w:szCs w:val="20"/>
          <w:color w:val="auto"/>
        </w:rPr>
      </w:pPr>
    </w:p>
    <w:p>
      <w:pPr>
        <w:sectPr>
          <w:pgSz w:w="11900" w:h="16838" w:orient="portrait"/>
          <w:cols w:equalWidth="0" w:num="2">
            <w:col w:w="3640" w:space="720"/>
            <w:col w:w="6020"/>
          </w:cols>
          <w:pgMar w:left="1180" w:top="1008" w:right="339" w:bottom="1440" w:gutter="0" w:footer="0" w:header="0"/>
        </w:sectPr>
      </w:pPr>
    </w:p>
    <w:p>
      <w:pPr>
        <w:jc w:val="both"/>
        <w:ind w:left="880" w:firstLine="731"/>
        <w:spacing w:after="0" w:line="258" w:lineRule="auto"/>
        <w:rPr>
          <w:sz w:val="20"/>
          <w:szCs w:val="20"/>
          <w:color w:val="auto"/>
        </w:rPr>
      </w:pPr>
      <w:r>
        <w:rPr>
          <w:rFonts w:ascii="Arial" w:cs="Arial" w:eastAsia="Arial" w:hAnsi="Arial"/>
          <w:sz w:val="20"/>
          <w:szCs w:val="20"/>
          <w:color w:val="080808"/>
        </w:rPr>
        <w:t xml:space="preserve">(B) </w:t>
      </w:r>
      <w:r>
        <w:rPr>
          <w:rFonts w:ascii="Arial" w:cs="Arial" w:eastAsia="Arial" w:hAnsi="Arial"/>
          <w:sz w:val="20"/>
          <w:szCs w:val="20"/>
          <w:color w:val="000000"/>
        </w:rPr>
        <w:t>subject to Executive’s execution and non-revocation of a release of</w:t>
      </w:r>
      <w:r>
        <w:rPr>
          <w:rFonts w:ascii="Arial" w:cs="Arial" w:eastAsia="Arial" w:hAnsi="Arial"/>
          <w:sz w:val="20"/>
          <w:szCs w:val="20"/>
          <w:color w:val="080808"/>
        </w:rPr>
        <w:t xml:space="preserve"> </w:t>
      </w:r>
      <w:r>
        <w:rPr>
          <w:rFonts w:ascii="Arial" w:cs="Arial" w:eastAsia="Arial" w:hAnsi="Arial"/>
          <w:sz w:val="20"/>
          <w:szCs w:val="20"/>
          <w:color w:val="000000"/>
        </w:rPr>
        <w:t>claims in the form provided by the Company and within the time period specified therein and Executive’s</w:t>
      </w:r>
    </w:p>
    <w:p>
      <w:pPr>
        <w:sectPr>
          <w:pgSz w:w="11900" w:h="16838" w:orient="portrait"/>
          <w:cols w:equalWidth="0" w:num="1">
            <w:col w:w="10380"/>
          </w:cols>
          <w:pgMar w:left="1180" w:top="1008" w:right="339" w:bottom="1440" w:gutter="0" w:footer="0" w:header="0"/>
          <w:type w:val="continuous"/>
        </w:sectPr>
      </w:pPr>
    </w:p>
    <w:p>
      <w:pPr>
        <w:ind w:left="880"/>
        <w:spacing w:after="0" w:line="232" w:lineRule="auto"/>
        <w:rPr>
          <w:sz w:val="20"/>
          <w:szCs w:val="20"/>
          <w:color w:val="auto"/>
        </w:rPr>
      </w:pPr>
      <w:r>
        <w:rPr>
          <w:rFonts w:ascii="Arial" w:cs="Arial" w:eastAsia="Arial" w:hAnsi="Arial"/>
          <w:sz w:val="21"/>
          <w:szCs w:val="21"/>
          <w:color w:val="auto"/>
        </w:rPr>
        <w:t xml:space="preserve">continued compliance with the provisions of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and the PIIA Agreement:</w:t>
      </w:r>
    </w:p>
    <w:p>
      <w:pPr>
        <w:spacing w:after="0" w:line="175" w:lineRule="exact"/>
        <w:rPr>
          <w:sz w:val="20"/>
          <w:szCs w:val="20"/>
          <w:color w:val="auto"/>
        </w:rPr>
      </w:pPr>
    </w:p>
    <w:p>
      <w:pPr>
        <w:jc w:val="both"/>
        <w:ind w:left="2060" w:hanging="596"/>
        <w:spacing w:after="0" w:line="264" w:lineRule="auto"/>
        <w:tabs>
          <w:tab w:leader="none" w:pos="20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payment of an amount equal to 1.0 times the Executive’s annual Base Salary at the time of termination, which shall be payable to Executive in equal installments in accordance with the Company’s normal payroll practices, for 12 months following the date that the release of claims becomes effective and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period during which the release could become effective and irrevocable spans two calendar years, payments of such installments shall not commence until the first normal payroll date in the second calendar year);</w:t>
      </w:r>
    </w:p>
    <w:p>
      <w:pPr>
        <w:spacing w:after="0" w:line="156" w:lineRule="exact"/>
        <w:rPr>
          <w:rFonts w:ascii="Arial" w:cs="Arial" w:eastAsia="Arial" w:hAnsi="Arial"/>
          <w:sz w:val="19"/>
          <w:szCs w:val="19"/>
          <w:color w:val="auto"/>
        </w:rPr>
      </w:pPr>
    </w:p>
    <w:p>
      <w:pPr>
        <w:jc w:val="both"/>
        <w:ind w:left="2060" w:hanging="596"/>
        <w:spacing w:after="0" w:line="279" w:lineRule="auto"/>
        <w:tabs>
          <w:tab w:leader="none" w:pos="20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pro rata portion of the Annual Target Bonus for the year in which the termination of service occurs, payable on the date when bonuses are otherwise paid to Company executives and in all events by March 15 of the calendar year following the year in which such termination occurs;</w:t>
      </w:r>
    </w:p>
    <w:p>
      <w:pPr>
        <w:spacing w:after="0" w:line="140" w:lineRule="exact"/>
        <w:rPr>
          <w:rFonts w:ascii="Arial" w:cs="Arial" w:eastAsia="Arial" w:hAnsi="Arial"/>
          <w:sz w:val="19"/>
          <w:szCs w:val="19"/>
          <w:color w:val="auto"/>
        </w:rPr>
      </w:pPr>
    </w:p>
    <w:p>
      <w:pPr>
        <w:jc w:val="both"/>
        <w:ind w:left="2060" w:hanging="596"/>
        <w:spacing w:after="0" w:line="279" w:lineRule="auto"/>
        <w:tabs>
          <w:tab w:leader="none" w:pos="20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that portion of all outstanding equity awards subject to time-based vesting that would have vested based on continued employment for 12 months following the termination shall accelerate and become vested on date that the release of claims becomes effective and irrevocable; and</w:t>
      </w:r>
    </w:p>
    <w:p>
      <w:pPr>
        <w:spacing w:after="0" w:line="140" w:lineRule="exact"/>
        <w:rPr>
          <w:rFonts w:ascii="Arial" w:cs="Arial" w:eastAsia="Arial" w:hAnsi="Arial"/>
          <w:sz w:val="19"/>
          <w:szCs w:val="19"/>
          <w:color w:val="auto"/>
        </w:rPr>
      </w:pPr>
    </w:p>
    <w:p>
      <w:pPr>
        <w:jc w:val="both"/>
        <w:ind w:left="2060" w:hanging="596"/>
        <w:spacing w:after="0" w:line="245" w:lineRule="auto"/>
        <w:tabs>
          <w:tab w:leader="none" w:pos="20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subject to Executive’s timely election of continuation coverage under the Consolidated Omnibus Budget Reconciliation Act of 1985, as amended (“</w:t>
      </w:r>
      <w:r>
        <w:rPr>
          <w:rFonts w:ascii="Arial" w:cs="Arial" w:eastAsia="Arial" w:hAnsi="Arial"/>
          <w:sz w:val="20"/>
          <w:szCs w:val="20"/>
          <w:u w:val="single" w:color="auto"/>
          <w:color w:val="auto"/>
        </w:rPr>
        <w:t>COBRA</w:t>
      </w:r>
      <w:r>
        <w:rPr>
          <w:rFonts w:ascii="Arial" w:cs="Arial" w:eastAsia="Arial" w:hAnsi="Arial"/>
          <w:sz w:val="20"/>
          <w:szCs w:val="20"/>
          <w:color w:val="auto"/>
        </w:rPr>
        <w:t>”), and subject to Executive’s copayment of premium amounts at the active employees’ rate, the Company shall pay the remainder of the premiums for Executive’s participation in the Company’s group health plans pursuant to COBRA for a period ending on the earlier of (i) the 12-month anniversary of the date of termination; (ii) Executive becoming eligible for other group health benefits, or (iii) the expiration of Executive’s rights under COBRA; provided, however, that in the event that the benefits provided herein would subject the Company or any of its affiliates to any tax or penalty under the Patient Protection and Affordable Care Act or Section 105(h) of the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Executive and the Company agree to work together in good faith to restructure the foregoing benefit.</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Following Executive’s termination of employment by the Company without Cause (other than by reason of Executive’s death or Disability) or Executive’s resignation with Good Reason not in connection with a Change in Control, except as set forth in this </w:t>
      </w:r>
      <w:r>
        <w:rPr>
          <w:rFonts w:ascii="Arial" w:cs="Arial" w:eastAsia="Arial" w:hAnsi="Arial"/>
          <w:sz w:val="21"/>
          <w:szCs w:val="21"/>
          <w:u w:val="single" w:color="auto"/>
          <w:color w:val="auto"/>
        </w:rPr>
        <w:t>Section 7(c)(i)</w:t>
      </w:r>
      <w:r>
        <w:rPr>
          <w:rFonts w:ascii="Arial" w:cs="Arial" w:eastAsia="Arial" w:hAnsi="Arial"/>
          <w:sz w:val="21"/>
          <w:szCs w:val="21"/>
          <w:color w:val="auto"/>
        </w:rPr>
        <w:t>, Executive shall have no further rights to any compensation or any other benefits under this Agreement. For purposes of this Agreement, a termination shall be deemed in</w:t>
      </w:r>
    </w:p>
    <w:p>
      <w:pPr>
        <w:spacing w:after="0" w:line="181"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203200</wp:posOffset>
            </wp:positionV>
            <wp:extent cx="718058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380"/>
          </w:cols>
          <w:pgMar w:left="1180" w:top="1008" w:right="339" w:bottom="1440" w:gutter="0" w:footer="0" w:header="0"/>
          <w:type w:val="continuous"/>
        </w:sectPr>
      </w:pPr>
    </w:p>
    <w:bookmarkStart w:id="143" w:name="page144"/>
    <w:bookmarkEnd w:id="143"/>
    <w:p>
      <w:pPr>
        <w:ind w:left="860"/>
        <w:spacing w:after="0" w:line="252" w:lineRule="auto"/>
        <w:rPr>
          <w:sz w:val="20"/>
          <w:szCs w:val="20"/>
          <w:color w:val="auto"/>
        </w:rPr>
      </w:pPr>
      <w:r>
        <w:rPr>
          <w:rFonts w:ascii="Arial" w:cs="Arial" w:eastAsia="Arial" w:hAnsi="Arial"/>
          <w:sz w:val="21"/>
          <w:szCs w:val="21"/>
          <w:color w:val="auto"/>
        </w:rPr>
        <w:t>connection with a Change in Control if such termination occurs either within 90 days before the consummation of a Change in Control or within 12 months after the consummation of a Change in Control.</w:t>
      </w:r>
    </w:p>
    <w:p>
      <w:pPr>
        <w:spacing w:after="0" w:line="189" w:lineRule="exact"/>
        <w:rPr>
          <w:sz w:val="20"/>
          <w:szCs w:val="20"/>
          <w:color w:val="auto"/>
        </w:rPr>
      </w:pPr>
    </w:p>
    <w:p>
      <w:pPr>
        <w:ind w:firstLine="2598"/>
        <w:spacing w:after="0" w:line="279" w:lineRule="auto"/>
        <w:tabs>
          <w:tab w:leader="none" w:pos="3465" w:val="left"/>
        </w:tabs>
        <w:numPr>
          <w:ilvl w:val="2"/>
          <w:numId w:val="103"/>
        </w:numPr>
        <w:rPr>
          <w:rFonts w:ascii="Arial" w:cs="Arial" w:eastAsia="Arial" w:hAnsi="Arial"/>
          <w:sz w:val="19"/>
          <w:szCs w:val="19"/>
          <w:color w:val="auto"/>
        </w:rPr>
      </w:pPr>
      <w:r>
        <w:rPr>
          <w:rFonts w:ascii="Arial" w:cs="Arial" w:eastAsia="Arial" w:hAnsi="Arial"/>
          <w:sz w:val="19"/>
          <w:szCs w:val="19"/>
          <w:u w:val="single" w:color="auto"/>
          <w:color w:val="auto"/>
        </w:rPr>
        <w:t>Termination in connection with a Change in Control</w:t>
      </w:r>
      <w:r>
        <w:rPr>
          <w:rFonts w:ascii="Arial" w:cs="Arial" w:eastAsia="Arial" w:hAnsi="Arial"/>
          <w:sz w:val="19"/>
          <w:szCs w:val="19"/>
          <w:color w:val="auto"/>
        </w:rPr>
        <w:t>. If Executive’s employment is terminated by the Company without Cause (other than by reason of death or Disability) or if Executive resigns with Good Reason, in either event in connection with a Change in Control, Executive shall be entitled to receive in lieu of the benefits set forth in Section 7(c)(i):</w:t>
      </w:r>
    </w:p>
    <w:p>
      <w:pPr>
        <w:spacing w:after="0" w:line="166" w:lineRule="exact"/>
        <w:rPr>
          <w:rFonts w:ascii="Arial" w:cs="Arial" w:eastAsia="Arial" w:hAnsi="Arial"/>
          <w:sz w:val="19"/>
          <w:szCs w:val="19"/>
          <w:color w:val="auto"/>
        </w:rPr>
      </w:pPr>
    </w:p>
    <w:p>
      <w:pPr>
        <w:ind w:left="3360" w:hanging="897"/>
        <w:spacing w:after="0"/>
        <w:tabs>
          <w:tab w:leader="none" w:pos="3360" w:val="left"/>
        </w:tabs>
        <w:numPr>
          <w:ilvl w:val="1"/>
          <w:numId w:val="104"/>
        </w:numPr>
        <w:rPr>
          <w:rFonts w:ascii="Arial" w:cs="Arial" w:eastAsia="Arial" w:hAnsi="Arial"/>
          <w:sz w:val="20"/>
          <w:szCs w:val="20"/>
          <w:color w:val="080808"/>
        </w:rPr>
      </w:pPr>
      <w:r>
        <w:rPr>
          <w:rFonts w:ascii="Arial" w:cs="Arial" w:eastAsia="Arial" w:hAnsi="Arial"/>
          <w:sz w:val="21"/>
          <w:szCs w:val="21"/>
          <w:color w:val="auto"/>
        </w:rPr>
        <w:t>the Accrued Rights; and</w:t>
      </w:r>
    </w:p>
    <w:p>
      <w:pPr>
        <w:spacing w:after="0" w:line="196" w:lineRule="exact"/>
        <w:rPr>
          <w:rFonts w:ascii="Arial" w:cs="Arial" w:eastAsia="Arial" w:hAnsi="Arial"/>
          <w:sz w:val="20"/>
          <w:szCs w:val="20"/>
          <w:color w:val="080808"/>
        </w:rPr>
      </w:pPr>
    </w:p>
    <w:p>
      <w:pPr>
        <w:ind w:left="1740" w:right="20" w:firstLine="723"/>
        <w:spacing w:after="0" w:line="241" w:lineRule="auto"/>
        <w:tabs>
          <w:tab w:leader="none" w:pos="3354" w:val="left"/>
        </w:tabs>
        <w:numPr>
          <w:ilvl w:val="1"/>
          <w:numId w:val="104"/>
        </w:numPr>
        <w:rPr>
          <w:rFonts w:ascii="Arial" w:cs="Arial" w:eastAsia="Arial" w:hAnsi="Arial"/>
          <w:sz w:val="20"/>
          <w:szCs w:val="20"/>
          <w:color w:val="080808"/>
        </w:rPr>
      </w:pPr>
      <w:r>
        <w:rPr>
          <w:rFonts w:ascii="Arial" w:cs="Arial" w:eastAsia="Arial" w:hAnsi="Arial"/>
          <w:sz w:val="21"/>
          <w:szCs w:val="21"/>
          <w:color w:val="auto"/>
        </w:rPr>
        <w:t xml:space="preserve">subject to Executive’s execution and non-revocation of a release of claims in the form provided by the Company and within the time period specified therein and Executive’s continued compliance with the provisions of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and the PIIA Agreement:</w:t>
      </w:r>
    </w:p>
    <w:p>
      <w:pPr>
        <w:spacing w:after="0" w:line="174" w:lineRule="exact"/>
        <w:rPr>
          <w:rFonts w:ascii="Arial" w:cs="Arial" w:eastAsia="Arial" w:hAnsi="Arial"/>
          <w:sz w:val="20"/>
          <w:szCs w:val="20"/>
          <w:color w:val="080808"/>
        </w:rPr>
      </w:pPr>
    </w:p>
    <w:p>
      <w:pPr>
        <w:jc w:val="both"/>
        <w:ind w:left="2920" w:hanging="596"/>
        <w:spacing w:after="0" w:line="238" w:lineRule="auto"/>
        <w:tabs>
          <w:tab w:leader="none" w:pos="29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payment of an amount equal to 1.5 times the sum of Executive’s annual Base Salary plus the Annual Target Bonus for the year in which the termination occurs, which amount shall be payable to Executive in a single lump sum on the next regular payroll date following the date that the release of claims becomes effective and irrevocable</w:t>
      </w:r>
    </w:p>
    <w:p>
      <w:pPr>
        <w:spacing w:after="0" w:line="176" w:lineRule="exact"/>
        <w:rPr>
          <w:rFonts w:ascii="Arial" w:cs="Arial" w:eastAsia="Arial" w:hAnsi="Arial"/>
          <w:sz w:val="21"/>
          <w:szCs w:val="21"/>
          <w:color w:val="auto"/>
        </w:rPr>
      </w:pPr>
    </w:p>
    <w:p>
      <w:pPr>
        <w:ind w:left="2920" w:hanging="596"/>
        <w:spacing w:after="0" w:line="252" w:lineRule="auto"/>
        <w:tabs>
          <w:tab w:leader="none" w:pos="29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full acceleration of the vesting of all outstanding equity awards subject to time-based vesting, including the Preferred Option; and</w:t>
      </w:r>
    </w:p>
    <w:p>
      <w:pPr>
        <w:spacing w:after="0" w:line="163" w:lineRule="exact"/>
        <w:rPr>
          <w:rFonts w:ascii="Arial" w:cs="Arial" w:eastAsia="Arial" w:hAnsi="Arial"/>
          <w:sz w:val="21"/>
          <w:szCs w:val="21"/>
          <w:color w:val="auto"/>
        </w:rPr>
      </w:pPr>
    </w:p>
    <w:p>
      <w:pPr>
        <w:jc w:val="both"/>
        <w:ind w:left="2920" w:hanging="596"/>
        <w:spacing w:after="0" w:line="235" w:lineRule="exact"/>
        <w:tabs>
          <w:tab w:leader="none" w:pos="29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subject to Executive’s timely election of continuation coverage under COBRA, and subject to Executive’s copayment of premium amounts at the active employees’ rate, the Company shall pay the remainder of the premiums for Executive’s participation in the Company’s group health plans pursuant to COBRA for a period ending on the earlier of (i) the 18</w:t>
      </w:r>
      <w:r>
        <w:rPr>
          <w:rFonts w:ascii="MS PGothic" w:cs="MS PGothic" w:eastAsia="MS PGothic" w:hAnsi="MS PGothic"/>
          <w:sz w:val="19"/>
          <w:szCs w:val="19"/>
          <w:color w:val="auto"/>
        </w:rPr>
        <w:t>‑</w:t>
      </w:r>
      <w:r>
        <w:rPr>
          <w:rFonts w:ascii="Arial" w:cs="Arial" w:eastAsia="Arial" w:hAnsi="Arial"/>
          <w:sz w:val="19"/>
          <w:szCs w:val="19"/>
          <w:color w:val="auto"/>
        </w:rPr>
        <w:t>month anniversary of the date of termination; (ii) Executive becoming eligible for other group health benefits, or (iii) the expiration of Executive’s rights under COBRA; provided, however, that in the event that the benefits provided herein would subject the Company or any of its affiliates to any tax or penalty under the Patient Protection and Affordable Care Act or Section 105(h) of the Code, Executive and the Company agree to work together in good faith to restructure the foregoing benefit.</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occurrence of one or more of the following events: (i) any “person” (as such term is used in Sections 3(a)(9) and 13(d) of the Securities Exchange Act of 1934,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or “group” (as such term is used in Section 13(d)(3) of the Act), other than the Company or its subsidiaries or any benefit plan of the Company or its subsidiaries is or becomes a “beneficial owner” (as such term is used in Rule 13d-3 promulgated under the Act) of more than 50% of the Voting Stock of the Company; (ii) the Company transfers all or substantially all of its assets (unless the shareholders of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4" w:name="page145"/>
    <w:bookmarkEnd w:id="144"/>
    <w:p>
      <w:pPr>
        <w:ind w:right="20"/>
        <w:spacing w:after="0" w:line="258" w:lineRule="auto"/>
        <w:rPr>
          <w:sz w:val="20"/>
          <w:szCs w:val="20"/>
          <w:color w:val="auto"/>
        </w:rPr>
      </w:pPr>
      <w:r>
        <w:rPr>
          <w:rFonts w:ascii="Arial" w:cs="Arial" w:eastAsia="Arial" w:hAnsi="Arial"/>
          <w:sz w:val="19"/>
          <w:szCs w:val="19"/>
          <w:color w:val="auto"/>
        </w:rPr>
        <w:t>Company immediately prior to such transaction beneficially own, directly or indirectly, in substantially the same proportion as they owned the Voting Stock of the Company, all of the Voting Stock or other ownership interests of the entity or entities, if any, that succeed to the business of the Company or the Company’s ultimate parent company if the Company is a subsidiary of another corporation); or (iii) any merger, reorganization, consolidation or similar transaction unless, immediately after consummation of such transaction, the shareholders of the Company immediately prior to the transaction hold, directly or indirectly, more than 50% of the Voting Stock of the Company or the Company’s ultimate parent company if the Company is a subsidiary of another corporation. Notwithstanding the foregoing, in no event shall the Anelixis Acquisition and any concurrent private placement of Preferred Stock be deemed to constitute a Change in Control. For purposes of this Change in Control definition, “</w:t>
      </w:r>
      <w:r>
        <w:rPr>
          <w:rFonts w:ascii="Arial" w:cs="Arial" w:eastAsia="Arial" w:hAnsi="Arial"/>
          <w:sz w:val="19"/>
          <w:szCs w:val="19"/>
          <w:u w:val="single" w:color="auto"/>
          <w:color w:val="auto"/>
        </w:rPr>
        <w:t>Voting Stock</w:t>
      </w:r>
      <w:r>
        <w:rPr>
          <w:rFonts w:ascii="Arial" w:cs="Arial" w:eastAsia="Arial" w:hAnsi="Arial"/>
          <w:sz w:val="19"/>
          <w:szCs w:val="19"/>
          <w:color w:val="auto"/>
        </w:rPr>
        <w:t xml:space="preserve">” means securities or ownership interests of any class or classes having general voting power under ordinary circumstances, in the absence of contingencies, to elect the directors of a corporation, including securities that are convertible into voting stock (e.g., warrants and convertible preferred stock), even if subject to beneficial ownership blockers or other limits on the ability to acquire such securities. Following Executive’s termination of employment by the Company without Cause (other than by reason of Executive’s death or Disability) or by Executive with Good Reason in connection with a Change in Control, except as set forth in this </w:t>
      </w:r>
      <w:r>
        <w:rPr>
          <w:rFonts w:ascii="Arial" w:cs="Arial" w:eastAsia="Arial" w:hAnsi="Arial"/>
          <w:sz w:val="19"/>
          <w:szCs w:val="19"/>
          <w:u w:val="single" w:color="auto"/>
          <w:color w:val="auto"/>
        </w:rPr>
        <w:t>Section 7(c)(ii)</w:t>
      </w:r>
      <w:r>
        <w:rPr>
          <w:rFonts w:ascii="Arial" w:cs="Arial" w:eastAsia="Arial" w:hAnsi="Arial"/>
          <w:sz w:val="19"/>
          <w:szCs w:val="19"/>
          <w:color w:val="auto"/>
        </w:rPr>
        <w:t>, Executive shall have no further rights to any compensation or any other benefits under this Agreement.</w:t>
      </w:r>
    </w:p>
    <w:p>
      <w:pPr>
        <w:spacing w:after="0" w:line="193"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Any termination of employment by the Company or by Executive (other than due to Executive’s death) shall be communicated by Notice of Termination to the other party hereto in accordance with </w:t>
      </w:r>
      <w:r>
        <w:rPr>
          <w:rFonts w:ascii="Arial" w:cs="Arial" w:eastAsia="Arial" w:hAnsi="Arial"/>
          <w:sz w:val="21"/>
          <w:szCs w:val="21"/>
          <w:u w:val="single" w:color="auto"/>
          <w:color w:val="auto"/>
        </w:rPr>
        <w:t>Section 11(k)</w:t>
      </w:r>
      <w:r>
        <w:rPr>
          <w:rFonts w:ascii="Arial" w:cs="Arial" w:eastAsia="Arial" w:hAnsi="Arial"/>
          <w:sz w:val="21"/>
          <w:szCs w:val="21"/>
          <w:color w:val="auto"/>
        </w:rPr>
        <w:t xml:space="preserve">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Notice that indicates the specific termination provision in this Agreement relied upon and sets forth in reasonable detail the facts and circumstances claimed to provide a basis for termination of employment under the provision so indicated.</w:t>
      </w:r>
    </w:p>
    <w:p>
      <w:pPr>
        <w:spacing w:after="0" w:line="205" w:lineRule="exact"/>
        <w:rPr>
          <w:sz w:val="20"/>
          <w:szCs w:val="20"/>
          <w:color w:val="auto"/>
        </w:rPr>
      </w:pPr>
    </w:p>
    <w:p>
      <w:pPr>
        <w:jc w:val="both"/>
        <w:ind w:firstLine="1729"/>
        <w:spacing w:after="0" w:line="238" w:lineRule="auto"/>
        <w:rPr>
          <w:sz w:val="20"/>
          <w:szCs w:val="20"/>
          <w:color w:val="auto"/>
        </w:rPr>
      </w:pPr>
      <w:r>
        <w:rPr>
          <w:rFonts w:ascii="Arial" w:cs="Arial" w:eastAsia="Arial" w:hAnsi="Arial"/>
          <w:sz w:val="21"/>
          <w:szCs w:val="21"/>
          <w:color w:val="auto"/>
        </w:rPr>
        <w:t xml:space="preserve">(e) </w:t>
      </w:r>
      <w:r>
        <w:rPr>
          <w:rFonts w:ascii="Arial" w:cs="Arial" w:eastAsia="Arial" w:hAnsi="Arial"/>
          <w:sz w:val="21"/>
          <w:szCs w:val="21"/>
          <w:u w:val="single" w:color="auto"/>
          <w:color w:val="auto"/>
        </w:rPr>
        <w:t>Termination and Offices Held</w:t>
      </w:r>
      <w:r>
        <w:rPr>
          <w:rFonts w:ascii="Arial" w:cs="Arial" w:eastAsia="Arial" w:hAnsi="Arial"/>
          <w:sz w:val="21"/>
          <w:szCs w:val="21"/>
          <w:color w:val="auto"/>
        </w:rPr>
        <w:t>. Upon termination of Executive’s employment for any reason, Executive shall be deemed to have resigned from all positions that Executive may then hold as an employee, officer or director of the Company or any affiliate of the Company. Executive shall promptly deliver to the Company any additional documents reasonably required by the Company to confirm such resignations.</w:t>
      </w:r>
    </w:p>
    <w:p>
      <w:pPr>
        <w:spacing w:after="0" w:line="202" w:lineRule="exact"/>
        <w:rPr>
          <w:sz w:val="20"/>
          <w:szCs w:val="20"/>
          <w:color w:val="auto"/>
        </w:rPr>
      </w:pPr>
    </w:p>
    <w:p>
      <w:pPr>
        <w:jc w:val="both"/>
        <w:ind w:firstLine="1729"/>
        <w:spacing w:after="0" w:line="249" w:lineRule="auto"/>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u w:val="single" w:color="auto"/>
          <w:color w:val="auto"/>
        </w:rPr>
        <w:t>Non-Disparagement</w:t>
      </w:r>
      <w:r>
        <w:rPr>
          <w:rFonts w:ascii="Arial" w:cs="Arial" w:eastAsia="Arial" w:hAnsi="Arial"/>
          <w:sz w:val="20"/>
          <w:szCs w:val="20"/>
          <w:color w:val="auto"/>
        </w:rPr>
        <w:t>. Executive shall not, while employed by the Company or at any time thereafter, disparage the Company (or any affiliate) in any way that materially and adversely affects the goodwill, reputation or business relationships of the Company or the affiliate with the public generally, or with any of its customers, vendors or employees. The Company shall not (and shall use reasonable efforts to procure that its directors and officers shall not) disparage Executive in any way that materially and adversely affects Executive or Executive’s reputation or business relationships. Notwithstanding the foregoing, this Section shall not prohibit either party from rebutting claims or statements made by any other person.</w:t>
      </w:r>
    </w:p>
    <w:p>
      <w:pPr>
        <w:spacing w:after="0" w:line="193" w:lineRule="exact"/>
        <w:rPr>
          <w:sz w:val="20"/>
          <w:szCs w:val="20"/>
          <w:color w:val="auto"/>
        </w:rPr>
      </w:pPr>
    </w:p>
    <w:p>
      <w:pPr>
        <w:jc w:val="both"/>
        <w:ind w:firstLine="1729"/>
        <w:spacing w:after="0" w:line="252" w:lineRule="auto"/>
        <w:rPr>
          <w:sz w:val="20"/>
          <w:szCs w:val="20"/>
          <w:color w:val="auto"/>
        </w:rPr>
      </w:pPr>
      <w:r>
        <w:rPr>
          <w:rFonts w:ascii="Arial" w:cs="Arial" w:eastAsia="Arial" w:hAnsi="Arial"/>
          <w:sz w:val="21"/>
          <w:szCs w:val="21"/>
          <w:color w:val="auto"/>
        </w:rPr>
        <w:t xml:space="preserve">9. </w:t>
      </w:r>
      <w:r>
        <w:rPr>
          <w:rFonts w:ascii="Arial" w:cs="Arial" w:eastAsia="Arial" w:hAnsi="Arial"/>
          <w:sz w:val="21"/>
          <w:szCs w:val="21"/>
          <w:u w:val="single" w:color="auto"/>
          <w:color w:val="auto"/>
        </w:rPr>
        <w:t>Proprietary Information and Inventions Assignment Agreement</w:t>
      </w:r>
      <w:r>
        <w:rPr>
          <w:rFonts w:ascii="Arial" w:cs="Arial" w:eastAsia="Arial" w:hAnsi="Arial"/>
          <w:sz w:val="21"/>
          <w:szCs w:val="21"/>
          <w:color w:val="auto"/>
        </w:rPr>
        <w:t>. As a condition to Executive’s employment with the Company, Executive shall execute and deliver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5" w:name="page146"/>
    <w:bookmarkEnd w:id="145"/>
    <w:p>
      <w:pPr>
        <w:jc w:val="both"/>
        <w:spacing w:after="0" w:line="252" w:lineRule="auto"/>
        <w:rPr>
          <w:sz w:val="20"/>
          <w:szCs w:val="20"/>
          <w:color w:val="auto"/>
        </w:rPr>
      </w:pPr>
      <w:r>
        <w:rPr>
          <w:rFonts w:ascii="Arial" w:cs="Arial" w:eastAsia="Arial" w:hAnsi="Arial"/>
          <w:sz w:val="21"/>
          <w:szCs w:val="21"/>
          <w:color w:val="auto"/>
        </w:rPr>
        <w:t>the Company as of the Effective Date, the Company’s standard Proprietary Information and Inventions Agreement (the “</w:t>
      </w:r>
      <w:r>
        <w:rPr>
          <w:rFonts w:ascii="Arial" w:cs="Arial" w:eastAsia="Arial" w:hAnsi="Arial"/>
          <w:sz w:val="21"/>
          <w:szCs w:val="21"/>
          <w:u w:val="single" w:color="auto"/>
          <w:color w:val="auto"/>
        </w:rPr>
        <w:t>PIIA</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 copy of which has been provided under separate cover.</w:t>
      </w:r>
    </w:p>
    <w:p>
      <w:pPr>
        <w:spacing w:after="0" w:line="189" w:lineRule="exact"/>
        <w:rPr>
          <w:sz w:val="20"/>
          <w:szCs w:val="20"/>
          <w:color w:val="auto"/>
        </w:rPr>
      </w:pPr>
    </w:p>
    <w:p>
      <w:pPr>
        <w:jc w:val="both"/>
        <w:ind w:firstLine="1729"/>
        <w:spacing w:after="0" w:line="235" w:lineRule="auto"/>
        <w:rPr>
          <w:sz w:val="20"/>
          <w:szCs w:val="20"/>
          <w:color w:val="auto"/>
        </w:rPr>
      </w:pPr>
      <w:r>
        <w:rPr>
          <w:rFonts w:ascii="Arial" w:cs="Arial" w:eastAsia="Arial" w:hAnsi="Arial"/>
          <w:sz w:val="21"/>
          <w:szCs w:val="21"/>
          <w:color w:val="auto"/>
        </w:rPr>
        <w:t xml:space="preserve">10.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xml:space="preserve">. Executive acknowledges and agrees that the Company’s remedies at law for a breach or threatened breach of any of the provisions of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may be inadequate and the Company may suffer irreparable damages as a result of such breach or threatened breach.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179"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r>
              <w:rPr>
                <w:rFonts w:ascii="Arial" w:cs="Arial" w:eastAsia="Arial" w:hAnsi="Arial"/>
                <w:sz w:val="21"/>
                <w:szCs w:val="21"/>
                <w:color w:val="auto"/>
              </w:rPr>
              <w:t>11.</w:t>
            </w:r>
          </w:p>
        </w:tc>
        <w:tc>
          <w:tcPr>
            <w:tcW w:w="7400" w:type="dxa"/>
            <w:vAlign w:val="bottom"/>
            <w:gridSpan w:val="3"/>
          </w:tcPr>
          <w:p>
            <w:pPr>
              <w:spacing w:after="0"/>
              <w:rPr>
                <w:sz w:val="20"/>
                <w:szCs w:val="20"/>
                <w:color w:val="auto"/>
              </w:rPr>
            </w:pPr>
            <w:r>
              <w:rPr>
                <w:rFonts w:ascii="Arial" w:cs="Arial" w:eastAsia="Arial" w:hAnsi="Arial"/>
                <w:sz w:val="21"/>
                <w:szCs w:val="21"/>
                <w:color w:val="auto"/>
              </w:rPr>
              <w:t>Miscellaneous.</w:t>
            </w:r>
          </w:p>
        </w:tc>
      </w:tr>
      <w:tr>
        <w:trPr>
          <w:trHeight w:val="20"/>
        </w:trPr>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44"/>
        </w:trPr>
        <w:tc>
          <w:tcPr>
            <w:tcW w:w="2100" w:type="dxa"/>
            <w:vAlign w:val="bottom"/>
          </w:tcPr>
          <w:p>
            <w:pPr>
              <w:spacing w:after="0"/>
              <w:rPr>
                <w:sz w:val="20"/>
                <w:szCs w:val="20"/>
                <w:color w:val="auto"/>
              </w:rPr>
            </w:pPr>
            <w:r>
              <w:rPr>
                <w:rFonts w:ascii="Arial" w:cs="Arial" w:eastAsia="Arial" w:hAnsi="Arial"/>
                <w:sz w:val="20"/>
                <w:szCs w:val="20"/>
                <w:color w:val="080808"/>
              </w:rPr>
              <w:t>(a)</w:t>
            </w:r>
          </w:p>
        </w:tc>
        <w:tc>
          <w:tcPr>
            <w:tcW w:w="7400" w:type="dxa"/>
            <w:vAlign w:val="bottom"/>
            <w:gridSpan w:val="3"/>
          </w:tcPr>
          <w:p>
            <w:pPr>
              <w:spacing w:after="0"/>
              <w:rPr>
                <w:sz w:val="20"/>
                <w:szCs w:val="20"/>
                <w:color w:val="auto"/>
              </w:rPr>
            </w:pPr>
            <w:r>
              <w:rPr>
                <w:rFonts w:ascii="Arial" w:cs="Arial" w:eastAsia="Arial" w:hAnsi="Arial"/>
                <w:sz w:val="21"/>
                <w:szCs w:val="21"/>
                <w:color w:val="auto"/>
                <w:w w:val="91"/>
              </w:rPr>
              <w:t>Arbitration. For the avoidance of doubt, the arbitration and equitable relief provisions of</w:t>
            </w:r>
          </w:p>
        </w:tc>
      </w:tr>
      <w:tr>
        <w:trPr>
          <w:trHeight w:val="20"/>
        </w:trPr>
        <w:tc>
          <w:tcPr>
            <w:tcW w:w="2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PIIA Agreement shall apply to any dispute concerning Executive’s employment with the Company or arising under or in any way related to this Agreement.</w:t>
      </w:r>
    </w:p>
    <w:p>
      <w:pPr>
        <w:spacing w:after="0" w:line="189" w:lineRule="exact"/>
        <w:rPr>
          <w:sz w:val="20"/>
          <w:szCs w:val="20"/>
          <w:color w:val="auto"/>
        </w:rPr>
      </w:pPr>
    </w:p>
    <w:p>
      <w:pPr>
        <w:ind w:left="1740"/>
        <w:spacing w:after="0"/>
        <w:tabs>
          <w:tab w:leader="none" w:pos="3800" w:val="left"/>
          <w:tab w:leader="none" w:pos="8380" w:val="left"/>
        </w:tabs>
        <w:rPr>
          <w:sz w:val="20"/>
          <w:szCs w:val="20"/>
          <w:color w:val="auto"/>
        </w:rPr>
      </w:pPr>
      <w:r>
        <w:rPr>
          <w:rFonts w:ascii="Arial" w:cs="Arial" w:eastAsia="Arial" w:hAnsi="Arial"/>
          <w:sz w:val="20"/>
          <w:szCs w:val="20"/>
          <w:color w:val="080808"/>
        </w:rPr>
        <w:t>(b)</w:t>
      </w:r>
      <w:r>
        <w:rPr>
          <w:sz w:val="20"/>
          <w:szCs w:val="20"/>
          <w:color w:val="auto"/>
        </w:rPr>
        <w:tab/>
      </w:r>
      <w:r>
        <w:rPr>
          <w:rFonts w:ascii="Arial" w:cs="Arial" w:eastAsia="Arial" w:hAnsi="Arial"/>
          <w:sz w:val="21"/>
          <w:szCs w:val="21"/>
          <w:u w:val="single" w:color="auto"/>
          <w:color w:val="auto"/>
        </w:rPr>
        <w:t>Governing Law; Consent to Personal Jurisdiction</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THIS AGREEMENT WILL BE</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GOVERNED BY THE LAWS OF THE STATE OF CALIFORNIA WITHOUT REGARD FOR CONFLICTS OF LAWS PRINCIPLES. SUBJECT TO THE ARBITRATION PROVISION IN THE PIIA AGREEMENT, EXECUTIVE HEREBY EXPRESSLY CONSENTS TO THE PERSONAL JURISDICTION OF THE STATE AND FEDERAL COURTS LOCATED IN ORANGE COUNTY, CALIFORNIA FOR ANY LAWSUIT FILED THERE AGAINST EXECUTIVE BY THE COMPANY CONCERNING EXECUTIVE’S EMPLOYMENT OR THE TERMINATION OF EXECUTIVE’S EMPLOYMENT OR ARISING FROM OR RELATING TO THIS AGREEMENT.</w:t>
      </w:r>
    </w:p>
    <w:p>
      <w:pPr>
        <w:spacing w:after="0" w:line="206" w:lineRule="exact"/>
        <w:rPr>
          <w:sz w:val="20"/>
          <w:szCs w:val="20"/>
          <w:color w:val="auto"/>
        </w:rPr>
      </w:pPr>
    </w:p>
    <w:p>
      <w:pPr>
        <w:jc w:val="both"/>
        <w:ind w:firstLine="1729"/>
        <w:spacing w:after="0" w:line="247" w:lineRule="auto"/>
        <w:rPr>
          <w:sz w:val="20"/>
          <w:szCs w:val="20"/>
          <w:color w:val="auto"/>
        </w:rPr>
      </w:pPr>
      <w:r>
        <w:rPr>
          <w:rFonts w:ascii="Arial" w:cs="Arial" w:eastAsia="Arial" w:hAnsi="Arial"/>
          <w:sz w:val="20"/>
          <w:szCs w:val="20"/>
          <w:color w:val="080808"/>
        </w:rPr>
        <w:t xml:space="preserve">(c) </w:t>
      </w:r>
      <w:r>
        <w:rPr>
          <w:rFonts w:ascii="Arial" w:cs="Arial" w:eastAsia="Arial" w:hAnsi="Arial"/>
          <w:sz w:val="20"/>
          <w:szCs w:val="20"/>
          <w:u w:val="single" w:color="auto"/>
          <w:color w:val="000000"/>
        </w:rPr>
        <w:t>Entire Agreement/Amendments</w:t>
      </w:r>
      <w:r>
        <w:rPr>
          <w:rFonts w:ascii="Arial" w:cs="Arial" w:eastAsia="Arial" w:hAnsi="Arial"/>
          <w:sz w:val="20"/>
          <w:szCs w:val="20"/>
          <w:color w:val="000000"/>
        </w:rPr>
        <w:t>. This Agreement, together with the PIIA Agreement,</w:t>
      </w:r>
      <w:r>
        <w:rPr>
          <w:rFonts w:ascii="Arial" w:cs="Arial" w:eastAsia="Arial" w:hAnsi="Arial"/>
          <w:sz w:val="20"/>
          <w:szCs w:val="20"/>
          <w:color w:val="080808"/>
        </w:rPr>
        <w:t xml:space="preserve"> </w:t>
      </w:r>
      <w:r>
        <w:rPr>
          <w:rFonts w:ascii="Arial" w:cs="Arial" w:eastAsia="Arial" w:hAnsi="Arial"/>
          <w:sz w:val="20"/>
          <w:szCs w:val="20"/>
          <w:color w:val="000000"/>
        </w:rPr>
        <w:t>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or as may be set forth from time to time in the Company’s employee benefit plans and policies applicable to Executive. This Agreement may not be altered, modified, or amended except by written instrument signed by the parties hereto. In the event of any 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spacing w:after="0" w:line="195"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(d) </w:t>
      </w:r>
      <w:r>
        <w:rPr>
          <w:rFonts w:ascii="Arial" w:cs="Arial" w:eastAsia="Arial" w:hAnsi="Arial"/>
          <w:sz w:val="20"/>
          <w:szCs w:val="20"/>
          <w:u w:val="single" w:color="auto"/>
          <w:color w:val="000000"/>
        </w:rPr>
        <w:t>No Waiver</w:t>
      </w:r>
      <w:r>
        <w:rPr>
          <w:rFonts w:ascii="Arial" w:cs="Arial" w:eastAsia="Arial" w:hAnsi="Arial"/>
          <w:sz w:val="20"/>
          <w:szCs w:val="20"/>
          <w:color w:val="000000"/>
        </w:rPr>
        <w:t>. The failure of a party to insist upon strict adherence to any term of this</w:t>
      </w:r>
      <w:r>
        <w:rPr>
          <w:rFonts w:ascii="Arial" w:cs="Arial" w:eastAsia="Arial" w:hAnsi="Arial"/>
          <w:sz w:val="20"/>
          <w:szCs w:val="20"/>
          <w:color w:val="080808"/>
        </w:rPr>
        <w:t xml:space="preserve"> </w:t>
      </w:r>
      <w:r>
        <w:rPr>
          <w:rFonts w:ascii="Arial" w:cs="Arial" w:eastAsia="Arial" w:hAnsi="Arial"/>
          <w:sz w:val="20"/>
          <w:szCs w:val="20"/>
          <w:color w:val="000000"/>
        </w:rPr>
        <w:t>Agreement on any occasion shall not be considered a waiver of such party’s rights or deprive such party of the right thereafter to insist upon strict adherence to that term or any other term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6" w:name="page147"/>
    <w:bookmarkEnd w:id="146"/>
    <w:p>
      <w:pPr>
        <w:jc w:val="both"/>
        <w:ind w:firstLine="1729"/>
        <w:spacing w:after="0" w:line="259" w:lineRule="auto"/>
        <w:rPr>
          <w:sz w:val="20"/>
          <w:szCs w:val="20"/>
          <w:color w:val="auto"/>
        </w:rPr>
      </w:pPr>
      <w:r>
        <w:rPr>
          <w:rFonts w:ascii="Arial" w:cs="Arial" w:eastAsia="Arial" w:hAnsi="Arial"/>
          <w:sz w:val="20"/>
          <w:szCs w:val="20"/>
          <w:color w:val="080808"/>
        </w:rPr>
        <w:t xml:space="preserve">(e) </w:t>
      </w:r>
      <w:r>
        <w:rPr>
          <w:rFonts w:ascii="Arial" w:cs="Arial" w:eastAsia="Arial" w:hAnsi="Arial"/>
          <w:sz w:val="20"/>
          <w:szCs w:val="20"/>
          <w:u w:val="single" w:color="auto"/>
          <w:color w:val="000000"/>
        </w:rPr>
        <w:t>Severability</w:t>
      </w:r>
      <w:r>
        <w:rPr>
          <w:rFonts w:ascii="Arial" w:cs="Arial" w:eastAsia="Arial" w:hAnsi="Arial"/>
          <w:sz w:val="20"/>
          <w:szCs w:val="20"/>
          <w:color w:val="000000"/>
        </w:rPr>
        <w:t>. In the event that any one or more of the provisions of this Agreement shall</w:t>
      </w:r>
      <w:r>
        <w:rPr>
          <w:rFonts w:ascii="Arial" w:cs="Arial" w:eastAsia="Arial" w:hAnsi="Arial"/>
          <w:sz w:val="20"/>
          <w:szCs w:val="20"/>
          <w:color w:val="080808"/>
        </w:rPr>
        <w:t xml:space="preserve"> </w:t>
      </w:r>
      <w:r>
        <w:rPr>
          <w:rFonts w:ascii="Arial" w:cs="Arial" w:eastAsia="Arial" w:hAnsi="Arial"/>
          <w:sz w:val="20"/>
          <w:szCs w:val="20"/>
          <w:color w:val="000000"/>
        </w:rPr>
        <w:t>be or become invalid, illegal or unenforceable in any respect, the validity, legality and enforceability of the remaining provisions of this Agreement shall not be affected thereby.</w:t>
      </w:r>
    </w:p>
    <w:p>
      <w:pPr>
        <w:spacing w:after="0" w:line="184" w:lineRule="exact"/>
        <w:rPr>
          <w:sz w:val="20"/>
          <w:szCs w:val="20"/>
          <w:color w:val="auto"/>
        </w:rPr>
      </w:pPr>
    </w:p>
    <w:p>
      <w:pPr>
        <w:jc w:val="both"/>
        <w:ind w:firstLine="1729"/>
        <w:spacing w:after="0" w:line="267" w:lineRule="auto"/>
        <w:rPr>
          <w:sz w:val="20"/>
          <w:szCs w:val="20"/>
          <w:color w:val="auto"/>
        </w:rPr>
      </w:pPr>
      <w:r>
        <w:rPr>
          <w:rFonts w:ascii="Arial" w:cs="Arial" w:eastAsia="Arial" w:hAnsi="Arial"/>
          <w:sz w:val="19"/>
          <w:szCs w:val="19"/>
          <w:color w:val="080808"/>
        </w:rPr>
        <w:t xml:space="preserve">(f) </w:t>
      </w:r>
      <w:r>
        <w:rPr>
          <w:rFonts w:ascii="Arial" w:cs="Arial" w:eastAsia="Arial" w:hAnsi="Arial"/>
          <w:sz w:val="19"/>
          <w:szCs w:val="19"/>
          <w:u w:val="single" w:color="auto"/>
          <w:color w:val="000000"/>
        </w:rPr>
        <w:t>Assignment</w:t>
      </w:r>
      <w:r>
        <w:rPr>
          <w:rFonts w:ascii="Arial" w:cs="Arial" w:eastAsia="Arial" w:hAnsi="Arial"/>
          <w:sz w:val="19"/>
          <w:szCs w:val="19"/>
          <w:color w:val="000000"/>
        </w:rPr>
        <w:t>. This Agreement, and all of Executive’s rights and duties hereunder, shall not</w:t>
      </w:r>
      <w:r>
        <w:rPr>
          <w:rFonts w:ascii="Arial" w:cs="Arial" w:eastAsia="Arial" w:hAnsi="Arial"/>
          <w:sz w:val="19"/>
          <w:szCs w:val="19"/>
          <w:color w:val="080808"/>
        </w:rPr>
        <w:t xml:space="preserve"> </w:t>
      </w:r>
      <w:r>
        <w:rPr>
          <w:rFonts w:ascii="Arial" w:cs="Arial" w:eastAsia="Arial" w:hAnsi="Arial"/>
          <w:sz w:val="19"/>
          <w:szCs w:val="19"/>
          <w:color w:val="000000"/>
        </w:rPr>
        <w:t xml:space="preserve">be assignable or delegable by Executive. Any purported assignment or delegation by Executive in violation of the foregoing shall be null and </w:t>
      </w:r>
      <w:r>
        <w:rPr>
          <w:rFonts w:ascii="Arial" w:cs="Arial" w:eastAsia="Arial" w:hAnsi="Arial"/>
          <w:sz w:val="19"/>
          <w:szCs w:val="19"/>
          <w:i w:val="1"/>
          <w:iCs w:val="1"/>
          <w:color w:val="000000"/>
        </w:rPr>
        <w:t>void ab initio</w:t>
      </w:r>
      <w:r>
        <w:rPr>
          <w:rFonts w:ascii="Arial" w:cs="Arial" w:eastAsia="Arial" w:hAnsi="Arial"/>
          <w:sz w:val="19"/>
          <w:szCs w:val="19"/>
          <w:color w:val="000000"/>
        </w:rPr>
        <w:t xml:space="preserve">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77" w:lineRule="exact"/>
        <w:rPr>
          <w:sz w:val="20"/>
          <w:szCs w:val="20"/>
          <w:color w:val="auto"/>
        </w:rPr>
      </w:pPr>
    </w:p>
    <w:p>
      <w:pPr>
        <w:jc w:val="both"/>
        <w:ind w:firstLine="1729"/>
        <w:spacing w:after="0" w:line="250" w:lineRule="auto"/>
        <w:rPr>
          <w:sz w:val="20"/>
          <w:szCs w:val="20"/>
          <w:color w:val="auto"/>
        </w:rPr>
      </w:pPr>
      <w:r>
        <w:rPr>
          <w:rFonts w:ascii="Arial" w:cs="Arial" w:eastAsia="Arial" w:hAnsi="Arial"/>
          <w:sz w:val="20"/>
          <w:szCs w:val="20"/>
          <w:color w:val="080808"/>
        </w:rPr>
        <w:t xml:space="preserve">(g) </w:t>
      </w:r>
      <w:r>
        <w:rPr>
          <w:rFonts w:ascii="Arial" w:cs="Arial" w:eastAsia="Arial" w:hAnsi="Arial"/>
          <w:sz w:val="20"/>
          <w:szCs w:val="20"/>
          <w:u w:val="single" w:color="auto"/>
          <w:color w:val="000000"/>
        </w:rPr>
        <w:t>Counterclaim; No Mitigation</w:t>
      </w:r>
      <w:r>
        <w:rPr>
          <w:rFonts w:ascii="Arial" w:cs="Arial" w:eastAsia="Arial" w:hAnsi="Arial"/>
          <w:sz w:val="20"/>
          <w:szCs w:val="20"/>
          <w:color w:val="000000"/>
        </w:rPr>
        <w:t>. The Company’s obligation to pay Executive the amounts</w:t>
      </w:r>
      <w:r>
        <w:rPr>
          <w:rFonts w:ascii="Arial" w:cs="Arial" w:eastAsia="Arial" w:hAnsi="Arial"/>
          <w:sz w:val="20"/>
          <w:szCs w:val="20"/>
          <w:color w:val="080808"/>
        </w:rPr>
        <w:t xml:space="preserve"> </w:t>
      </w:r>
      <w:r>
        <w:rPr>
          <w:rFonts w:ascii="Arial" w:cs="Arial" w:eastAsia="Arial" w:hAnsi="Arial"/>
          <w:sz w:val="20"/>
          <w:szCs w:val="20"/>
          <w:color w:val="000000"/>
        </w:rPr>
        <w:t>provided and to make the arrangements provided hereunder shall be subject to counterclaim and to seek recoupment of amounts owed by Executive to the Company or its affiliates. Executive shall not be required to mitigate the amount of any payment provided for pursuant to this Agreement by seeking other employment, and such payments shall not be reduced by any compensation or benefits received from any subsequent employer or other endeavor.</w:t>
      </w:r>
    </w:p>
    <w:p>
      <w:pPr>
        <w:spacing w:after="0" w:line="195" w:lineRule="exact"/>
        <w:rPr>
          <w:sz w:val="20"/>
          <w:szCs w:val="20"/>
          <w:color w:val="auto"/>
        </w:rPr>
      </w:pPr>
    </w:p>
    <w:p>
      <w:pPr>
        <w:jc w:val="both"/>
        <w:ind w:left="1740"/>
        <w:spacing w:after="0"/>
        <w:tabs>
          <w:tab w:leader="none" w:pos="3800" w:val="left"/>
        </w:tabs>
        <w:rPr>
          <w:sz w:val="20"/>
          <w:szCs w:val="20"/>
          <w:color w:val="auto"/>
        </w:rPr>
      </w:pPr>
      <w:r>
        <w:rPr>
          <w:rFonts w:ascii="Arial" w:cs="Arial" w:eastAsia="Arial" w:hAnsi="Arial"/>
          <w:sz w:val="20"/>
          <w:szCs w:val="20"/>
          <w:color w:val="080808"/>
        </w:rPr>
        <w:t>(h)</w:t>
      </w:r>
      <w:r>
        <w:rPr>
          <w:sz w:val="20"/>
          <w:szCs w:val="20"/>
          <w:color w:val="auto"/>
        </w:rPr>
        <w:tab/>
      </w: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Notwithstanding anything herein to the contrary,</w:t>
      </w:r>
    </w:p>
    <w:p>
      <w:pPr>
        <w:spacing w:after="0" w:line="9" w:lineRule="exact"/>
        <w:rPr>
          <w:sz w:val="20"/>
          <w:szCs w:val="20"/>
          <w:color w:val="auto"/>
        </w:rPr>
      </w:pPr>
    </w:p>
    <w:p>
      <w:pPr>
        <w:jc w:val="both"/>
        <w:ind w:firstLine="3"/>
        <w:spacing w:after="0" w:line="271" w:lineRule="auto"/>
        <w:tabs>
          <w:tab w:leader="none" w:pos="2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at the time of Executive’s termination of employment with the Company Executive is a “specified employee” as 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Executive) until the date that is six months following Executive’s termination of employment with the Company (or the earliest date as is permitted under Section 409A of the Code) and (ii) if any other payments of money or other benefits due to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For purposes of Section 409A of the Code, each payment made under this Agreement shall be designated as a “separate payment” within the meaning of the Section 409A of the Code, and references herein to Executive’s “termination of employment” shall refer to Executive’s separation from service with the Company within the meaning of Section 409A. To the extent any reimbursements or in-kind benefits due to Executive under this Agreement constitute “deferred compensation” under Section 409A of the Code, any such reimbursements or in-kind benefits shall be paid to Executive in a manner consistent with Treas. Reg. Section 1.409A-3(i)(1)(iv). The Company shall consult with Executive in good faith regarding the implementation of the provisions of this </w:t>
      </w:r>
      <w:r>
        <w:rPr>
          <w:rFonts w:ascii="Arial" w:cs="Arial" w:eastAsia="Arial" w:hAnsi="Arial"/>
          <w:sz w:val="18"/>
          <w:szCs w:val="18"/>
          <w:u w:val="single" w:color="auto"/>
          <w:color w:val="auto"/>
        </w:rPr>
        <w:t>Section 11(h)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its employees or representatives shall have any liability to Executive with respect to thereto or any tax imposed under Section 409A.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7" w:name="page148"/>
    <w:bookmarkEnd w:id="147"/>
    <w:p>
      <w:pPr>
        <w:jc w:val="both"/>
        <w:ind w:firstLine="1729"/>
        <w:spacing w:after="0" w:line="244" w:lineRule="auto"/>
        <w:rPr>
          <w:sz w:val="20"/>
          <w:szCs w:val="20"/>
          <w:color w:val="auto"/>
        </w:rPr>
      </w:pPr>
      <w:r>
        <w:rPr>
          <w:rFonts w:ascii="Arial" w:cs="Arial" w:eastAsia="Arial" w:hAnsi="Arial"/>
          <w:sz w:val="20"/>
          <w:szCs w:val="20"/>
          <w:color w:val="080808"/>
        </w:rPr>
        <w:t xml:space="preserve">(i) </w:t>
      </w:r>
      <w:r>
        <w:rPr>
          <w:rFonts w:ascii="Arial" w:cs="Arial" w:eastAsia="Arial" w:hAnsi="Arial"/>
          <w:sz w:val="20"/>
          <w:szCs w:val="20"/>
          <w:u w:val="single" w:color="auto"/>
          <w:color w:val="000000"/>
        </w:rPr>
        <w:t>Code Section 280G</w:t>
      </w:r>
      <w:r>
        <w:rPr>
          <w:rFonts w:ascii="Arial" w:cs="Arial" w:eastAsia="Arial" w:hAnsi="Arial"/>
          <w:sz w:val="20"/>
          <w:szCs w:val="20"/>
          <w:color w:val="000000"/>
        </w:rPr>
        <w:t>. Notwithstanding anything in this Agreement to the contrary, if any</w:t>
      </w:r>
      <w:r>
        <w:rPr>
          <w:rFonts w:ascii="Arial" w:cs="Arial" w:eastAsia="Arial" w:hAnsi="Arial"/>
          <w:sz w:val="20"/>
          <w:szCs w:val="20"/>
          <w:color w:val="080808"/>
        </w:rPr>
        <w:t xml:space="preserve"> </w:t>
      </w:r>
      <w:r>
        <w:rPr>
          <w:rFonts w:ascii="Arial" w:cs="Arial" w:eastAsia="Arial" w:hAnsi="Arial"/>
          <w:sz w:val="20"/>
          <w:szCs w:val="20"/>
          <w:color w:val="000000"/>
        </w:rPr>
        <w:t>payment or distribution Executive would receive pursuant to this Agreement or otherwise (“Payment”) would (a) constitute a “parachute payment” within the meaning of Section 280G of the Code, and (b) but for this sentence, be subject to the excise tax imposed by Section 4999 of the Code (the “Excise Tax”),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hereunder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204" w:lineRule="exact"/>
        <w:rPr>
          <w:sz w:val="20"/>
          <w:szCs w:val="20"/>
          <w:color w:val="auto"/>
        </w:rPr>
      </w:pPr>
    </w:p>
    <w:p>
      <w:pPr>
        <w:jc w:val="both"/>
        <w:ind w:firstLine="1729"/>
        <w:spacing w:after="0" w:line="250" w:lineRule="auto"/>
        <w:rPr>
          <w:sz w:val="20"/>
          <w:szCs w:val="20"/>
          <w:color w:val="auto"/>
        </w:rPr>
      </w:pPr>
      <w:r>
        <w:rPr>
          <w:rFonts w:ascii="Arial" w:cs="Arial" w:eastAsia="Arial" w:hAnsi="Arial"/>
          <w:sz w:val="20"/>
          <w:szCs w:val="20"/>
          <w:color w:val="080808"/>
        </w:rPr>
        <w:t xml:space="preserve">(j) </w:t>
      </w:r>
      <w:r>
        <w:rPr>
          <w:rFonts w:ascii="Arial" w:cs="Arial" w:eastAsia="Arial" w:hAnsi="Arial"/>
          <w:sz w:val="20"/>
          <w:szCs w:val="20"/>
          <w:u w:val="single" w:color="auto"/>
          <w:color w:val="000000"/>
        </w:rPr>
        <w:t>Successors; Binding Agreement</w:t>
      </w:r>
      <w:r>
        <w:rPr>
          <w:rFonts w:ascii="Arial" w:cs="Arial" w:eastAsia="Arial" w:hAnsi="Arial"/>
          <w:sz w:val="20"/>
          <w:szCs w:val="20"/>
          <w:color w:val="000000"/>
        </w:rPr>
        <w:t>. This Agreement shall inure to the benefit of and be</w:t>
      </w:r>
      <w:r>
        <w:rPr>
          <w:rFonts w:ascii="Arial" w:cs="Arial" w:eastAsia="Arial" w:hAnsi="Arial"/>
          <w:sz w:val="20"/>
          <w:szCs w:val="20"/>
          <w:color w:val="080808"/>
        </w:rPr>
        <w:t xml:space="preserve"> </w:t>
      </w:r>
      <w:r>
        <w:rPr>
          <w:rFonts w:ascii="Arial" w:cs="Arial" w:eastAsia="Arial" w:hAnsi="Arial"/>
          <w:sz w:val="20"/>
          <w:szCs w:val="20"/>
          <w:color w:val="000000"/>
        </w:rPr>
        <w:t xml:space="preserve">binding upon personal or legal representatives, executors, administrators, successors, heirs, distributees, devisees and legatees. In the event of Executive’s death prior to receipt of all amounts payable to Executive (including any unpaid amounts due under </w:t>
      </w:r>
      <w:r>
        <w:rPr>
          <w:rFonts w:ascii="Arial" w:cs="Arial" w:eastAsia="Arial" w:hAnsi="Arial"/>
          <w:sz w:val="20"/>
          <w:szCs w:val="20"/>
          <w:u w:val="single" w:color="auto"/>
          <w:color w:val="000000"/>
        </w:rPr>
        <w:t>Section 7</w:t>
      </w:r>
      <w:r>
        <w:rPr>
          <w:rFonts w:ascii="Arial" w:cs="Arial" w:eastAsia="Arial" w:hAnsi="Arial"/>
          <w:sz w:val="20"/>
          <w:szCs w:val="20"/>
          <w:color w:val="000000"/>
        </w:rPr>
        <w:t>), such amounts shall be paid to Executive’s beneficiary designated in a Notice provided to and accepted by the Company or, in the absence of such designation, to Executive’s estate.</w:t>
      </w:r>
    </w:p>
    <w:p>
      <w:pPr>
        <w:spacing w:after="0" w:line="195" w:lineRule="exact"/>
        <w:rPr>
          <w:sz w:val="20"/>
          <w:szCs w:val="20"/>
          <w:color w:val="auto"/>
        </w:rPr>
      </w:pPr>
    </w:p>
    <w:p>
      <w:pPr>
        <w:jc w:val="both"/>
        <w:ind w:firstLine="1729"/>
        <w:spacing w:after="0" w:line="249" w:lineRule="auto"/>
        <w:rPr>
          <w:sz w:val="20"/>
          <w:szCs w:val="20"/>
          <w:color w:val="auto"/>
        </w:rPr>
      </w:pPr>
      <w:r>
        <w:rPr>
          <w:rFonts w:ascii="Arial" w:cs="Arial" w:eastAsia="Arial" w:hAnsi="Arial"/>
          <w:sz w:val="20"/>
          <w:szCs w:val="20"/>
          <w:color w:val="080808"/>
        </w:rPr>
        <w:t xml:space="preserve">(k) </w:t>
      </w:r>
      <w:r>
        <w:rPr>
          <w:rFonts w:ascii="Arial" w:cs="Arial" w:eastAsia="Arial" w:hAnsi="Arial"/>
          <w:sz w:val="20"/>
          <w:szCs w:val="20"/>
          <w:u w:val="single" w:color="auto"/>
          <w:color w:val="000000"/>
        </w:rPr>
        <w:t>Notice</w:t>
      </w:r>
      <w:r>
        <w:rPr>
          <w:rFonts w:ascii="Arial" w:cs="Arial" w:eastAsia="Arial" w:hAnsi="Arial"/>
          <w:sz w:val="20"/>
          <w:szCs w:val="20"/>
          <w:color w:val="000000"/>
        </w:rPr>
        <w:t>. For the purpose of this Agreement, notices and all other communications</w:t>
      </w:r>
      <w:r>
        <w:rPr>
          <w:rFonts w:ascii="Arial" w:cs="Arial" w:eastAsia="Arial" w:hAnsi="Arial"/>
          <w:sz w:val="20"/>
          <w:szCs w:val="20"/>
          <w:color w:val="080808"/>
        </w:rPr>
        <w:t xml:space="preserve"> </w:t>
      </w:r>
      <w:r>
        <w:rPr>
          <w:rFonts w:ascii="Arial" w:cs="Arial" w:eastAsia="Arial" w:hAnsi="Arial"/>
          <w:sz w:val="20"/>
          <w:szCs w:val="20"/>
          <w:color w:val="000000"/>
        </w:rPr>
        <w:t>provided for in the Agreement shall be in writing and shall be deemed to have been duly given when delivered by hand or overnight courier or three postal delivery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(each such communication, “</w:t>
      </w:r>
      <w:r>
        <w:rPr>
          <w:rFonts w:ascii="Arial" w:cs="Arial" w:eastAsia="Arial" w:hAnsi="Arial"/>
          <w:sz w:val="20"/>
          <w:szCs w:val="20"/>
          <w:u w:val="single" w:color="auto"/>
          <w:color w:val="000000"/>
        </w:rPr>
        <w:t>Notice</w:t>
      </w:r>
      <w:r>
        <w:rPr>
          <w:rFonts w:ascii="Arial" w:cs="Arial" w:eastAsia="Arial" w:hAnsi="Arial"/>
          <w:sz w:val="20"/>
          <w:szCs w:val="20"/>
          <w:color w:val="000000"/>
        </w:rPr>
        <w:t>”).</w:t>
      </w:r>
    </w:p>
    <w:p>
      <w:pPr>
        <w:spacing w:after="0" w:line="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the Company, addressed to:</w:t>
      </w:r>
    </w:p>
    <w:p>
      <w:pPr>
        <w:spacing w:after="0" w:line="223" w:lineRule="exact"/>
        <w:rPr>
          <w:sz w:val="20"/>
          <w:szCs w:val="20"/>
          <w:color w:val="auto"/>
        </w:rPr>
      </w:pPr>
    </w:p>
    <w:p>
      <w:pPr>
        <w:ind w:left="2600"/>
        <w:spacing w:after="0"/>
        <w:rPr>
          <w:sz w:val="20"/>
          <w:szCs w:val="20"/>
          <w:color w:val="auto"/>
        </w:rPr>
      </w:pPr>
      <w:r>
        <w:rPr>
          <w:rFonts w:ascii="Arial" w:cs="Arial" w:eastAsia="Arial" w:hAnsi="Arial"/>
          <w:sz w:val="21"/>
          <w:szCs w:val="21"/>
          <w:color w:val="080808"/>
        </w:rPr>
        <w:t>Novus Therapeutics, Inc.</w:t>
      </w:r>
    </w:p>
    <w:p>
      <w:pPr>
        <w:ind w:left="2600"/>
        <w:spacing w:after="0"/>
        <w:rPr>
          <w:sz w:val="20"/>
          <w:szCs w:val="20"/>
          <w:color w:val="auto"/>
        </w:rPr>
      </w:pPr>
      <w:r>
        <w:rPr>
          <w:rFonts w:ascii="Arial" w:cs="Arial" w:eastAsia="Arial" w:hAnsi="Arial"/>
          <w:sz w:val="21"/>
          <w:szCs w:val="21"/>
          <w:color w:val="080808"/>
        </w:rPr>
        <w:t>Attn: Chairman</w:t>
      </w:r>
    </w:p>
    <w:p>
      <w:pPr>
        <w:ind w:left="2600"/>
        <w:spacing w:after="0" w:line="230" w:lineRule="auto"/>
        <w:rPr>
          <w:sz w:val="20"/>
          <w:szCs w:val="20"/>
          <w:color w:val="auto"/>
        </w:rPr>
      </w:pPr>
      <w:r>
        <w:rPr>
          <w:rFonts w:ascii="Arial" w:cs="Arial" w:eastAsia="Arial" w:hAnsi="Arial"/>
          <w:sz w:val="21"/>
          <w:szCs w:val="21"/>
          <w:color w:val="auto"/>
        </w:rPr>
        <w:t>19900 MacArthur Blvd., Suite 550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Irvine, California</w:t>
      </w:r>
    </w:p>
    <w:p>
      <w:pPr>
        <w:spacing w:after="0" w:line="20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Executive, to the address listed in the Company’s payroll records from time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8" w:name="page149"/>
    <w:bookmarkEnd w:id="148"/>
    <w:p>
      <w:pPr>
        <w:ind w:left="1740"/>
        <w:spacing w:after="0"/>
        <w:rPr>
          <w:sz w:val="20"/>
          <w:szCs w:val="20"/>
          <w:color w:val="auto"/>
        </w:rPr>
      </w:pPr>
      <w:r>
        <w:rPr>
          <w:rFonts w:ascii="Arial" w:cs="Arial" w:eastAsia="Arial" w:hAnsi="Arial"/>
          <w:sz w:val="21"/>
          <w:szCs w:val="21"/>
          <w:color w:val="auto"/>
        </w:rPr>
        <w:t>time.</w:t>
      </w:r>
    </w:p>
    <w:p>
      <w:pPr>
        <w:spacing w:after="0" w:line="223" w:lineRule="exact"/>
        <w:rPr>
          <w:sz w:val="20"/>
          <w:szCs w:val="20"/>
          <w:color w:val="auto"/>
        </w:rPr>
      </w:pPr>
    </w:p>
    <w:p>
      <w:pPr>
        <w:ind w:left="1740"/>
        <w:spacing w:after="0"/>
        <w:tabs>
          <w:tab w:leader="none" w:pos="3760" w:val="left"/>
        </w:tabs>
        <w:rPr>
          <w:sz w:val="20"/>
          <w:szCs w:val="20"/>
          <w:color w:val="auto"/>
        </w:rPr>
      </w:pPr>
      <w:r>
        <w:rPr>
          <w:rFonts w:ascii="Arial" w:cs="Arial" w:eastAsia="Arial" w:hAnsi="Arial"/>
          <w:sz w:val="17"/>
          <w:szCs w:val="17"/>
          <w:color w:val="080808"/>
        </w:rPr>
        <w:t>(l)</w:t>
      </w:r>
      <w:r>
        <w:rPr>
          <w:sz w:val="20"/>
          <w:szCs w:val="20"/>
          <w:color w:val="auto"/>
        </w:rPr>
        <w:tab/>
      </w:r>
      <w:r>
        <w:rPr>
          <w:rFonts w:ascii="Arial" w:cs="Arial" w:eastAsia="Arial" w:hAnsi="Arial"/>
          <w:sz w:val="18"/>
          <w:szCs w:val="18"/>
          <w:u w:val="single" w:color="auto"/>
          <w:color w:val="auto"/>
        </w:rPr>
        <w:t>Executive Representation</w:t>
      </w:r>
      <w:r>
        <w:rPr>
          <w:rFonts w:ascii="Arial" w:cs="Arial" w:eastAsia="Arial" w:hAnsi="Arial"/>
          <w:sz w:val="18"/>
          <w:szCs w:val="18"/>
          <w:color w:val="auto"/>
        </w:rPr>
        <w:t>. Executive hereby represents to the Company that the execution</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201"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(m) </w:t>
      </w:r>
      <w:r>
        <w:rPr>
          <w:rFonts w:ascii="Arial" w:cs="Arial" w:eastAsia="Arial" w:hAnsi="Arial"/>
          <w:sz w:val="20"/>
          <w:szCs w:val="20"/>
          <w:u w:val="single" w:color="auto"/>
          <w:color w:val="000000"/>
        </w:rPr>
        <w:t>Prior Agreements</w:t>
      </w:r>
      <w:r>
        <w:rPr>
          <w:rFonts w:ascii="Arial" w:cs="Arial" w:eastAsia="Arial" w:hAnsi="Arial"/>
          <w:sz w:val="20"/>
          <w:szCs w:val="20"/>
          <w:color w:val="000000"/>
        </w:rPr>
        <w:t>. This Agreement supersedes all prior agreements and understandings</w:t>
      </w:r>
      <w:r>
        <w:rPr>
          <w:rFonts w:ascii="Arial" w:cs="Arial" w:eastAsia="Arial" w:hAnsi="Arial"/>
          <w:sz w:val="20"/>
          <w:szCs w:val="20"/>
          <w:color w:val="080808"/>
        </w:rPr>
        <w:t xml:space="preserve"> </w:t>
      </w:r>
      <w:r>
        <w:rPr>
          <w:rFonts w:ascii="Arial" w:cs="Arial" w:eastAsia="Arial" w:hAnsi="Arial"/>
          <w:sz w:val="20"/>
          <w:szCs w:val="20"/>
          <w:color w:val="000000"/>
        </w:rPr>
        <w:t>(including verbal agreements) between Executive and the Company and/or its affiliates regarding the terms and conditions of Executive’s employment with the Company and/or its affiliates.</w:t>
      </w:r>
    </w:p>
    <w:p>
      <w:pPr>
        <w:spacing w:after="0" w:line="184" w:lineRule="exact"/>
        <w:rPr>
          <w:sz w:val="20"/>
          <w:szCs w:val="20"/>
          <w:color w:val="auto"/>
        </w:rPr>
      </w:pPr>
    </w:p>
    <w:p>
      <w:pPr>
        <w:jc w:val="both"/>
        <w:ind w:firstLine="1729"/>
        <w:spacing w:after="0" w:line="253" w:lineRule="auto"/>
        <w:rPr>
          <w:sz w:val="20"/>
          <w:szCs w:val="20"/>
          <w:color w:val="auto"/>
        </w:rPr>
      </w:pPr>
      <w:r>
        <w:rPr>
          <w:rFonts w:ascii="Arial" w:cs="Arial" w:eastAsia="Arial" w:hAnsi="Arial"/>
          <w:sz w:val="20"/>
          <w:szCs w:val="20"/>
          <w:color w:val="080808"/>
        </w:rPr>
        <w:t xml:space="preserve">(n) </w:t>
      </w:r>
      <w:r>
        <w:rPr>
          <w:rFonts w:ascii="Arial" w:cs="Arial" w:eastAsia="Arial" w:hAnsi="Arial"/>
          <w:sz w:val="20"/>
          <w:szCs w:val="20"/>
          <w:u w:val="single" w:color="auto"/>
          <w:color w:val="000000"/>
        </w:rPr>
        <w:t>Cooperation</w:t>
      </w:r>
      <w:r>
        <w:rPr>
          <w:rFonts w:ascii="Arial" w:cs="Arial" w:eastAsia="Arial" w:hAnsi="Arial"/>
          <w:sz w:val="20"/>
          <w:szCs w:val="20"/>
          <w:color w:val="000000"/>
        </w:rPr>
        <w:t>. Executive shall provide Executive’s reasonable cooperation in connection</w:t>
      </w:r>
      <w:r>
        <w:rPr>
          <w:rFonts w:ascii="Arial" w:cs="Arial" w:eastAsia="Arial" w:hAnsi="Arial"/>
          <w:sz w:val="20"/>
          <w:szCs w:val="20"/>
          <w:color w:val="080808"/>
        </w:rPr>
        <w:t xml:space="preserve"> </w:t>
      </w:r>
      <w:r>
        <w:rPr>
          <w:rFonts w:ascii="Arial" w:cs="Arial" w:eastAsia="Arial" w:hAnsi="Arial"/>
          <w:sz w:val="20"/>
          <w:szCs w:val="20"/>
          <w:color w:val="000000"/>
        </w:rPr>
        <w:t>with any action or proceeding (or any appeal from any action or proceeding) which relates to events occurring during Executive’s employment hereunder, provided, that, following termination of Executive’s employment, the Company shall pay all reasonable expenses incurred by Executive in providing such cooperation. This provision shall survive any termination of this Agreement.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ind w:left="1740"/>
              <w:spacing w:after="0"/>
              <w:rPr>
                <w:sz w:val="20"/>
                <w:szCs w:val="20"/>
                <w:color w:val="auto"/>
              </w:rPr>
            </w:pPr>
            <w:r>
              <w:rPr>
                <w:rFonts w:ascii="Arial" w:cs="Arial" w:eastAsia="Arial" w:hAnsi="Arial"/>
                <w:sz w:val="20"/>
                <w:szCs w:val="20"/>
                <w:color w:val="080808"/>
              </w:rPr>
              <w:t>(o)</w:t>
            </w:r>
          </w:p>
        </w:tc>
        <w:tc>
          <w:tcPr>
            <w:tcW w:w="7420" w:type="dxa"/>
            <w:vAlign w:val="bottom"/>
            <w:gridSpan w:val="3"/>
          </w:tcPr>
          <w:p>
            <w:pPr>
              <w:spacing w:after="0"/>
              <w:rPr>
                <w:sz w:val="20"/>
                <w:szCs w:val="20"/>
                <w:color w:val="auto"/>
              </w:rPr>
            </w:pPr>
            <w:r>
              <w:rPr>
                <w:rFonts w:ascii="Arial" w:cs="Arial" w:eastAsia="Arial" w:hAnsi="Arial"/>
                <w:sz w:val="21"/>
                <w:szCs w:val="21"/>
                <w:color w:val="auto"/>
                <w:w w:val="92"/>
              </w:rPr>
              <w:t>Withholding Taxes. The Company may withhold from any amounts payable under this</w:t>
            </w:r>
          </w:p>
        </w:tc>
      </w:tr>
      <w:tr>
        <w:trPr>
          <w:trHeight w:val="20"/>
        </w:trPr>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61"/>
        </w:trPr>
        <w:tc>
          <w:tcPr>
            <w:tcW w:w="11240" w:type="dxa"/>
            <w:vAlign w:val="bottom"/>
            <w:gridSpan w:val="4"/>
          </w:tcPr>
          <w:p>
            <w:pPr>
              <w:spacing w:after="0"/>
              <w:rPr>
                <w:sz w:val="20"/>
                <w:szCs w:val="20"/>
                <w:color w:val="auto"/>
              </w:rPr>
            </w:pPr>
            <w:r>
              <w:rPr>
                <w:rFonts w:ascii="Arial" w:cs="Arial" w:eastAsia="Arial" w:hAnsi="Arial"/>
                <w:sz w:val="21"/>
                <w:szCs w:val="21"/>
                <w:color w:val="auto"/>
                <w:w w:val="96"/>
              </w:rPr>
              <w:t>Agreement such federal, state and local taxes as may be required to be withheld pursuant to any applicable law or regulation.</w:t>
            </w:r>
          </w:p>
        </w:tc>
      </w:tr>
      <w:tr>
        <w:trPr>
          <w:trHeight w:val="415"/>
        </w:trPr>
        <w:tc>
          <w:tcPr>
            <w:tcW w:w="3820" w:type="dxa"/>
            <w:vAlign w:val="bottom"/>
          </w:tcPr>
          <w:p>
            <w:pPr>
              <w:ind w:left="1740"/>
              <w:spacing w:after="0"/>
              <w:rPr>
                <w:sz w:val="20"/>
                <w:szCs w:val="20"/>
                <w:color w:val="auto"/>
              </w:rPr>
            </w:pPr>
            <w:r>
              <w:rPr>
                <w:rFonts w:ascii="Arial" w:cs="Arial" w:eastAsia="Arial" w:hAnsi="Arial"/>
                <w:sz w:val="20"/>
                <w:szCs w:val="20"/>
                <w:color w:val="080808"/>
              </w:rPr>
              <w:t>(p)</w:t>
            </w:r>
          </w:p>
        </w:tc>
        <w:tc>
          <w:tcPr>
            <w:tcW w:w="7420" w:type="dxa"/>
            <w:vAlign w:val="bottom"/>
            <w:gridSpan w:val="3"/>
          </w:tcPr>
          <w:p>
            <w:pPr>
              <w:spacing w:after="0"/>
              <w:rPr>
                <w:sz w:val="20"/>
                <w:szCs w:val="20"/>
                <w:color w:val="auto"/>
              </w:rPr>
            </w:pPr>
            <w:r>
              <w:rPr>
                <w:rFonts w:ascii="Arial" w:cs="Arial" w:eastAsia="Arial" w:hAnsi="Arial"/>
                <w:sz w:val="21"/>
                <w:szCs w:val="21"/>
                <w:color w:val="auto"/>
                <w:w w:val="90"/>
              </w:rPr>
              <w:t>Counterparts. This Agreement may be signed in counterparts, each of which shall be an</w:t>
            </w:r>
          </w:p>
        </w:tc>
      </w:tr>
      <w:tr>
        <w:trPr>
          <w:trHeight w:val="20"/>
        </w:trPr>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original, with the same effect as if the signatures thereto and hereto were upon the same instrument.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 this Page]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IN WITNESS WHEREOF, the parties hereto have duly executed this Employment Agreement as of the Effective Date.</w:t>
      </w:r>
    </w:p>
    <w:p>
      <w:pPr>
        <w:spacing w:after="0" w:line="257"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NOVUS THERAPEUTICS, INC.</w:t>
      </w:r>
    </w:p>
    <w:p>
      <w:pPr>
        <w:sectPr>
          <w:pgSz w:w="11900" w:h="16838" w:orient="portrait"/>
          <w:cols w:equalWidth="0" w:num="1">
            <w:col w:w="10900"/>
          </w:cols>
          <w:pgMar w:left="320" w:top="77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Keith Katkin</w:t>
      </w:r>
    </w:p>
    <w:p>
      <w:pPr>
        <w:spacing w:after="0" w:line="34" w:lineRule="exact"/>
        <w:rPr>
          <w:sz w:val="20"/>
          <w:szCs w:val="20"/>
          <w:color w:val="auto"/>
        </w:rPr>
      </w:pPr>
    </w:p>
    <w:p>
      <w:pPr>
        <w:sectPr>
          <w:pgSz w:w="11900" w:h="16838" w:orient="portrait"/>
          <w:cols w:equalWidth="0" w:num="2">
            <w:col w:w="9100" w:space="720"/>
            <w:col w:w="1080"/>
          </w:cols>
          <w:pgMar w:left="320" w:top="776" w:right="679" w:bottom="1440" w:gutter="0" w:footer="0" w:header="0"/>
          <w:type w:val="continuous"/>
        </w:sectPr>
      </w:pPr>
    </w:p>
    <w:p>
      <w:pPr>
        <w:ind w:left="5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Chairman</w:t>
      </w:r>
    </w:p>
    <w:p>
      <w:pPr>
        <w:spacing w:after="0" w:line="222" w:lineRule="exact"/>
        <w:rPr>
          <w:sz w:val="20"/>
          <w:szCs w:val="20"/>
          <w:color w:val="auto"/>
        </w:rPr>
      </w:pPr>
    </w:p>
    <w:p>
      <w:pPr>
        <w:sectPr>
          <w:pgSz w:w="11900" w:h="16838" w:orient="portrait"/>
          <w:cols w:equalWidth="0" w:num="2">
            <w:col w:w="5620" w:space="420"/>
            <w:col w:w="4860"/>
          </w:cols>
          <w:pgMar w:left="320" w:top="776" w:right="679" w:bottom="1440" w:gutter="0" w:footer="0" w:header="0"/>
          <w:type w:val="continuous"/>
        </w:sect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EXECUTIVE</w:t>
      </w:r>
    </w:p>
    <w:p>
      <w:pPr>
        <w:sectPr>
          <w:pgSz w:w="11900" w:h="16838" w:orient="portrait"/>
          <w:cols w:equalWidth="0" w:num="1">
            <w:col w:w="10900"/>
          </w:cols>
          <w:pgMar w:left="320" w:top="776"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David-Alexandre Gros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00"/>
          </w:cols>
          <w:pgMar w:left="320" w:top="776" w:right="67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21"/>
          <w:szCs w:val="21"/>
          <w:b w:val="1"/>
          <w:bCs w:val="1"/>
          <w:color w:val="080808"/>
        </w:rPr>
        <w:t>Exhibit 10.9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80808"/>
        </w:rPr>
        <w:t>EXECUTIVE EMPLOYMENT AGREEMENT</w:t>
      </w:r>
    </w:p>
    <w:p>
      <w:pPr>
        <w:spacing w:after="0" w:line="22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080808"/>
        </w:rPr>
        <w:t>This Executive Employment Agreement (the “</w:t>
      </w:r>
      <w:r>
        <w:rPr>
          <w:rFonts w:ascii="Arial" w:cs="Arial" w:eastAsia="Arial" w:hAnsi="Arial"/>
          <w:sz w:val="21"/>
          <w:szCs w:val="21"/>
          <w:u w:val="single" w:color="auto"/>
          <w:color w:val="080808"/>
        </w:rPr>
        <w:t>Agreement</w:t>
      </w:r>
      <w:r>
        <w:rPr>
          <w:rFonts w:ascii="Arial" w:cs="Arial" w:eastAsia="Arial" w:hAnsi="Arial"/>
          <w:sz w:val="21"/>
          <w:szCs w:val="21"/>
          <w:color w:val="080808"/>
        </w:rPr>
        <w:t>”) is entered into as of March 1, 2021 (the “</w:t>
      </w:r>
      <w:r>
        <w:rPr>
          <w:rFonts w:ascii="Arial" w:cs="Arial" w:eastAsia="Arial" w:hAnsi="Arial"/>
          <w:sz w:val="21"/>
          <w:szCs w:val="21"/>
          <w:u w:val="single" w:color="auto"/>
          <w:color w:val="080808"/>
        </w:rPr>
        <w:t>Effective Date</w:t>
      </w:r>
      <w:r>
        <w:rPr>
          <w:rFonts w:ascii="Arial" w:cs="Arial" w:eastAsia="Arial" w:hAnsi="Arial"/>
          <w:sz w:val="21"/>
          <w:szCs w:val="21"/>
          <w:color w:val="080808"/>
        </w:rPr>
        <w:t>”), by and between Eledon Pharmaceuticals, Inc. (the “</w:t>
      </w:r>
      <w:r>
        <w:rPr>
          <w:rFonts w:ascii="Arial" w:cs="Arial" w:eastAsia="Arial" w:hAnsi="Arial"/>
          <w:sz w:val="21"/>
          <w:szCs w:val="21"/>
          <w:u w:val="single" w:color="auto"/>
          <w:color w:val="080808"/>
        </w:rPr>
        <w:t>Company</w:t>
      </w:r>
      <w:r>
        <w:rPr>
          <w:rFonts w:ascii="Arial" w:cs="Arial" w:eastAsia="Arial" w:hAnsi="Arial"/>
          <w:sz w:val="21"/>
          <w:szCs w:val="21"/>
          <w:color w:val="080808"/>
        </w:rPr>
        <w:t>”) and Jon Kuwahara (“</w:t>
      </w:r>
      <w:r>
        <w:rPr>
          <w:rFonts w:ascii="Arial" w:cs="Arial" w:eastAsia="Arial" w:hAnsi="Arial"/>
          <w:sz w:val="21"/>
          <w:szCs w:val="21"/>
          <w:u w:val="single" w:color="auto"/>
          <w:color w:val="080808"/>
        </w:rPr>
        <w:t>Executive</w:t>
      </w:r>
      <w:r>
        <w:rPr>
          <w:rFonts w:ascii="Arial" w:cs="Arial" w:eastAsia="Arial" w:hAnsi="Arial"/>
          <w:sz w:val="21"/>
          <w:szCs w:val="21"/>
          <w:color w:val="080808"/>
        </w:rPr>
        <w:t>”).</w:t>
      </w:r>
    </w:p>
    <w:p>
      <w:pPr>
        <w:spacing w:after="0" w:line="18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b w:val="1"/>
          <w:bCs w:val="1"/>
          <w:color w:val="080808"/>
        </w:rPr>
        <w:t>WHEREAS</w:t>
      </w:r>
      <w:r>
        <w:rPr>
          <w:rFonts w:ascii="Arial" w:cs="Arial" w:eastAsia="Arial" w:hAnsi="Arial"/>
          <w:sz w:val="21"/>
          <w:szCs w:val="21"/>
          <w:color w:val="080808"/>
        </w:rPr>
        <w:t>, the Company wishes to continue to employ Executive and Executive wishes to continue to be employed as the</w:t>
      </w:r>
      <w:r>
        <w:rPr>
          <w:rFonts w:ascii="Arial" w:cs="Arial" w:eastAsia="Arial" w:hAnsi="Arial"/>
          <w:sz w:val="21"/>
          <w:szCs w:val="21"/>
          <w:b w:val="1"/>
          <w:bCs w:val="1"/>
          <w:color w:val="080808"/>
        </w:rPr>
        <w:t xml:space="preserve"> </w:t>
      </w:r>
      <w:r>
        <w:rPr>
          <w:rFonts w:ascii="Arial" w:cs="Arial" w:eastAsia="Arial" w:hAnsi="Arial"/>
          <w:sz w:val="21"/>
          <w:szCs w:val="21"/>
          <w:color w:val="080808"/>
        </w:rPr>
        <w:t>Senior Vice President Finance &amp; Administration of the Company; and</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080808"/>
        </w:rPr>
        <w:t>WHEREAS</w:t>
      </w:r>
      <w:r>
        <w:rPr>
          <w:rFonts w:ascii="Arial" w:cs="Arial" w:eastAsia="Arial" w:hAnsi="Arial"/>
          <w:sz w:val="19"/>
          <w:szCs w:val="19"/>
          <w:color w:val="080808"/>
        </w:rPr>
        <w:t>, the Company and Executive wish to enter into this Agreement on the terms and conditions set forth below.</w:t>
      </w:r>
    </w:p>
    <w:p>
      <w:pPr>
        <w:spacing w:after="0" w:line="246"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080808"/>
        </w:rPr>
        <w:t>NOW</w:t>
      </w:r>
      <w:r>
        <w:rPr>
          <w:rFonts w:ascii="Arial" w:cs="Arial" w:eastAsia="Arial" w:hAnsi="Arial"/>
          <w:sz w:val="21"/>
          <w:szCs w:val="21"/>
          <w:color w:val="080808"/>
        </w:rPr>
        <w:t>,</w:t>
      </w:r>
      <w:r>
        <w:rPr>
          <w:rFonts w:ascii="Arial" w:cs="Arial" w:eastAsia="Arial" w:hAnsi="Arial"/>
          <w:sz w:val="21"/>
          <w:szCs w:val="21"/>
          <w:b w:val="1"/>
          <w:bCs w:val="1"/>
          <w:color w:val="080808"/>
        </w:rPr>
        <w:t xml:space="preserve"> THEREFORE</w:t>
      </w:r>
      <w:r>
        <w:rPr>
          <w:rFonts w:ascii="Arial" w:cs="Arial" w:eastAsia="Arial" w:hAnsi="Arial"/>
          <w:sz w:val="21"/>
          <w:szCs w:val="21"/>
          <w:color w:val="080808"/>
        </w:rPr>
        <w:t>, it is hereby agreed as follows</w:t>
      </w:r>
    </w:p>
    <w:p>
      <w:pPr>
        <w:spacing w:after="0" w:line="229" w:lineRule="exact"/>
        <w:rPr>
          <w:sz w:val="20"/>
          <w:szCs w:val="20"/>
          <w:color w:val="auto"/>
        </w:rPr>
      </w:pPr>
    </w:p>
    <w:p>
      <w:pPr>
        <w:jc w:val="both"/>
        <w:ind w:firstLine="1729"/>
        <w:spacing w:after="0" w:line="279" w:lineRule="auto"/>
        <w:rPr>
          <w:sz w:val="20"/>
          <w:szCs w:val="20"/>
          <w:color w:val="auto"/>
        </w:rPr>
      </w:pPr>
      <w:r>
        <w:rPr>
          <w:rFonts w:ascii="Arial" w:cs="Arial" w:eastAsia="Arial" w:hAnsi="Arial"/>
          <w:sz w:val="19"/>
          <w:szCs w:val="19"/>
          <w:color w:val="080808"/>
        </w:rPr>
        <w:t xml:space="preserve">1. </w:t>
      </w:r>
      <w:r>
        <w:rPr>
          <w:rFonts w:ascii="Arial" w:cs="Arial" w:eastAsia="Arial" w:hAnsi="Arial"/>
          <w:sz w:val="19"/>
          <w:szCs w:val="19"/>
          <w:u w:val="single" w:color="auto"/>
          <w:color w:val="080808"/>
        </w:rPr>
        <w:t>Employment</w:t>
      </w:r>
      <w:r>
        <w:rPr>
          <w:rFonts w:ascii="Arial" w:cs="Arial" w:eastAsia="Arial" w:hAnsi="Arial"/>
          <w:sz w:val="19"/>
          <w:szCs w:val="19"/>
          <w:color w:val="080808"/>
        </w:rPr>
        <w:t xml:space="preserve">. The Company agrees to employ Executive, and Executive hereby accepts such employment on an at-will basis, upon the terms and subject to the conditions set forth herein, for a period commencing on the Effective Date and ending on the date that this Agreement is terminated in accordance with </w:t>
      </w:r>
      <w:r>
        <w:rPr>
          <w:rFonts w:ascii="Arial" w:cs="Arial" w:eastAsia="Arial" w:hAnsi="Arial"/>
          <w:sz w:val="19"/>
          <w:szCs w:val="19"/>
          <w:u w:val="single" w:color="auto"/>
          <w:color w:val="080808"/>
        </w:rPr>
        <w:t>Section 7</w:t>
      </w:r>
      <w:r>
        <w:rPr>
          <w:rFonts w:ascii="Arial" w:cs="Arial" w:eastAsia="Arial" w:hAnsi="Arial"/>
          <w:sz w:val="19"/>
          <w:szCs w:val="19"/>
          <w:color w:val="080808"/>
        </w:rPr>
        <w:t xml:space="preserve"> below (the “</w:t>
      </w:r>
      <w:r>
        <w:rPr>
          <w:rFonts w:ascii="Arial" w:cs="Arial" w:eastAsia="Arial" w:hAnsi="Arial"/>
          <w:sz w:val="19"/>
          <w:szCs w:val="19"/>
          <w:u w:val="single" w:color="auto"/>
          <w:color w:val="080808"/>
        </w:rPr>
        <w:t>Employment Term</w:t>
      </w:r>
      <w:r>
        <w:rPr>
          <w:rFonts w:ascii="Arial" w:cs="Arial" w:eastAsia="Arial" w:hAnsi="Arial"/>
          <w:sz w:val="19"/>
          <w:szCs w:val="19"/>
          <w:color w:val="080808"/>
        </w:rPr>
        <w:t>”).</w:t>
      </w:r>
    </w:p>
    <w:p>
      <w:pPr>
        <w:spacing w:after="0" w:line="166" w:lineRule="exact"/>
        <w:rPr>
          <w:sz w:val="20"/>
          <w:szCs w:val="20"/>
          <w:color w:val="auto"/>
        </w:rPr>
      </w:pPr>
    </w:p>
    <w:p>
      <w:pPr>
        <w:jc w:val="both"/>
        <w:ind w:firstLine="1729"/>
        <w:spacing w:after="0" w:line="234" w:lineRule="auto"/>
        <w:rPr>
          <w:sz w:val="20"/>
          <w:szCs w:val="20"/>
          <w:color w:val="auto"/>
        </w:rPr>
      </w:pPr>
      <w:r>
        <w:rPr>
          <w:rFonts w:ascii="Arial" w:cs="Arial" w:eastAsia="Arial" w:hAnsi="Arial"/>
          <w:sz w:val="21"/>
          <w:szCs w:val="21"/>
          <w:color w:val="080808"/>
        </w:rPr>
        <w:t xml:space="preserve">2. </w:t>
      </w:r>
      <w:r>
        <w:rPr>
          <w:rFonts w:ascii="Arial" w:cs="Arial" w:eastAsia="Arial" w:hAnsi="Arial"/>
          <w:sz w:val="21"/>
          <w:szCs w:val="21"/>
          <w:u w:val="single" w:color="auto"/>
          <w:color w:val="080808"/>
        </w:rPr>
        <w:t>Position; Duties</w:t>
      </w:r>
      <w:r>
        <w:rPr>
          <w:rFonts w:ascii="Arial" w:cs="Arial" w:eastAsia="Arial" w:hAnsi="Arial"/>
          <w:sz w:val="21"/>
          <w:szCs w:val="21"/>
          <w:color w:val="080808"/>
        </w:rPr>
        <w:t xml:space="preserve">. During the Employment Term, Executive shall serve as the Senior Vice President Finance &amp; Administration of the Company. In such position, Executive shall report to the Company’s Chief Financial Officer (or, in the absence of a Chief Financial Officer, then the Company’s Chief Executive Officer) and shall have all the duties and responsibilities customarily rendered by such officers of companies of similar size and nature, </w:t>
      </w:r>
      <w:r>
        <w:rPr>
          <w:rFonts w:ascii="Arial" w:cs="Arial" w:eastAsia="Arial" w:hAnsi="Arial"/>
          <w:sz w:val="21"/>
          <w:szCs w:val="21"/>
          <w:color w:val="000000"/>
        </w:rPr>
        <w:t>as well as such duties as otherwise</w:t>
      </w:r>
      <w:r>
        <w:rPr>
          <w:rFonts w:ascii="Arial" w:cs="Arial" w:eastAsia="Arial" w:hAnsi="Arial"/>
          <w:sz w:val="21"/>
          <w:szCs w:val="21"/>
          <w:color w:val="080808"/>
        </w:rPr>
        <w:t xml:space="preserve"> </w:t>
      </w:r>
      <w:r>
        <w:rPr>
          <w:rFonts w:ascii="Arial" w:cs="Arial" w:eastAsia="Arial" w:hAnsi="Arial"/>
          <w:sz w:val="21"/>
          <w:szCs w:val="21"/>
          <w:color w:val="000000"/>
        </w:rPr>
        <w:t xml:space="preserve">determined from time to time by the Chief Financial Officer or Chief Executive Officer, as applicable. </w:t>
      </w:r>
      <w:r>
        <w:rPr>
          <w:rFonts w:ascii="Arial" w:cs="Arial" w:eastAsia="Arial" w:hAnsi="Arial"/>
          <w:sz w:val="21"/>
          <w:szCs w:val="21"/>
          <w:color w:val="080808"/>
        </w:rPr>
        <w:t>During the Employment Term,</w:t>
      </w:r>
      <w:r>
        <w:rPr>
          <w:rFonts w:ascii="Arial" w:cs="Arial" w:eastAsia="Arial" w:hAnsi="Arial"/>
          <w:sz w:val="21"/>
          <w:szCs w:val="21"/>
          <w:color w:val="000000"/>
        </w:rPr>
        <w:t xml:space="preserve"> </w:t>
      </w:r>
      <w:r>
        <w:rPr>
          <w:rFonts w:ascii="Arial" w:cs="Arial" w:eastAsia="Arial" w:hAnsi="Arial"/>
          <w:sz w:val="21"/>
          <w:szCs w:val="21"/>
          <w:color w:val="080808"/>
        </w:rPr>
        <w:t xml:space="preserve">Executive </w:t>
      </w:r>
      <w:r>
        <w:rPr>
          <w:rFonts w:ascii="Arial" w:cs="Arial" w:eastAsia="Arial" w:hAnsi="Arial"/>
          <w:sz w:val="21"/>
          <w:szCs w:val="21"/>
          <w:color w:val="000000"/>
        </w:rPr>
        <w:t>agrees to devote Executive’s full time and best efforts to the performance of Executive’s duties to the Company. Subject to</w:t>
      </w:r>
      <w:r>
        <w:rPr>
          <w:rFonts w:ascii="Arial" w:cs="Arial" w:eastAsia="Arial" w:hAnsi="Arial"/>
          <w:sz w:val="21"/>
          <w:szCs w:val="21"/>
          <w:color w:val="080808"/>
        </w:rPr>
        <w:t xml:space="preserve"> </w:t>
      </w:r>
      <w:r>
        <w:rPr>
          <w:rFonts w:ascii="Arial" w:cs="Arial" w:eastAsia="Arial" w:hAnsi="Arial"/>
          <w:sz w:val="21"/>
          <w:szCs w:val="21"/>
          <w:color w:val="000000"/>
        </w:rPr>
        <w:t>the foregoing, Executive may engage in activities relating to serving on civic and charitable boards or committees, and managing personal investments.</w:t>
      </w:r>
    </w:p>
    <w:p>
      <w:pPr>
        <w:spacing w:after="0" w:line="205"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070707"/>
        </w:rPr>
        <w:t xml:space="preserve">3. </w:t>
      </w:r>
      <w:r>
        <w:rPr>
          <w:rFonts w:ascii="Arial" w:cs="Arial" w:eastAsia="Arial" w:hAnsi="Arial"/>
          <w:sz w:val="21"/>
          <w:szCs w:val="21"/>
          <w:u w:val="single" w:color="auto"/>
          <w:color w:val="000000"/>
        </w:rPr>
        <w:t>Base Salary</w:t>
      </w:r>
      <w:r>
        <w:rPr>
          <w:rFonts w:ascii="Arial" w:cs="Arial" w:eastAsia="Arial" w:hAnsi="Arial"/>
          <w:sz w:val="21"/>
          <w:szCs w:val="21"/>
          <w:color w:val="000000"/>
        </w:rPr>
        <w:t>. During the Employment Term, the Company shall pay Executive an initial</w:t>
      </w:r>
      <w:r>
        <w:rPr>
          <w:rFonts w:ascii="Arial" w:cs="Arial" w:eastAsia="Arial" w:hAnsi="Arial"/>
          <w:sz w:val="21"/>
          <w:szCs w:val="21"/>
          <w:color w:val="070707"/>
        </w:rPr>
        <w:t xml:space="preserve"> </w:t>
      </w:r>
      <w:r>
        <w:rPr>
          <w:rFonts w:ascii="Arial" w:cs="Arial" w:eastAsia="Arial" w:hAnsi="Arial"/>
          <w:sz w:val="21"/>
          <w:szCs w:val="21"/>
          <w:color w:val="000000"/>
        </w:rPr>
        <w:t>base salary at the annualized rate of $318,586, payable in regular installments in accordance with the Company’s usual payment practices. Executive’s base salary may be increased in the sole discretion of the Company’s Board of Directors (the “</w:t>
      </w:r>
      <w:r>
        <w:rPr>
          <w:rFonts w:ascii="Arial" w:cs="Arial" w:eastAsia="Arial" w:hAnsi="Arial"/>
          <w:sz w:val="21"/>
          <w:szCs w:val="21"/>
          <w:u w:val="single" w:color="auto"/>
          <w:color w:val="000000"/>
        </w:rPr>
        <w:t>Board</w:t>
      </w:r>
      <w:r>
        <w:rPr>
          <w:rFonts w:ascii="Arial" w:cs="Arial" w:eastAsia="Arial" w:hAnsi="Arial"/>
          <w:sz w:val="21"/>
          <w:szCs w:val="21"/>
          <w:color w:val="000000"/>
        </w:rPr>
        <w:t>”) or the Compensation Committee of the Board (the “</w:t>
      </w:r>
      <w:r>
        <w:rPr>
          <w:rFonts w:ascii="Arial" w:cs="Arial" w:eastAsia="Arial" w:hAnsi="Arial"/>
          <w:sz w:val="21"/>
          <w:szCs w:val="21"/>
          <w:u w:val="single" w:color="auto"/>
          <w:color w:val="000000"/>
        </w:rPr>
        <w:t>Committee</w:t>
      </w:r>
      <w:r>
        <w:rPr>
          <w:rFonts w:ascii="Arial" w:cs="Arial" w:eastAsia="Arial" w:hAnsi="Arial"/>
          <w:sz w:val="21"/>
          <w:szCs w:val="21"/>
          <w:color w:val="000000"/>
        </w:rPr>
        <w:t>”). Executive’s annual base salary, as in effect from time to time, is hereinafter referred to as the “</w:t>
      </w:r>
      <w:r>
        <w:rPr>
          <w:rFonts w:ascii="Arial" w:cs="Arial" w:eastAsia="Arial" w:hAnsi="Arial"/>
          <w:sz w:val="21"/>
          <w:szCs w:val="21"/>
          <w:u w:val="single" w:color="auto"/>
          <w:color w:val="000000"/>
        </w:rPr>
        <w:t>Base Salary</w:t>
      </w:r>
      <w:r>
        <w:rPr>
          <w:rFonts w:ascii="Arial" w:cs="Arial" w:eastAsia="Arial" w:hAnsi="Arial"/>
          <w:sz w:val="21"/>
          <w:szCs w:val="21"/>
          <w:color w:val="000000"/>
        </w:rPr>
        <w:t>.”</w:t>
      </w:r>
    </w:p>
    <w:p>
      <w:pPr>
        <w:spacing w:after="0" w:line="205"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auto"/>
        </w:rPr>
        <w:t xml:space="preserve">4. </w:t>
      </w:r>
      <w:r>
        <w:rPr>
          <w:rFonts w:ascii="Arial" w:cs="Arial" w:eastAsia="Arial" w:hAnsi="Arial"/>
          <w:sz w:val="21"/>
          <w:szCs w:val="21"/>
          <w:u w:val="single" w:color="auto"/>
          <w:color w:val="auto"/>
        </w:rPr>
        <w:t>Incentive Compensation</w:t>
      </w:r>
      <w:r>
        <w:rPr>
          <w:rFonts w:ascii="Arial" w:cs="Arial" w:eastAsia="Arial" w:hAnsi="Arial"/>
          <w:sz w:val="21"/>
          <w:szCs w:val="21"/>
          <w:color w:val="auto"/>
        </w:rPr>
        <w:t>. During the Employment Term, Executive shall be eligible to receive an annual cash bonus based on performance objectives established by the Committee each year (the “</w:t>
      </w:r>
      <w:r>
        <w:rPr>
          <w:rFonts w:ascii="Arial" w:cs="Arial" w:eastAsia="Arial" w:hAnsi="Arial"/>
          <w:sz w:val="21"/>
          <w:szCs w:val="21"/>
          <w:u w:val="single" w:color="auto"/>
          <w:color w:val="auto"/>
        </w:rPr>
        <w:t>Annual Bonus</w:t>
      </w:r>
      <w:r>
        <w:rPr>
          <w:rFonts w:ascii="Arial" w:cs="Arial" w:eastAsia="Arial" w:hAnsi="Arial"/>
          <w:sz w:val="21"/>
          <w:szCs w:val="21"/>
          <w:color w:val="auto"/>
        </w:rPr>
        <w:t>”). Executive’s target Annual Bonus amount will be the percentage of Base Salary designated as the target by the Committee, which annual target amount shall equal 30% of the Base Salary then in effect (the “</w:t>
      </w:r>
      <w:r>
        <w:rPr>
          <w:rFonts w:ascii="Arial" w:cs="Arial" w:eastAsia="Arial" w:hAnsi="Arial"/>
          <w:sz w:val="21"/>
          <w:szCs w:val="21"/>
          <w:u w:val="single" w:color="auto"/>
          <w:color w:val="auto"/>
        </w:rPr>
        <w:t>Annual Target Bonus</w:t>
      </w:r>
      <w:r>
        <w:rPr>
          <w:rFonts w:ascii="Arial" w:cs="Arial" w:eastAsia="Arial" w:hAnsi="Arial"/>
          <w:sz w:val="21"/>
          <w:szCs w:val="21"/>
          <w:color w:val="auto"/>
        </w:rPr>
        <w:t>”). Notwithstanding the preceding and subject to the terms set forth on Exhibit A, the Annual Bonus, if any, may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51" w:name="page152"/>
    <w:bookmarkEnd w:id="151"/>
    <w:p>
      <w:pPr>
        <w:spacing w:after="0"/>
        <w:rPr>
          <w:sz w:val="20"/>
          <w:szCs w:val="20"/>
          <w:color w:val="auto"/>
        </w:rPr>
      </w:pPr>
      <w:r>
        <w:rPr>
          <w:rFonts w:ascii="Arial" w:cs="Arial" w:eastAsia="Arial" w:hAnsi="Arial"/>
          <w:sz w:val="21"/>
          <w:szCs w:val="21"/>
          <w:color w:val="auto"/>
        </w:rPr>
        <w:t>below (including zero), at, or above the target based upon the achievement of the performance objectives.</w:t>
      </w:r>
    </w:p>
    <w:p>
      <w:pPr>
        <w:spacing w:after="0" w:line="223"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070707"/>
        </w:rPr>
        <w:t xml:space="preserve">5. </w:t>
      </w:r>
      <w:r>
        <w:rPr>
          <w:rFonts w:ascii="Arial" w:cs="Arial" w:eastAsia="Arial" w:hAnsi="Arial"/>
          <w:sz w:val="21"/>
          <w:szCs w:val="21"/>
          <w:u w:val="single" w:color="auto"/>
          <w:color w:val="000000"/>
        </w:rPr>
        <w:t>Employee Benefits; Vacation</w:t>
      </w:r>
      <w:r>
        <w:rPr>
          <w:rFonts w:ascii="Arial" w:cs="Arial" w:eastAsia="Arial" w:hAnsi="Arial"/>
          <w:sz w:val="21"/>
          <w:szCs w:val="21"/>
          <w:color w:val="000000"/>
        </w:rPr>
        <w:t>. During the Employment Term, Executive shall be entitled</w:t>
      </w:r>
      <w:r>
        <w:rPr>
          <w:rFonts w:ascii="Arial" w:cs="Arial" w:eastAsia="Arial" w:hAnsi="Arial"/>
          <w:sz w:val="21"/>
          <w:szCs w:val="21"/>
          <w:color w:val="070707"/>
        </w:rPr>
        <w:t xml:space="preserve"> </w:t>
      </w:r>
      <w:r>
        <w:rPr>
          <w:rFonts w:ascii="Arial" w:cs="Arial" w:eastAsia="Arial" w:hAnsi="Arial"/>
          <w:sz w:val="21"/>
          <w:szCs w:val="21"/>
          <w:color w:val="000000"/>
        </w:rPr>
        <w:t xml:space="preserve">to participate in the Company’s employee </w:t>
      </w:r>
      <w:r>
        <w:rPr>
          <w:rFonts w:ascii="Arial" w:cs="Arial" w:eastAsia="Arial" w:hAnsi="Arial"/>
          <w:sz w:val="21"/>
          <w:szCs w:val="21"/>
          <w:color w:val="070707"/>
        </w:rPr>
        <w:t>benefit plans as in effect from time to time (collectively “</w:t>
      </w:r>
      <w:r>
        <w:rPr>
          <w:rFonts w:ascii="Arial" w:cs="Arial" w:eastAsia="Arial" w:hAnsi="Arial"/>
          <w:sz w:val="21"/>
          <w:szCs w:val="21"/>
          <w:u w:val="single" w:color="auto"/>
          <w:color w:val="070707"/>
        </w:rPr>
        <w:t>Employee Benefits</w:t>
      </w:r>
      <w:r>
        <w:rPr>
          <w:rFonts w:ascii="Arial" w:cs="Arial" w:eastAsia="Arial" w:hAnsi="Arial"/>
          <w:sz w:val="21"/>
          <w:szCs w:val="21"/>
          <w:color w:val="070707"/>
        </w:rPr>
        <w:t>”), on the same</w:t>
      </w:r>
      <w:r>
        <w:rPr>
          <w:rFonts w:ascii="Arial" w:cs="Arial" w:eastAsia="Arial" w:hAnsi="Arial"/>
          <w:sz w:val="21"/>
          <w:szCs w:val="21"/>
          <w:color w:val="000000"/>
        </w:rPr>
        <w:t xml:space="preserve"> </w:t>
      </w:r>
      <w:r>
        <w:rPr>
          <w:rFonts w:ascii="Arial" w:cs="Arial" w:eastAsia="Arial" w:hAnsi="Arial"/>
          <w:sz w:val="21"/>
          <w:szCs w:val="21"/>
          <w:color w:val="070707"/>
        </w:rPr>
        <w:t>basis as those benefits are generally made available to other senior executives of the Company, in each case to the extent that Executive is eligible under the terms of such plans or programs. In addition, Executive shall be entitled to four weeks of paid vacation in accordance with the Company’s vacation policy.</w:t>
      </w:r>
    </w:p>
    <w:p>
      <w:pPr>
        <w:spacing w:after="0" w:line="205"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6. </w:t>
      </w:r>
      <w:r>
        <w:rPr>
          <w:rFonts w:ascii="Arial" w:cs="Arial" w:eastAsia="Arial" w:hAnsi="Arial"/>
          <w:sz w:val="21"/>
          <w:szCs w:val="21"/>
          <w:u w:val="single" w:color="auto"/>
          <w:color w:val="auto"/>
        </w:rPr>
        <w:t>Business Expenses</w:t>
      </w:r>
      <w:r>
        <w:rPr>
          <w:rFonts w:ascii="Arial" w:cs="Arial" w:eastAsia="Arial" w:hAnsi="Arial"/>
          <w:sz w:val="21"/>
          <w:szCs w:val="21"/>
          <w:color w:val="auto"/>
        </w:rPr>
        <w:t>. During the Employment Term, reasonable business expenses incurred by Executive in the performance of Executive’s duties hereunder shall be advanced or promptly reimbursed by the Company in accordance with Company policies.</w:t>
      </w:r>
    </w:p>
    <w:p>
      <w:pPr>
        <w:spacing w:after="0" w:line="201"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7. </w:t>
      </w:r>
      <w:r>
        <w:rPr>
          <w:rFonts w:ascii="Arial" w:cs="Arial" w:eastAsia="Arial" w:hAnsi="Arial"/>
          <w:sz w:val="21"/>
          <w:szCs w:val="21"/>
          <w:u w:val="single" w:color="auto"/>
          <w:color w:val="auto"/>
        </w:rPr>
        <w:t>Termination</w:t>
      </w:r>
      <w:r>
        <w:rPr>
          <w:rFonts w:ascii="Arial" w:cs="Arial" w:eastAsia="Arial" w:hAnsi="Arial"/>
          <w:sz w:val="21"/>
          <w:szCs w:val="21"/>
          <w:color w:val="auto"/>
        </w:rPr>
        <w:t>. The Employment Term and Executive’s employment may be terminated by the Company at any time and for any reason upon Notice to Executive and by Executive upon at least 30 days’ advance Notice of any such resignation of Executive’s employment.</w:t>
      </w:r>
    </w:p>
    <w:p>
      <w:pPr>
        <w:spacing w:after="0" w:line="201"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Severance Benefits</w:t>
      </w:r>
      <w:r>
        <w:rPr>
          <w:rFonts w:ascii="Arial" w:cs="Arial" w:eastAsia="Arial" w:hAnsi="Arial"/>
          <w:sz w:val="19"/>
          <w:szCs w:val="19"/>
          <w:color w:val="auto"/>
        </w:rPr>
        <w:t xml:space="preserve">. Upon Executive’s termination of service with the Company, Executive shall be entitled to the post-termination payments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provided that Executive’s rights to receive any benefits or payments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other than the “</w:t>
      </w:r>
      <w:r>
        <w:rPr>
          <w:rFonts w:ascii="Arial" w:cs="Arial" w:eastAsia="Arial" w:hAnsi="Arial"/>
          <w:sz w:val="19"/>
          <w:szCs w:val="19"/>
          <w:i w:val="1"/>
          <w:iCs w:val="1"/>
          <w:color w:val="auto"/>
        </w:rPr>
        <w:t>Accrued Rights</w:t>
      </w:r>
      <w:r>
        <w:rPr>
          <w:rFonts w:ascii="Arial" w:cs="Arial" w:eastAsia="Arial" w:hAnsi="Arial"/>
          <w:sz w:val="19"/>
          <w:szCs w:val="19"/>
          <w:color w:val="auto"/>
        </w:rPr>
        <w:t xml:space="preserve">” (as defined on </w:t>
      </w:r>
      <w:r>
        <w:rPr>
          <w:rFonts w:ascii="Arial" w:cs="Arial" w:eastAsia="Arial" w:hAnsi="Arial"/>
          <w:sz w:val="19"/>
          <w:szCs w:val="19"/>
          <w:u w:val="single" w:color="auto"/>
          <w:color w:val="auto"/>
        </w:rPr>
        <w:t>Exhibit A</w:t>
      </w:r>
      <w:r>
        <w:rPr>
          <w:rFonts w:ascii="Arial" w:cs="Arial" w:eastAsia="Arial" w:hAnsi="Arial"/>
          <w:sz w:val="19"/>
          <w:szCs w:val="19"/>
          <w:color w:val="auto"/>
        </w:rPr>
        <w:t>) shall be subject to the execution and non-revocation within 45 days of the Separation Date of a form of separation agreement reasonably acceptable to the Company containing a general release in favor of the Company and a 24-month non-solicitation covenant covering all Company employees and consultants serving as of the Separation Date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xml:space="preserve">”). Payment of any severance benefits (other than those relating to the Accrued Rights) will be made commencing on the next regular payroll period following the expiration of any revocation periods under the Separation Agreement. The Company’s obligation to make severance payments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(other than with respect to the Accrued Rights) is expressly conditioned on the Executive not breaching the Separation Agreement or this Agreement; upon any material breach of the terms of the Separation Agreement or this Agreement, the Company shall be entitled to recover prior severance payments, as set forth in the Separation Agreement.</w:t>
      </w:r>
    </w:p>
    <w:p>
      <w:pPr>
        <w:spacing w:after="0" w:line="191"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Any termination of employment by the Company or by Executive (other than due to Executive’s death) shall be communicated by Notice of Termination to the other party hereto in accordance with </w:t>
      </w:r>
      <w:r>
        <w:rPr>
          <w:rFonts w:ascii="Arial" w:cs="Arial" w:eastAsia="Arial" w:hAnsi="Arial"/>
          <w:sz w:val="21"/>
          <w:szCs w:val="21"/>
          <w:u w:val="single" w:color="auto"/>
          <w:color w:val="auto"/>
        </w:rPr>
        <w:t>Section 11(k)</w:t>
      </w:r>
      <w:r>
        <w:rPr>
          <w:rFonts w:ascii="Arial" w:cs="Arial" w:eastAsia="Arial" w:hAnsi="Arial"/>
          <w:sz w:val="21"/>
          <w:szCs w:val="21"/>
          <w:color w:val="auto"/>
        </w:rPr>
        <w:t xml:space="preserve">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Notice that indicates the specific termination provision in this Agreement relied upon and sets forth in reasonable detail the facts and circumstances claimed to provide a basis for termination of employment under the provision so indicated.</w:t>
      </w:r>
    </w:p>
    <w:p>
      <w:pPr>
        <w:spacing w:after="0" w:line="205"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Termination and Offices Held</w:t>
      </w:r>
      <w:r>
        <w:rPr>
          <w:rFonts w:ascii="Arial" w:cs="Arial" w:eastAsia="Arial" w:hAnsi="Arial"/>
          <w:sz w:val="21"/>
          <w:szCs w:val="21"/>
          <w:color w:val="auto"/>
        </w:rPr>
        <w:t>. Upon termination of Executive’s employment for any reason, Executive shall be deemed to have resigned from all positions that Executive may then hold as an employee, officer or director of the Company or any affiliate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2" w:name="page153"/>
    <w:bookmarkEnd w:id="152"/>
    <w:p>
      <w:pPr>
        <w:jc w:val="both"/>
        <w:spacing w:after="0" w:line="252" w:lineRule="auto"/>
        <w:rPr>
          <w:sz w:val="20"/>
          <w:szCs w:val="20"/>
          <w:color w:val="auto"/>
        </w:rPr>
      </w:pPr>
      <w:r>
        <w:rPr>
          <w:rFonts w:ascii="Arial" w:cs="Arial" w:eastAsia="Arial" w:hAnsi="Arial"/>
          <w:sz w:val="21"/>
          <w:szCs w:val="21"/>
          <w:color w:val="auto"/>
        </w:rPr>
        <w:t>Company. Executive shall promptly deliver to the Company any additional documents reasonably required by the Company to confirm such resignations.</w:t>
      </w:r>
    </w:p>
    <w:p>
      <w:pPr>
        <w:spacing w:after="0" w:line="189"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u w:val="single" w:color="auto"/>
          <w:color w:val="auto"/>
        </w:rPr>
        <w:t>Non-Disparagement</w:t>
      </w:r>
      <w:r>
        <w:rPr>
          <w:rFonts w:ascii="Arial" w:cs="Arial" w:eastAsia="Arial" w:hAnsi="Arial"/>
          <w:sz w:val="20"/>
          <w:szCs w:val="20"/>
          <w:color w:val="auto"/>
        </w:rPr>
        <w:t>. Executive shall not, while employed by the Company or at any time thereafter, disparage the Company (or any affiliate) in any way that materially and adversely affects the goodwill, reputation or business relationships of the Company or the affiliate with the public generally, or with any of its customers, vendors or employees</w:t>
      </w:r>
    </w:p>
    <w:p>
      <w:pPr>
        <w:spacing w:after="0" w:line="184"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9. </w:t>
      </w:r>
      <w:r>
        <w:rPr>
          <w:rFonts w:ascii="Arial" w:cs="Arial" w:eastAsia="Arial" w:hAnsi="Arial"/>
          <w:sz w:val="21"/>
          <w:szCs w:val="21"/>
          <w:u w:val="single" w:color="auto"/>
          <w:color w:val="auto"/>
        </w:rPr>
        <w:t>Proprietary Information and Inventions Assignment Agreement</w:t>
      </w:r>
      <w:r>
        <w:rPr>
          <w:rFonts w:ascii="Arial" w:cs="Arial" w:eastAsia="Arial" w:hAnsi="Arial"/>
          <w:sz w:val="21"/>
          <w:szCs w:val="21"/>
          <w:color w:val="auto"/>
        </w:rPr>
        <w:t>. As a condition to Executive’s employment with the Company, Executive acknowledges his prior execution and delivery of the Company’s standard Proprietary Information and Inventions Agreement (the “</w:t>
      </w:r>
      <w:r>
        <w:rPr>
          <w:rFonts w:ascii="Arial" w:cs="Arial" w:eastAsia="Arial" w:hAnsi="Arial"/>
          <w:sz w:val="21"/>
          <w:szCs w:val="21"/>
          <w:u w:val="single" w:color="auto"/>
          <w:color w:val="auto"/>
        </w:rPr>
        <w:t>PIIA Agreement</w:t>
      </w:r>
      <w:r>
        <w:rPr>
          <w:rFonts w:ascii="Arial" w:cs="Arial" w:eastAsia="Arial" w:hAnsi="Arial"/>
          <w:sz w:val="21"/>
          <w:szCs w:val="21"/>
          <w:color w:val="auto"/>
        </w:rPr>
        <w:t>”).</w:t>
      </w:r>
    </w:p>
    <w:p>
      <w:pPr>
        <w:spacing w:after="0" w:line="201" w:lineRule="exact"/>
        <w:rPr>
          <w:sz w:val="20"/>
          <w:szCs w:val="20"/>
          <w:color w:val="auto"/>
        </w:rPr>
      </w:pPr>
    </w:p>
    <w:p>
      <w:pPr>
        <w:jc w:val="both"/>
        <w:ind w:firstLine="1729"/>
        <w:spacing w:after="0" w:line="235" w:lineRule="auto"/>
        <w:rPr>
          <w:sz w:val="20"/>
          <w:szCs w:val="20"/>
          <w:color w:val="auto"/>
        </w:rPr>
      </w:pPr>
      <w:r>
        <w:rPr>
          <w:rFonts w:ascii="Arial" w:cs="Arial" w:eastAsia="Arial" w:hAnsi="Arial"/>
          <w:sz w:val="21"/>
          <w:szCs w:val="21"/>
          <w:color w:val="auto"/>
        </w:rPr>
        <w:t xml:space="preserve">10.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xml:space="preserve">. Executive acknowledges and agrees that the Company’s remedies at law for a breach or threatened breach of any of the provisions of </w:t>
      </w:r>
      <w:r>
        <w:rPr>
          <w:rFonts w:ascii="Arial" w:cs="Arial" w:eastAsia="Arial" w:hAnsi="Arial"/>
          <w:sz w:val="21"/>
          <w:szCs w:val="21"/>
          <w:u w:val="single" w:color="auto"/>
          <w:color w:val="auto"/>
        </w:rPr>
        <w:t>Sections 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w:t>
      </w:r>
      <w:r>
        <w:rPr>
          <w:rFonts w:ascii="Arial" w:cs="Arial" w:eastAsia="Arial" w:hAnsi="Arial"/>
          <w:sz w:val="21"/>
          <w:szCs w:val="21"/>
          <w:color w:val="auto"/>
        </w:rPr>
        <w:t xml:space="preserve"> may be inadequate and the Company may suffer irreparable damages as a result of such breach or threatened breach.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179"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r>
              <w:rPr>
                <w:rFonts w:ascii="Arial" w:cs="Arial" w:eastAsia="Arial" w:hAnsi="Arial"/>
                <w:sz w:val="21"/>
                <w:szCs w:val="21"/>
                <w:color w:val="auto"/>
              </w:rPr>
              <w:t>11.</w:t>
            </w:r>
          </w:p>
        </w:tc>
        <w:tc>
          <w:tcPr>
            <w:tcW w:w="7400" w:type="dxa"/>
            <w:vAlign w:val="bottom"/>
            <w:gridSpan w:val="3"/>
          </w:tcPr>
          <w:p>
            <w:pPr>
              <w:spacing w:after="0"/>
              <w:rPr>
                <w:sz w:val="20"/>
                <w:szCs w:val="20"/>
                <w:color w:val="auto"/>
              </w:rPr>
            </w:pPr>
            <w:r>
              <w:rPr>
                <w:rFonts w:ascii="Arial" w:cs="Arial" w:eastAsia="Arial" w:hAnsi="Arial"/>
                <w:sz w:val="21"/>
                <w:szCs w:val="21"/>
                <w:color w:val="auto"/>
              </w:rPr>
              <w:t>Miscellaneous.</w:t>
            </w:r>
          </w:p>
        </w:tc>
      </w:tr>
      <w:tr>
        <w:trPr>
          <w:trHeight w:val="20"/>
        </w:trPr>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44"/>
        </w:trPr>
        <w:tc>
          <w:tcPr>
            <w:tcW w:w="2100" w:type="dxa"/>
            <w:vAlign w:val="bottom"/>
          </w:tcPr>
          <w:p>
            <w:pPr>
              <w:spacing w:after="0"/>
              <w:rPr>
                <w:sz w:val="20"/>
                <w:szCs w:val="20"/>
                <w:color w:val="auto"/>
              </w:rPr>
            </w:pPr>
            <w:r>
              <w:rPr>
                <w:rFonts w:ascii="Arial" w:cs="Arial" w:eastAsia="Arial" w:hAnsi="Arial"/>
                <w:sz w:val="20"/>
                <w:szCs w:val="20"/>
                <w:color w:val="080808"/>
              </w:rPr>
              <w:t>(a)</w:t>
            </w:r>
          </w:p>
        </w:tc>
        <w:tc>
          <w:tcPr>
            <w:tcW w:w="7400" w:type="dxa"/>
            <w:vAlign w:val="bottom"/>
            <w:gridSpan w:val="3"/>
          </w:tcPr>
          <w:p>
            <w:pPr>
              <w:spacing w:after="0"/>
              <w:rPr>
                <w:sz w:val="20"/>
                <w:szCs w:val="20"/>
                <w:color w:val="auto"/>
              </w:rPr>
            </w:pPr>
            <w:r>
              <w:rPr>
                <w:rFonts w:ascii="Arial" w:cs="Arial" w:eastAsia="Arial" w:hAnsi="Arial"/>
                <w:sz w:val="21"/>
                <w:szCs w:val="21"/>
                <w:color w:val="auto"/>
                <w:w w:val="91"/>
              </w:rPr>
              <w:t>Arbitration. For the avoidance of doubt, the arbitration and equitable relief provisions of</w:t>
            </w:r>
          </w:p>
        </w:tc>
      </w:tr>
      <w:tr>
        <w:trPr>
          <w:trHeight w:val="20"/>
        </w:trPr>
        <w:tc>
          <w:tcPr>
            <w:tcW w:w="2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PIIA Agreement shall apply to any dispute concerning Executive’s employment with the Company or arising under or in any way related to this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ind w:left="1740"/>
              <w:spacing w:after="0"/>
              <w:rPr>
                <w:sz w:val="20"/>
                <w:szCs w:val="20"/>
                <w:color w:val="auto"/>
              </w:rPr>
            </w:pPr>
            <w:r>
              <w:rPr>
                <w:rFonts w:ascii="Arial" w:cs="Arial" w:eastAsia="Arial" w:hAnsi="Arial"/>
                <w:sz w:val="20"/>
                <w:szCs w:val="20"/>
                <w:color w:val="080808"/>
              </w:rPr>
              <w:t>(b)</w:t>
            </w:r>
          </w:p>
        </w:tc>
        <w:tc>
          <w:tcPr>
            <w:tcW w:w="5100" w:type="dxa"/>
            <w:vAlign w:val="bottom"/>
            <w:gridSpan w:val="2"/>
          </w:tcPr>
          <w:p>
            <w:pPr>
              <w:jc w:val="right"/>
              <w:ind w:right="60"/>
              <w:spacing w:after="0"/>
              <w:rPr>
                <w:sz w:val="20"/>
                <w:szCs w:val="20"/>
                <w:color w:val="auto"/>
              </w:rPr>
            </w:pPr>
            <w:r>
              <w:rPr>
                <w:rFonts w:ascii="Arial" w:cs="Arial" w:eastAsia="Arial" w:hAnsi="Arial"/>
                <w:sz w:val="21"/>
                <w:szCs w:val="21"/>
                <w:color w:val="auto"/>
                <w:w w:val="96"/>
              </w:rPr>
              <w:t>Governing Law; Consent to Personal Jurisdiction.  THIS</w:t>
            </w:r>
          </w:p>
        </w:tc>
        <w:tc>
          <w:tcPr>
            <w:tcW w:w="2320" w:type="dxa"/>
            <w:vAlign w:val="bottom"/>
          </w:tcPr>
          <w:p>
            <w:pPr>
              <w:jc w:val="right"/>
              <w:spacing w:after="0"/>
              <w:rPr>
                <w:sz w:val="20"/>
                <w:szCs w:val="20"/>
                <w:color w:val="auto"/>
              </w:rPr>
            </w:pPr>
            <w:r>
              <w:rPr>
                <w:rFonts w:ascii="Arial" w:cs="Arial" w:eastAsia="Arial" w:hAnsi="Arial"/>
                <w:sz w:val="21"/>
                <w:szCs w:val="21"/>
                <w:color w:val="auto"/>
              </w:rPr>
              <w:t>AGREEMENT WILL BE</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Arial" w:cs="Arial" w:eastAsia="Arial" w:hAnsi="Arial"/>
                <w:sz w:val="21"/>
                <w:szCs w:val="21"/>
                <w:color w:val="auto"/>
                <w:w w:val="99"/>
              </w:rPr>
              <w:t>CONFLICTS  OF  LAWS</w:t>
            </w:r>
          </w:p>
        </w:tc>
        <w:tc>
          <w:tcPr>
            <w:tcW w:w="0" w:type="dxa"/>
            <w:vAlign w:val="bottom"/>
          </w:tcPr>
          <w:p>
            <w:pPr>
              <w:spacing w:after="0" w:line="20" w:lineRule="exact"/>
              <w:rPr>
                <w:sz w:val="1"/>
                <w:szCs w:val="1"/>
                <w:color w:val="auto"/>
              </w:rPr>
            </w:pPr>
          </w:p>
        </w:tc>
      </w:tr>
      <w:tr>
        <w:trPr>
          <w:trHeight w:val="247"/>
        </w:trPr>
        <w:tc>
          <w:tcPr>
            <w:tcW w:w="8920" w:type="dxa"/>
            <w:vAlign w:val="bottom"/>
            <w:gridSpan w:val="3"/>
          </w:tcPr>
          <w:p>
            <w:pPr>
              <w:jc w:val="right"/>
              <w:ind w:right="40"/>
              <w:spacing w:after="0"/>
              <w:rPr>
                <w:sz w:val="20"/>
                <w:szCs w:val="20"/>
                <w:color w:val="auto"/>
              </w:rPr>
            </w:pPr>
            <w:r>
              <w:rPr>
                <w:rFonts w:ascii="Arial" w:cs="Arial" w:eastAsia="Arial" w:hAnsi="Arial"/>
                <w:sz w:val="21"/>
                <w:szCs w:val="21"/>
                <w:color w:val="auto"/>
                <w:w w:val="99"/>
              </w:rPr>
              <w:t>GOVERNED  BY  THE  LAWS  OF  THE STATE  OF  CALIFORNIA  WITHOUT REGARD  FOR</w:t>
            </w:r>
          </w:p>
        </w:tc>
        <w:tc>
          <w:tcPr>
            <w:tcW w:w="2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jc w:val="both"/>
        <w:spacing w:after="0" w:line="233" w:lineRule="auto"/>
        <w:rPr>
          <w:sz w:val="20"/>
          <w:szCs w:val="20"/>
          <w:color w:val="auto"/>
        </w:rPr>
      </w:pPr>
      <w:r>
        <w:rPr>
          <w:rFonts w:ascii="Arial" w:cs="Arial" w:eastAsia="Arial" w:hAnsi="Arial"/>
          <w:sz w:val="21"/>
          <w:szCs w:val="21"/>
          <w:color w:val="auto"/>
        </w:rPr>
        <w:t>PRINCIPLES. SUBJECT TO THE ARBITRATION PROVISION IN THE PIIA AGREEMENT, EXECUTIVE HEREBY EXPRESSLY CONSENTS TO THE PERSONAL JURISDICTION OF THE STATE AND FEDERAL COURTS LOCATED IN ORANGE COUNTY, CALIFORNIA FOR ANY LAWSUIT FILED THERE AGAINST EXECUTIVE BY THE COMPANY CONCERNING EXECUTIVE’S EMPLOYMENT OR THE TERMINATION OF EXECUTIVE’S EMPLOYMENT OR ARISING FROM OR RELATING TO THIS AGREEMENT.</w:t>
      </w:r>
    </w:p>
    <w:p>
      <w:pPr>
        <w:spacing w:after="0" w:line="202" w:lineRule="exact"/>
        <w:rPr>
          <w:sz w:val="20"/>
          <w:szCs w:val="20"/>
          <w:color w:val="auto"/>
        </w:rPr>
      </w:pPr>
    </w:p>
    <w:p>
      <w:pPr>
        <w:jc w:val="both"/>
        <w:ind w:firstLine="1729"/>
        <w:spacing w:after="0" w:line="249" w:lineRule="auto"/>
        <w:rPr>
          <w:sz w:val="20"/>
          <w:szCs w:val="20"/>
          <w:color w:val="auto"/>
        </w:rPr>
      </w:pPr>
      <w:r>
        <w:rPr>
          <w:rFonts w:ascii="Arial" w:cs="Arial" w:eastAsia="Arial" w:hAnsi="Arial"/>
          <w:sz w:val="20"/>
          <w:szCs w:val="20"/>
          <w:color w:val="080808"/>
        </w:rPr>
        <w:t xml:space="preserve">(c) </w:t>
      </w:r>
      <w:r>
        <w:rPr>
          <w:rFonts w:ascii="Arial" w:cs="Arial" w:eastAsia="Arial" w:hAnsi="Arial"/>
          <w:sz w:val="20"/>
          <w:szCs w:val="20"/>
          <w:u w:val="single" w:color="auto"/>
          <w:color w:val="000000"/>
        </w:rPr>
        <w:t>Entire Agreement/Amendments</w:t>
      </w:r>
      <w:r>
        <w:rPr>
          <w:rFonts w:ascii="Arial" w:cs="Arial" w:eastAsia="Arial" w:hAnsi="Arial"/>
          <w:sz w:val="20"/>
          <w:szCs w:val="20"/>
          <w:color w:val="000000"/>
        </w:rPr>
        <w:t>. This Agreement, together with the PIIA Agreement,</w:t>
      </w:r>
      <w:r>
        <w:rPr>
          <w:rFonts w:ascii="Arial" w:cs="Arial" w:eastAsia="Arial" w:hAnsi="Arial"/>
          <w:sz w:val="20"/>
          <w:szCs w:val="20"/>
          <w:color w:val="080808"/>
        </w:rPr>
        <w:t xml:space="preserve"> </w:t>
      </w:r>
      <w:r>
        <w:rPr>
          <w:rFonts w:ascii="Arial" w:cs="Arial" w:eastAsia="Arial" w:hAnsi="Arial"/>
          <w:sz w:val="20"/>
          <w:szCs w:val="20"/>
          <w:color w:val="000000"/>
        </w:rPr>
        <w:t>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or as may be set forth from time to time in the Company’s employee benefit plans and policies applicable to Executive. This Agreement may not be altered, modified, or amended except by written instrument signed by the parties hereto. In the event of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3" w:name="page154"/>
    <w:bookmarkEnd w:id="153"/>
    <w:p>
      <w:pPr>
        <w:jc w:val="both"/>
        <w:spacing w:after="0" w:line="241" w:lineRule="auto"/>
        <w:rPr>
          <w:sz w:val="20"/>
          <w:szCs w:val="20"/>
          <w:color w:val="auto"/>
        </w:rPr>
      </w:pPr>
      <w:r>
        <w:rPr>
          <w:rFonts w:ascii="Arial" w:cs="Arial" w:eastAsia="Arial" w:hAnsi="Arial"/>
          <w:sz w:val="21"/>
          <w:szCs w:val="21"/>
          <w:color w:val="auto"/>
        </w:rPr>
        <w:t>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spacing w:after="0" w:line="201"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(d) </w:t>
      </w:r>
      <w:r>
        <w:rPr>
          <w:rFonts w:ascii="Arial" w:cs="Arial" w:eastAsia="Arial" w:hAnsi="Arial"/>
          <w:sz w:val="20"/>
          <w:szCs w:val="20"/>
          <w:u w:val="single" w:color="auto"/>
          <w:color w:val="000000"/>
        </w:rPr>
        <w:t>No Waiver</w:t>
      </w:r>
      <w:r>
        <w:rPr>
          <w:rFonts w:ascii="Arial" w:cs="Arial" w:eastAsia="Arial" w:hAnsi="Arial"/>
          <w:sz w:val="20"/>
          <w:szCs w:val="20"/>
          <w:color w:val="000000"/>
        </w:rPr>
        <w:t>. The failure of a party to insist upon strict adherence to any term of this</w:t>
      </w:r>
      <w:r>
        <w:rPr>
          <w:rFonts w:ascii="Arial" w:cs="Arial" w:eastAsia="Arial" w:hAnsi="Arial"/>
          <w:sz w:val="20"/>
          <w:szCs w:val="20"/>
          <w:color w:val="080808"/>
        </w:rPr>
        <w:t xml:space="preserve"> </w:t>
      </w:r>
      <w:r>
        <w:rPr>
          <w:rFonts w:ascii="Arial" w:cs="Arial" w:eastAsia="Arial" w:hAnsi="Arial"/>
          <w:sz w:val="20"/>
          <w:szCs w:val="20"/>
          <w:color w:val="000000"/>
        </w:rPr>
        <w:t>Agreement on any occasion shall not be considered a waiver of such party’s rights or deprive such party of the right thereafter to insist upon strict adherence to that term or any other term of this Agreement.</w:t>
      </w:r>
    </w:p>
    <w:p>
      <w:pPr>
        <w:spacing w:after="0" w:line="184"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(e) </w:t>
      </w:r>
      <w:r>
        <w:rPr>
          <w:rFonts w:ascii="Arial" w:cs="Arial" w:eastAsia="Arial" w:hAnsi="Arial"/>
          <w:sz w:val="20"/>
          <w:szCs w:val="20"/>
          <w:u w:val="single" w:color="auto"/>
          <w:color w:val="000000"/>
        </w:rPr>
        <w:t>Severability</w:t>
      </w:r>
      <w:r>
        <w:rPr>
          <w:rFonts w:ascii="Arial" w:cs="Arial" w:eastAsia="Arial" w:hAnsi="Arial"/>
          <w:sz w:val="20"/>
          <w:szCs w:val="20"/>
          <w:color w:val="000000"/>
        </w:rPr>
        <w:t>. In the event that any one or more of the provisions of this Agreement shall</w:t>
      </w:r>
      <w:r>
        <w:rPr>
          <w:rFonts w:ascii="Arial" w:cs="Arial" w:eastAsia="Arial" w:hAnsi="Arial"/>
          <w:sz w:val="20"/>
          <w:szCs w:val="20"/>
          <w:color w:val="080808"/>
        </w:rPr>
        <w:t xml:space="preserve"> </w:t>
      </w:r>
      <w:r>
        <w:rPr>
          <w:rFonts w:ascii="Arial" w:cs="Arial" w:eastAsia="Arial" w:hAnsi="Arial"/>
          <w:sz w:val="20"/>
          <w:szCs w:val="20"/>
          <w:color w:val="000000"/>
        </w:rPr>
        <w:t>be or become invalid, illegal or unenforceable in any respect, the validity, legality and enforceability of the remaining provisions of this Agreement shall not be affected thereby.</w:t>
      </w:r>
    </w:p>
    <w:p>
      <w:pPr>
        <w:spacing w:after="0" w:line="184" w:lineRule="exact"/>
        <w:rPr>
          <w:sz w:val="20"/>
          <w:szCs w:val="20"/>
          <w:color w:val="auto"/>
        </w:rPr>
      </w:pPr>
    </w:p>
    <w:p>
      <w:pPr>
        <w:jc w:val="both"/>
        <w:ind w:firstLine="1729"/>
        <w:spacing w:after="0" w:line="267" w:lineRule="auto"/>
        <w:rPr>
          <w:sz w:val="20"/>
          <w:szCs w:val="20"/>
          <w:color w:val="auto"/>
        </w:rPr>
      </w:pPr>
      <w:r>
        <w:rPr>
          <w:rFonts w:ascii="Arial" w:cs="Arial" w:eastAsia="Arial" w:hAnsi="Arial"/>
          <w:sz w:val="19"/>
          <w:szCs w:val="19"/>
          <w:color w:val="080808"/>
        </w:rPr>
        <w:t xml:space="preserve">(f) </w:t>
      </w:r>
      <w:r>
        <w:rPr>
          <w:rFonts w:ascii="Arial" w:cs="Arial" w:eastAsia="Arial" w:hAnsi="Arial"/>
          <w:sz w:val="19"/>
          <w:szCs w:val="19"/>
          <w:u w:val="single" w:color="auto"/>
          <w:color w:val="000000"/>
        </w:rPr>
        <w:t>Assignment</w:t>
      </w:r>
      <w:r>
        <w:rPr>
          <w:rFonts w:ascii="Arial" w:cs="Arial" w:eastAsia="Arial" w:hAnsi="Arial"/>
          <w:sz w:val="19"/>
          <w:szCs w:val="19"/>
          <w:color w:val="000000"/>
        </w:rPr>
        <w:t>. This Agreement, and all of Executive’s rights and duties hereunder, shall not</w:t>
      </w:r>
      <w:r>
        <w:rPr>
          <w:rFonts w:ascii="Arial" w:cs="Arial" w:eastAsia="Arial" w:hAnsi="Arial"/>
          <w:sz w:val="19"/>
          <w:szCs w:val="19"/>
          <w:color w:val="080808"/>
        </w:rPr>
        <w:t xml:space="preserve"> </w:t>
      </w:r>
      <w:r>
        <w:rPr>
          <w:rFonts w:ascii="Arial" w:cs="Arial" w:eastAsia="Arial" w:hAnsi="Arial"/>
          <w:sz w:val="19"/>
          <w:szCs w:val="19"/>
          <w:color w:val="000000"/>
        </w:rPr>
        <w:t xml:space="preserve">be assignable or delegable by Executive. Any purported assignment or delegation by Executive in violation of the foregoing shall be null and </w:t>
      </w:r>
      <w:r>
        <w:rPr>
          <w:rFonts w:ascii="Arial" w:cs="Arial" w:eastAsia="Arial" w:hAnsi="Arial"/>
          <w:sz w:val="19"/>
          <w:szCs w:val="19"/>
          <w:i w:val="1"/>
          <w:iCs w:val="1"/>
          <w:color w:val="000000"/>
        </w:rPr>
        <w:t>void ab initio</w:t>
      </w:r>
      <w:r>
        <w:rPr>
          <w:rFonts w:ascii="Arial" w:cs="Arial" w:eastAsia="Arial" w:hAnsi="Arial"/>
          <w:sz w:val="19"/>
          <w:szCs w:val="19"/>
          <w:color w:val="000000"/>
        </w:rPr>
        <w:t xml:space="preserve">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77" w:lineRule="exact"/>
        <w:rPr>
          <w:sz w:val="20"/>
          <w:szCs w:val="20"/>
          <w:color w:val="auto"/>
        </w:rPr>
      </w:pPr>
    </w:p>
    <w:p>
      <w:pPr>
        <w:jc w:val="both"/>
        <w:ind w:firstLine="1729"/>
        <w:spacing w:after="0" w:line="250" w:lineRule="auto"/>
        <w:rPr>
          <w:sz w:val="20"/>
          <w:szCs w:val="20"/>
          <w:color w:val="auto"/>
        </w:rPr>
      </w:pPr>
      <w:r>
        <w:rPr>
          <w:rFonts w:ascii="Arial" w:cs="Arial" w:eastAsia="Arial" w:hAnsi="Arial"/>
          <w:sz w:val="20"/>
          <w:szCs w:val="20"/>
          <w:color w:val="080808"/>
        </w:rPr>
        <w:t xml:space="preserve">(g) </w:t>
      </w:r>
      <w:r>
        <w:rPr>
          <w:rFonts w:ascii="Arial" w:cs="Arial" w:eastAsia="Arial" w:hAnsi="Arial"/>
          <w:sz w:val="20"/>
          <w:szCs w:val="20"/>
          <w:u w:val="single" w:color="auto"/>
          <w:color w:val="000000"/>
        </w:rPr>
        <w:t>Counterclaim; No Mitigation</w:t>
      </w:r>
      <w:r>
        <w:rPr>
          <w:rFonts w:ascii="Arial" w:cs="Arial" w:eastAsia="Arial" w:hAnsi="Arial"/>
          <w:sz w:val="20"/>
          <w:szCs w:val="20"/>
          <w:color w:val="000000"/>
        </w:rPr>
        <w:t>. The Company’s obligation to pay Executive the amounts</w:t>
      </w:r>
      <w:r>
        <w:rPr>
          <w:rFonts w:ascii="Arial" w:cs="Arial" w:eastAsia="Arial" w:hAnsi="Arial"/>
          <w:sz w:val="20"/>
          <w:szCs w:val="20"/>
          <w:color w:val="080808"/>
        </w:rPr>
        <w:t xml:space="preserve"> </w:t>
      </w:r>
      <w:r>
        <w:rPr>
          <w:rFonts w:ascii="Arial" w:cs="Arial" w:eastAsia="Arial" w:hAnsi="Arial"/>
          <w:sz w:val="20"/>
          <w:szCs w:val="20"/>
          <w:color w:val="000000"/>
        </w:rPr>
        <w:t>provided and to make the arrangements provided hereunder shall be subject to counterclaim and to seek recoupment of amounts owed by Executive to the Company or its affiliates. Executive shall not be required to mitigate the amount of any payment provided for pursuant to this Agreement by seeking other employment, and such payments shall not be reduced by any compensation or benefits received from any subsequent employer or other endeavor.</w:t>
      </w:r>
    </w:p>
    <w:p>
      <w:pPr>
        <w:spacing w:after="0" w:line="195" w:lineRule="exact"/>
        <w:rPr>
          <w:sz w:val="20"/>
          <w:szCs w:val="20"/>
          <w:color w:val="auto"/>
        </w:rPr>
      </w:pPr>
    </w:p>
    <w:p>
      <w:pPr>
        <w:ind w:left="1740"/>
        <w:spacing w:after="0"/>
        <w:tabs>
          <w:tab w:leader="none" w:pos="3800" w:val="left"/>
        </w:tabs>
        <w:rPr>
          <w:sz w:val="20"/>
          <w:szCs w:val="20"/>
          <w:color w:val="auto"/>
        </w:rPr>
      </w:pPr>
      <w:r>
        <w:rPr>
          <w:rFonts w:ascii="Arial" w:cs="Arial" w:eastAsia="Arial" w:hAnsi="Arial"/>
          <w:sz w:val="18"/>
          <w:szCs w:val="18"/>
          <w:color w:val="080808"/>
        </w:rPr>
        <w:t>(h)</w:t>
      </w:r>
      <w:r>
        <w:rPr>
          <w:sz w:val="20"/>
          <w:szCs w:val="20"/>
          <w:color w:val="auto"/>
        </w:rPr>
        <w:tab/>
      </w: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Notwithstanding anything herein to the contrary,</w:t>
      </w:r>
    </w:p>
    <w:p>
      <w:pPr>
        <w:spacing w:after="0" w:line="32" w:lineRule="exact"/>
        <w:rPr>
          <w:sz w:val="20"/>
          <w:szCs w:val="20"/>
          <w:color w:val="auto"/>
        </w:rPr>
      </w:pPr>
    </w:p>
    <w:p>
      <w:pPr>
        <w:jc w:val="both"/>
        <w:ind w:firstLine="3"/>
        <w:spacing w:after="0" w:line="257" w:lineRule="auto"/>
        <w:tabs>
          <w:tab w:leader="none" w:pos="24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at the time of Executive’s termination of employment with the Company Executive is a “specified employee” as 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Executive) until the date that is six months following Executive’s termination of employment with the Company (or the earliest date as is permitted under Section 409A of the Code) and (ii) if any other payments of money or other benefits due to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For purposes of Section 409A of the Code, each payment made under this Agreement shall be designated as a “separate payment” within the meaning of the Section 409A of the Code, and references herein to Executive’s “termination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4" w:name="page155"/>
    <w:bookmarkEnd w:id="154"/>
    <w:p>
      <w:pPr>
        <w:jc w:val="both"/>
        <w:spacing w:after="0" w:line="249" w:lineRule="auto"/>
        <w:rPr>
          <w:sz w:val="20"/>
          <w:szCs w:val="20"/>
          <w:color w:val="auto"/>
        </w:rPr>
      </w:pPr>
      <w:r>
        <w:rPr>
          <w:rFonts w:ascii="Arial" w:cs="Arial" w:eastAsia="Arial" w:hAnsi="Arial"/>
          <w:sz w:val="20"/>
          <w:szCs w:val="20"/>
          <w:color w:val="auto"/>
        </w:rPr>
        <w:t xml:space="preserve">employment” shall refer to Executive’s separation from service with the Company within the meaning of Section 409A. To the extent any reimbursements or in-kind benefits due to Executive under this Agreement constitute “deferred compensation” under Section 409A of the Code, any such reimbursements or in-kind benefits shall be paid to Executive in a manner consistent with Treas. Reg. Section 1.409A-3(i)(1)(iv). The Company shall consult with Executive in good faith regarding the implementation of the provisions of this </w:t>
      </w:r>
      <w:r>
        <w:rPr>
          <w:rFonts w:ascii="Arial" w:cs="Arial" w:eastAsia="Arial" w:hAnsi="Arial"/>
          <w:sz w:val="20"/>
          <w:szCs w:val="20"/>
          <w:u w:val="single" w:color="auto"/>
          <w:color w:val="auto"/>
        </w:rPr>
        <w:t>Section 11(h)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neither the Company nor any of its employees or representatives shall have any liability to Executive with respect to thereto or any tax imposed under Section 409A.</w:t>
      </w:r>
    </w:p>
    <w:p>
      <w:pPr>
        <w:spacing w:after="0" w:line="193" w:lineRule="exact"/>
        <w:rPr>
          <w:sz w:val="20"/>
          <w:szCs w:val="20"/>
          <w:color w:val="auto"/>
        </w:rPr>
      </w:pPr>
    </w:p>
    <w:p>
      <w:pPr>
        <w:jc w:val="both"/>
        <w:ind w:firstLine="1729"/>
        <w:spacing w:after="0" w:line="244" w:lineRule="auto"/>
        <w:rPr>
          <w:sz w:val="20"/>
          <w:szCs w:val="20"/>
          <w:color w:val="auto"/>
        </w:rPr>
      </w:pPr>
      <w:r>
        <w:rPr>
          <w:rFonts w:ascii="Arial" w:cs="Arial" w:eastAsia="Arial" w:hAnsi="Arial"/>
          <w:sz w:val="20"/>
          <w:szCs w:val="20"/>
          <w:color w:val="080808"/>
        </w:rPr>
        <w:t xml:space="preserve">(i) </w:t>
      </w:r>
      <w:r>
        <w:rPr>
          <w:rFonts w:ascii="Arial" w:cs="Arial" w:eastAsia="Arial" w:hAnsi="Arial"/>
          <w:sz w:val="20"/>
          <w:szCs w:val="20"/>
          <w:u w:val="single" w:color="auto"/>
          <w:color w:val="000000"/>
        </w:rPr>
        <w:t>Code Section 280G</w:t>
      </w:r>
      <w:r>
        <w:rPr>
          <w:rFonts w:ascii="Arial" w:cs="Arial" w:eastAsia="Arial" w:hAnsi="Arial"/>
          <w:sz w:val="20"/>
          <w:szCs w:val="20"/>
          <w:color w:val="000000"/>
        </w:rPr>
        <w:t>. Notwithstanding anything in this Agreement to the contrary, if any</w:t>
      </w:r>
      <w:r>
        <w:rPr>
          <w:rFonts w:ascii="Arial" w:cs="Arial" w:eastAsia="Arial" w:hAnsi="Arial"/>
          <w:sz w:val="20"/>
          <w:szCs w:val="20"/>
          <w:color w:val="080808"/>
        </w:rPr>
        <w:t xml:space="preserve"> </w:t>
      </w:r>
      <w:r>
        <w:rPr>
          <w:rFonts w:ascii="Arial" w:cs="Arial" w:eastAsia="Arial" w:hAnsi="Arial"/>
          <w:sz w:val="20"/>
          <w:szCs w:val="20"/>
          <w:color w:val="000000"/>
        </w:rPr>
        <w:t>payment or distribution Executive would receive pursuant to this Agreement or otherwise (“</w:t>
      </w:r>
      <w:r>
        <w:rPr>
          <w:rFonts w:ascii="Arial" w:cs="Arial" w:eastAsia="Arial" w:hAnsi="Arial"/>
          <w:sz w:val="20"/>
          <w:szCs w:val="20"/>
          <w:u w:val="single" w:color="auto"/>
          <w:color w:val="000000"/>
        </w:rPr>
        <w:t>Payment</w:t>
      </w:r>
      <w:r>
        <w:rPr>
          <w:rFonts w:ascii="Arial" w:cs="Arial" w:eastAsia="Arial" w:hAnsi="Arial"/>
          <w:sz w:val="20"/>
          <w:szCs w:val="20"/>
          <w:color w:val="000000"/>
        </w:rPr>
        <w:t>”) would (a) constitute a “parachute payment” within the meaning of Section 280G of the Code, and (b) but for this sentence, be subject to the excise tax imposed by Section 4999 of the Code (the “</w:t>
      </w:r>
      <w:r>
        <w:rPr>
          <w:rFonts w:ascii="Arial" w:cs="Arial" w:eastAsia="Arial" w:hAnsi="Arial"/>
          <w:sz w:val="20"/>
          <w:szCs w:val="20"/>
          <w:u w:val="single" w:color="auto"/>
          <w:color w:val="000000"/>
        </w:rPr>
        <w:t>Excise Tax</w:t>
      </w:r>
      <w:r>
        <w:rPr>
          <w:rFonts w:ascii="Arial" w:cs="Arial" w:eastAsia="Arial" w:hAnsi="Arial"/>
          <w:sz w:val="20"/>
          <w:szCs w:val="20"/>
          <w:color w:val="000000"/>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hereunder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204" w:lineRule="exact"/>
        <w:rPr>
          <w:sz w:val="20"/>
          <w:szCs w:val="20"/>
          <w:color w:val="auto"/>
        </w:rPr>
      </w:pPr>
    </w:p>
    <w:p>
      <w:pPr>
        <w:jc w:val="both"/>
        <w:ind w:firstLine="1729"/>
        <w:spacing w:after="0" w:line="250" w:lineRule="auto"/>
        <w:rPr>
          <w:sz w:val="20"/>
          <w:szCs w:val="20"/>
          <w:color w:val="auto"/>
        </w:rPr>
      </w:pPr>
      <w:r>
        <w:rPr>
          <w:rFonts w:ascii="Arial" w:cs="Arial" w:eastAsia="Arial" w:hAnsi="Arial"/>
          <w:sz w:val="20"/>
          <w:szCs w:val="20"/>
          <w:color w:val="080808"/>
        </w:rPr>
        <w:t xml:space="preserve">(j) </w:t>
      </w:r>
      <w:r>
        <w:rPr>
          <w:rFonts w:ascii="Arial" w:cs="Arial" w:eastAsia="Arial" w:hAnsi="Arial"/>
          <w:sz w:val="20"/>
          <w:szCs w:val="20"/>
          <w:u w:val="single" w:color="auto"/>
          <w:color w:val="000000"/>
        </w:rPr>
        <w:t>Successors; Binding Agreement</w:t>
      </w:r>
      <w:r>
        <w:rPr>
          <w:rFonts w:ascii="Arial" w:cs="Arial" w:eastAsia="Arial" w:hAnsi="Arial"/>
          <w:sz w:val="20"/>
          <w:szCs w:val="20"/>
          <w:color w:val="000000"/>
        </w:rPr>
        <w:t>. This Agreement shall inure to the benefit of and be</w:t>
      </w:r>
      <w:r>
        <w:rPr>
          <w:rFonts w:ascii="Arial" w:cs="Arial" w:eastAsia="Arial" w:hAnsi="Arial"/>
          <w:sz w:val="20"/>
          <w:szCs w:val="20"/>
          <w:color w:val="080808"/>
        </w:rPr>
        <w:t xml:space="preserve"> </w:t>
      </w:r>
      <w:r>
        <w:rPr>
          <w:rFonts w:ascii="Arial" w:cs="Arial" w:eastAsia="Arial" w:hAnsi="Arial"/>
          <w:sz w:val="20"/>
          <w:szCs w:val="20"/>
          <w:color w:val="000000"/>
        </w:rPr>
        <w:t xml:space="preserve">binding upon personal or legal representatives, executors, administrators, successors, heirs, distributees, devisees and legatees. In the event of Executive’s death prior to receipt of all amounts payable to Executive (including any unpaid amounts due under </w:t>
      </w:r>
      <w:r>
        <w:rPr>
          <w:rFonts w:ascii="Arial" w:cs="Arial" w:eastAsia="Arial" w:hAnsi="Arial"/>
          <w:sz w:val="20"/>
          <w:szCs w:val="20"/>
          <w:u w:val="single" w:color="auto"/>
          <w:color w:val="000000"/>
        </w:rPr>
        <w:t>Section 7</w:t>
      </w:r>
      <w:r>
        <w:rPr>
          <w:rFonts w:ascii="Arial" w:cs="Arial" w:eastAsia="Arial" w:hAnsi="Arial"/>
          <w:sz w:val="20"/>
          <w:szCs w:val="20"/>
          <w:color w:val="000000"/>
        </w:rPr>
        <w:t>), such amounts shall be paid to Executive’s beneficiary designated in a Notice provided to and accepted by the Company or, in the absence of such designation, to Executive’s estate.</w:t>
      </w:r>
    </w:p>
    <w:p>
      <w:pPr>
        <w:spacing w:after="0" w:line="195" w:lineRule="exact"/>
        <w:rPr>
          <w:sz w:val="20"/>
          <w:szCs w:val="20"/>
          <w:color w:val="auto"/>
        </w:rPr>
      </w:pPr>
    </w:p>
    <w:p>
      <w:pPr>
        <w:jc w:val="both"/>
        <w:ind w:firstLine="1729"/>
        <w:spacing w:after="0" w:line="249" w:lineRule="auto"/>
        <w:rPr>
          <w:sz w:val="20"/>
          <w:szCs w:val="20"/>
          <w:color w:val="auto"/>
        </w:rPr>
      </w:pPr>
      <w:r>
        <w:rPr>
          <w:rFonts w:ascii="Arial" w:cs="Arial" w:eastAsia="Arial" w:hAnsi="Arial"/>
          <w:sz w:val="20"/>
          <w:szCs w:val="20"/>
          <w:color w:val="080808"/>
        </w:rPr>
        <w:t xml:space="preserve">(k) </w:t>
      </w:r>
      <w:r>
        <w:rPr>
          <w:rFonts w:ascii="Arial" w:cs="Arial" w:eastAsia="Arial" w:hAnsi="Arial"/>
          <w:sz w:val="20"/>
          <w:szCs w:val="20"/>
          <w:u w:val="single" w:color="auto"/>
          <w:color w:val="000000"/>
        </w:rPr>
        <w:t>Notice</w:t>
      </w:r>
      <w:r>
        <w:rPr>
          <w:rFonts w:ascii="Arial" w:cs="Arial" w:eastAsia="Arial" w:hAnsi="Arial"/>
          <w:sz w:val="20"/>
          <w:szCs w:val="20"/>
          <w:color w:val="000000"/>
        </w:rPr>
        <w:t>. For the purpose of this Agreement, notices and all other communications</w:t>
      </w:r>
      <w:r>
        <w:rPr>
          <w:rFonts w:ascii="Arial" w:cs="Arial" w:eastAsia="Arial" w:hAnsi="Arial"/>
          <w:sz w:val="20"/>
          <w:szCs w:val="20"/>
          <w:color w:val="080808"/>
        </w:rPr>
        <w:t xml:space="preserve"> </w:t>
      </w:r>
      <w:r>
        <w:rPr>
          <w:rFonts w:ascii="Arial" w:cs="Arial" w:eastAsia="Arial" w:hAnsi="Arial"/>
          <w:sz w:val="20"/>
          <w:szCs w:val="20"/>
          <w:color w:val="000000"/>
        </w:rPr>
        <w:t>provided for in the Agreement shall be in writing and shall be deemed to have been duly given when delivered by hand or overnight courier or three postal delivery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(each such communication,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5" w:name="page156"/>
    <w:bookmarkEnd w:id="155"/>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w:t>
      </w:r>
      <w:r>
        <w:rPr>
          <w:rFonts w:ascii="Arial" w:cs="Arial" w:eastAsia="Arial" w:hAnsi="Arial"/>
          <w:sz w:val="21"/>
          <w:szCs w:val="21"/>
          <w:color w:val="auto"/>
        </w:rPr>
        <w:t>”).</w:t>
      </w:r>
    </w:p>
    <w:p>
      <w:pPr>
        <w:spacing w:after="0" w:line="27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the Company, addressed to:</w:t>
      </w:r>
    </w:p>
    <w:p>
      <w:pPr>
        <w:spacing w:after="0" w:line="223" w:lineRule="exact"/>
        <w:rPr>
          <w:sz w:val="20"/>
          <w:szCs w:val="20"/>
          <w:color w:val="auto"/>
        </w:rPr>
      </w:pPr>
    </w:p>
    <w:p>
      <w:pPr>
        <w:ind w:left="2600"/>
        <w:spacing w:after="0"/>
        <w:rPr>
          <w:sz w:val="20"/>
          <w:szCs w:val="20"/>
          <w:color w:val="auto"/>
        </w:rPr>
      </w:pPr>
      <w:r>
        <w:rPr>
          <w:rFonts w:ascii="Arial" w:cs="Arial" w:eastAsia="Arial" w:hAnsi="Arial"/>
          <w:sz w:val="21"/>
          <w:szCs w:val="21"/>
          <w:color w:val="080808"/>
        </w:rPr>
        <w:t>Eledon Pharmaceuticals, Inc.</w:t>
      </w:r>
    </w:p>
    <w:p>
      <w:pPr>
        <w:ind w:left="2600"/>
        <w:spacing w:after="0"/>
        <w:rPr>
          <w:sz w:val="20"/>
          <w:szCs w:val="20"/>
          <w:color w:val="auto"/>
        </w:rPr>
      </w:pPr>
      <w:r>
        <w:rPr>
          <w:rFonts w:ascii="Arial" w:cs="Arial" w:eastAsia="Arial" w:hAnsi="Arial"/>
          <w:sz w:val="21"/>
          <w:szCs w:val="21"/>
          <w:color w:val="080808"/>
        </w:rPr>
        <w:t>Attn: Chief Executive Officer</w:t>
      </w:r>
    </w:p>
    <w:p>
      <w:pPr>
        <w:ind w:left="2600"/>
        <w:spacing w:after="0" w:line="230" w:lineRule="auto"/>
        <w:rPr>
          <w:sz w:val="20"/>
          <w:szCs w:val="20"/>
          <w:color w:val="auto"/>
        </w:rPr>
      </w:pPr>
      <w:r>
        <w:rPr>
          <w:rFonts w:ascii="Arial" w:cs="Arial" w:eastAsia="Arial" w:hAnsi="Arial"/>
          <w:sz w:val="21"/>
          <w:szCs w:val="21"/>
          <w:color w:val="auto"/>
        </w:rPr>
        <w:t>19900 MacArthur Blvd., Suite 550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Irvine, California</w:t>
      </w:r>
    </w:p>
    <w:p>
      <w:pPr>
        <w:spacing w:after="0" w:line="20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Executive, to the address listed in the Company’s payroll records from time to time.</w:t>
      </w:r>
    </w:p>
    <w:p>
      <w:pPr>
        <w:spacing w:after="0" w:line="223" w:lineRule="exact"/>
        <w:rPr>
          <w:sz w:val="20"/>
          <w:szCs w:val="20"/>
          <w:color w:val="auto"/>
        </w:rPr>
      </w:pPr>
    </w:p>
    <w:p>
      <w:pPr>
        <w:jc w:val="both"/>
        <w:ind w:firstLine="1729"/>
        <w:spacing w:after="0" w:line="253" w:lineRule="auto"/>
        <w:rPr>
          <w:sz w:val="20"/>
          <w:szCs w:val="20"/>
          <w:color w:val="auto"/>
        </w:rPr>
      </w:pPr>
      <w:r>
        <w:rPr>
          <w:rFonts w:ascii="Arial" w:cs="Arial" w:eastAsia="Arial" w:hAnsi="Arial"/>
          <w:sz w:val="20"/>
          <w:szCs w:val="20"/>
          <w:color w:val="080808"/>
        </w:rPr>
        <w:t xml:space="preserve">(l) </w:t>
      </w:r>
      <w:r>
        <w:rPr>
          <w:rFonts w:ascii="Arial" w:cs="Arial" w:eastAsia="Arial" w:hAnsi="Arial"/>
          <w:sz w:val="20"/>
          <w:szCs w:val="20"/>
          <w:u w:val="single" w:color="auto"/>
          <w:color w:val="000000"/>
        </w:rPr>
        <w:t>Executive Representation</w:t>
      </w:r>
      <w:r>
        <w:rPr>
          <w:rFonts w:ascii="Arial" w:cs="Arial" w:eastAsia="Arial" w:hAnsi="Arial"/>
          <w:sz w:val="20"/>
          <w:szCs w:val="20"/>
          <w:color w:val="000000"/>
        </w:rPr>
        <w:t>. Executive hereby represents to the Company that the execution</w:t>
      </w:r>
      <w:r>
        <w:rPr>
          <w:rFonts w:ascii="Arial" w:cs="Arial" w:eastAsia="Arial" w:hAnsi="Arial"/>
          <w:sz w:val="20"/>
          <w:szCs w:val="20"/>
          <w:color w:val="080808"/>
        </w:rPr>
        <w:t xml:space="preserve"> </w:t>
      </w:r>
      <w:r>
        <w:rPr>
          <w:rFonts w:ascii="Arial" w:cs="Arial" w:eastAsia="Arial" w:hAnsi="Arial"/>
          <w:sz w:val="20"/>
          <w:szCs w:val="20"/>
          <w:color w:val="000000"/>
        </w:rPr>
        <w:t>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91" w:lineRule="exact"/>
        <w:rPr>
          <w:sz w:val="20"/>
          <w:szCs w:val="20"/>
          <w:color w:val="auto"/>
        </w:rPr>
      </w:pPr>
    </w:p>
    <w:p>
      <w:pPr>
        <w:jc w:val="both"/>
        <w:ind w:firstLine="1729"/>
        <w:spacing w:after="0" w:line="253" w:lineRule="auto"/>
        <w:rPr>
          <w:sz w:val="20"/>
          <w:szCs w:val="20"/>
          <w:color w:val="auto"/>
        </w:rPr>
      </w:pPr>
      <w:r>
        <w:rPr>
          <w:rFonts w:ascii="Arial" w:cs="Arial" w:eastAsia="Arial" w:hAnsi="Arial"/>
          <w:sz w:val="20"/>
          <w:szCs w:val="20"/>
          <w:color w:val="080808"/>
        </w:rPr>
        <w:t xml:space="preserve">(m) </w:t>
      </w:r>
      <w:r>
        <w:rPr>
          <w:rFonts w:ascii="Arial" w:cs="Arial" w:eastAsia="Arial" w:hAnsi="Arial"/>
          <w:sz w:val="20"/>
          <w:szCs w:val="20"/>
          <w:u w:val="single" w:color="auto"/>
          <w:color w:val="000000"/>
        </w:rPr>
        <w:t>Prior Agreements</w:t>
      </w:r>
      <w:r>
        <w:rPr>
          <w:rFonts w:ascii="Arial" w:cs="Arial" w:eastAsia="Arial" w:hAnsi="Arial"/>
          <w:sz w:val="20"/>
          <w:szCs w:val="20"/>
          <w:color w:val="000000"/>
        </w:rPr>
        <w:t>. This Agreement supersedes all prior agreements and understandings</w:t>
      </w:r>
      <w:r>
        <w:rPr>
          <w:rFonts w:ascii="Arial" w:cs="Arial" w:eastAsia="Arial" w:hAnsi="Arial"/>
          <w:sz w:val="20"/>
          <w:szCs w:val="20"/>
          <w:color w:val="080808"/>
        </w:rPr>
        <w:t xml:space="preserve"> </w:t>
      </w:r>
      <w:r>
        <w:rPr>
          <w:rFonts w:ascii="Arial" w:cs="Arial" w:eastAsia="Arial" w:hAnsi="Arial"/>
          <w:sz w:val="20"/>
          <w:szCs w:val="20"/>
          <w:color w:val="000000"/>
        </w:rPr>
        <w:t>(including verbal agreements) between Executive and the Company and/or its affiliates regarding the terms and conditions of Executive’s employment with the Company and/or its affiliates, including, without limitation, that certain employment offer letter, dated July 1, 2017 and that certain Management Continuity Agreement, dated as of August 7, 2017.</w:t>
      </w:r>
    </w:p>
    <w:p>
      <w:pPr>
        <w:spacing w:after="0" w:line="191" w:lineRule="exact"/>
        <w:rPr>
          <w:sz w:val="20"/>
          <w:szCs w:val="20"/>
          <w:color w:val="auto"/>
        </w:rPr>
      </w:pPr>
    </w:p>
    <w:p>
      <w:pPr>
        <w:jc w:val="both"/>
        <w:ind w:firstLine="1729"/>
        <w:spacing w:after="0" w:line="253" w:lineRule="auto"/>
        <w:rPr>
          <w:sz w:val="20"/>
          <w:szCs w:val="20"/>
          <w:color w:val="auto"/>
        </w:rPr>
      </w:pPr>
      <w:r>
        <w:rPr>
          <w:rFonts w:ascii="Arial" w:cs="Arial" w:eastAsia="Arial" w:hAnsi="Arial"/>
          <w:sz w:val="20"/>
          <w:szCs w:val="20"/>
          <w:color w:val="080808"/>
        </w:rPr>
        <w:t xml:space="preserve">(n) </w:t>
      </w:r>
      <w:r>
        <w:rPr>
          <w:rFonts w:ascii="Arial" w:cs="Arial" w:eastAsia="Arial" w:hAnsi="Arial"/>
          <w:sz w:val="20"/>
          <w:szCs w:val="20"/>
          <w:u w:val="single" w:color="auto"/>
          <w:color w:val="000000"/>
        </w:rPr>
        <w:t>Cooperation</w:t>
      </w:r>
      <w:r>
        <w:rPr>
          <w:rFonts w:ascii="Arial" w:cs="Arial" w:eastAsia="Arial" w:hAnsi="Arial"/>
          <w:sz w:val="20"/>
          <w:szCs w:val="20"/>
          <w:color w:val="000000"/>
        </w:rPr>
        <w:t>. Executive shall provide Executive’s reasonable cooperation in connection</w:t>
      </w:r>
      <w:r>
        <w:rPr>
          <w:rFonts w:ascii="Arial" w:cs="Arial" w:eastAsia="Arial" w:hAnsi="Arial"/>
          <w:sz w:val="20"/>
          <w:szCs w:val="20"/>
          <w:color w:val="080808"/>
        </w:rPr>
        <w:t xml:space="preserve"> </w:t>
      </w:r>
      <w:r>
        <w:rPr>
          <w:rFonts w:ascii="Arial" w:cs="Arial" w:eastAsia="Arial" w:hAnsi="Arial"/>
          <w:sz w:val="20"/>
          <w:szCs w:val="20"/>
          <w:color w:val="000000"/>
        </w:rPr>
        <w:t>with any action or proceeding (or any appeal from any action or proceeding) which relates to events occurring during Executive’s employment hereunder, provided, that, following termination of Executive’s employment, the Company shall pay all reasonable expenses incurred by Executive in providing such cooperation. This provision shall survive any termination of this Agreement.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ind w:left="1740"/>
              <w:spacing w:after="0"/>
              <w:rPr>
                <w:sz w:val="20"/>
                <w:szCs w:val="20"/>
                <w:color w:val="auto"/>
              </w:rPr>
            </w:pPr>
            <w:r>
              <w:rPr>
                <w:rFonts w:ascii="Arial" w:cs="Arial" w:eastAsia="Arial" w:hAnsi="Arial"/>
                <w:sz w:val="20"/>
                <w:szCs w:val="20"/>
                <w:color w:val="080808"/>
              </w:rPr>
              <w:t>(o)</w:t>
            </w:r>
          </w:p>
        </w:tc>
        <w:tc>
          <w:tcPr>
            <w:tcW w:w="7420" w:type="dxa"/>
            <w:vAlign w:val="bottom"/>
            <w:gridSpan w:val="3"/>
          </w:tcPr>
          <w:p>
            <w:pPr>
              <w:spacing w:after="0"/>
              <w:rPr>
                <w:sz w:val="20"/>
                <w:szCs w:val="20"/>
                <w:color w:val="auto"/>
              </w:rPr>
            </w:pPr>
            <w:r>
              <w:rPr>
                <w:rFonts w:ascii="Arial" w:cs="Arial" w:eastAsia="Arial" w:hAnsi="Arial"/>
                <w:sz w:val="21"/>
                <w:szCs w:val="21"/>
                <w:color w:val="auto"/>
                <w:w w:val="92"/>
              </w:rPr>
              <w:t>Withholding Taxes. The Company may withhold from any amounts payable under this</w:t>
            </w:r>
          </w:p>
        </w:tc>
      </w:tr>
      <w:tr>
        <w:trPr>
          <w:trHeight w:val="20"/>
        </w:trPr>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61"/>
        </w:trPr>
        <w:tc>
          <w:tcPr>
            <w:tcW w:w="11240" w:type="dxa"/>
            <w:vAlign w:val="bottom"/>
            <w:gridSpan w:val="4"/>
          </w:tcPr>
          <w:p>
            <w:pPr>
              <w:spacing w:after="0"/>
              <w:rPr>
                <w:sz w:val="20"/>
                <w:szCs w:val="20"/>
                <w:color w:val="auto"/>
              </w:rPr>
            </w:pPr>
            <w:r>
              <w:rPr>
                <w:rFonts w:ascii="Arial" w:cs="Arial" w:eastAsia="Arial" w:hAnsi="Arial"/>
                <w:sz w:val="21"/>
                <w:szCs w:val="21"/>
                <w:color w:val="auto"/>
                <w:w w:val="96"/>
              </w:rPr>
              <w:t>Agreement such federal, state and local taxes as may be required to be withheld pursuant to any applicable law or regulation.</w:t>
            </w:r>
          </w:p>
        </w:tc>
      </w:tr>
      <w:tr>
        <w:trPr>
          <w:trHeight w:val="415"/>
        </w:trPr>
        <w:tc>
          <w:tcPr>
            <w:tcW w:w="3820" w:type="dxa"/>
            <w:vAlign w:val="bottom"/>
          </w:tcPr>
          <w:p>
            <w:pPr>
              <w:ind w:left="1740"/>
              <w:spacing w:after="0"/>
              <w:rPr>
                <w:sz w:val="20"/>
                <w:szCs w:val="20"/>
                <w:color w:val="auto"/>
              </w:rPr>
            </w:pPr>
            <w:r>
              <w:rPr>
                <w:rFonts w:ascii="Arial" w:cs="Arial" w:eastAsia="Arial" w:hAnsi="Arial"/>
                <w:sz w:val="20"/>
                <w:szCs w:val="20"/>
                <w:color w:val="080808"/>
              </w:rPr>
              <w:t>(p)</w:t>
            </w:r>
          </w:p>
        </w:tc>
        <w:tc>
          <w:tcPr>
            <w:tcW w:w="7420" w:type="dxa"/>
            <w:vAlign w:val="bottom"/>
            <w:gridSpan w:val="3"/>
          </w:tcPr>
          <w:p>
            <w:pPr>
              <w:spacing w:after="0"/>
              <w:rPr>
                <w:sz w:val="20"/>
                <w:szCs w:val="20"/>
                <w:color w:val="auto"/>
              </w:rPr>
            </w:pPr>
            <w:r>
              <w:rPr>
                <w:rFonts w:ascii="Arial" w:cs="Arial" w:eastAsia="Arial" w:hAnsi="Arial"/>
                <w:sz w:val="21"/>
                <w:szCs w:val="21"/>
                <w:color w:val="auto"/>
                <w:w w:val="90"/>
              </w:rPr>
              <w:t>Counterparts. This Agreement may be signed in counterparts, each of which shall be an</w:t>
            </w:r>
          </w:p>
        </w:tc>
      </w:tr>
      <w:tr>
        <w:trPr>
          <w:trHeight w:val="20"/>
        </w:trPr>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original, with the same effect as if the signatures thereto and hereto were upon the same instrument.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 this Page]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IN WITNESS WHEREOF, the parties hereto have duly executed this Employment Agreement as of the Effective Date.</w:t>
      </w:r>
    </w:p>
    <w:p>
      <w:pPr>
        <w:spacing w:after="0" w:line="257"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ELEDON PHARMACEUTICALS,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Arial" w:cs="Arial" w:eastAsia="Arial" w:hAnsi="Arial"/>
          <w:sz w:val="21"/>
          <w:szCs w:val="21"/>
          <w:u w:val="single" w:color="auto"/>
          <w:color w:val="auto"/>
        </w:rPr>
        <w:t>/s/ David-Alexndre C. Gros</w:t>
      </w:r>
    </w:p>
    <w:p>
      <w:pPr>
        <w:sectPr>
          <w:pgSz w:w="11900" w:h="16838" w:orient="portrait"/>
          <w:cols w:equalWidth="0" w:num="1">
            <w:col w:w="10400"/>
          </w:cols>
          <w:pgMar w:left="320" w:top="1214" w:right="1179" w:bottom="1440" w:gutter="0" w:footer="0" w:header="0"/>
        </w:sectPr>
      </w:pPr>
    </w:p>
    <w:p>
      <w:pPr>
        <w:ind w:left="5200"/>
        <w:spacing w:after="0"/>
        <w:rPr>
          <w:sz w:val="20"/>
          <w:szCs w:val="20"/>
          <w:color w:val="auto"/>
        </w:rPr>
      </w:pPr>
      <w:r>
        <w:rPr>
          <w:rFonts w:ascii="Arial" w:cs="Arial" w:eastAsia="Arial" w:hAnsi="Arial"/>
          <w:sz w:val="21"/>
          <w:szCs w:val="21"/>
          <w:color w:val="auto"/>
        </w:rPr>
        <w:t>By:</w:t>
      </w:r>
    </w:p>
    <w:p>
      <w:pPr>
        <w:ind w:left="5200"/>
        <w:spacing w:after="0" w:line="230" w:lineRule="auto"/>
        <w:rPr>
          <w:sz w:val="20"/>
          <w:szCs w:val="20"/>
          <w:color w:val="auto"/>
        </w:rPr>
      </w:pPr>
      <w:r>
        <w:rPr>
          <w:rFonts w:ascii="Arial" w:cs="Arial" w:eastAsia="Arial" w:hAnsi="Arial"/>
          <w:sz w:val="21"/>
          <w:szCs w:val="21"/>
          <w:color w:val="auto"/>
        </w:rPr>
        <w:t>Alexandre C. Gros, MD</w:t>
      </w:r>
    </w:p>
    <w:p>
      <w:pPr>
        <w:spacing w:after="0" w:line="1" w:lineRule="exact"/>
        <w:rPr>
          <w:sz w:val="20"/>
          <w:szCs w:val="20"/>
          <w:color w:val="auto"/>
        </w:rPr>
      </w:pPr>
    </w:p>
    <w:p>
      <w:pPr>
        <w:ind w:left="5180"/>
        <w:spacing w:after="0"/>
        <w:tabs>
          <w:tab w:leader="none" w:pos="60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David-</w:t>
      </w:r>
    </w:p>
    <w:p>
      <w:pPr>
        <w:spacing w:after="0" w:line="638" w:lineRule="exact"/>
        <w:rPr>
          <w:sz w:val="20"/>
          <w:szCs w:val="20"/>
          <w:color w:val="auto"/>
        </w:rPr>
      </w:pPr>
    </w:p>
    <w:p>
      <w:pPr>
        <w:sectPr>
          <w:pgSz w:w="11900" w:h="16838" w:orient="portrait"/>
          <w:cols w:equalWidth="0" w:num="2">
            <w:col w:w="9100" w:space="720"/>
            <w:col w:w="580"/>
          </w:cols>
          <w:pgMar w:left="320" w:top="1214" w:right="117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80"/>
        <w:spacing w:after="0"/>
        <w:rPr>
          <w:sz w:val="20"/>
          <w:szCs w:val="20"/>
          <w:color w:val="auto"/>
        </w:rPr>
      </w:pPr>
      <w:r>
        <w:rPr>
          <w:rFonts w:ascii="Arial" w:cs="Arial" w:eastAsia="Arial" w:hAnsi="Arial"/>
          <w:sz w:val="21"/>
          <w:szCs w:val="21"/>
          <w:u w:val="single" w:color="auto"/>
          <w:color w:val="auto"/>
        </w:rPr>
        <w:t>/s/ Jon Kuwahara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color w:val="080808"/>
        </w:rPr>
        <w:t>Jon Kuwahara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400"/>
          </w:cols>
          <w:pgMar w:left="320" w:top="1214" w:right="1179" w:bottom="1440" w:gutter="0" w:footer="0" w:header="0"/>
          <w:type w:val="continuous"/>
        </w:sectPr>
      </w:pPr>
    </w:p>
    <w:bookmarkStart w:id="157" w:name="page158"/>
    <w:bookmarkEnd w:id="157"/>
    <w:p>
      <w:pPr>
        <w:jc w:val="center"/>
        <w:ind w:right="100"/>
        <w:spacing w:after="0"/>
        <w:rPr>
          <w:sz w:val="20"/>
          <w:szCs w:val="20"/>
          <w:color w:val="auto"/>
        </w:rPr>
      </w:pPr>
      <w:r>
        <w:rPr>
          <w:rFonts w:ascii="Arial" w:cs="Arial" w:eastAsia="Arial" w:hAnsi="Arial"/>
          <w:sz w:val="21"/>
          <w:szCs w:val="21"/>
          <w:b w:val="1"/>
          <w:bCs w:val="1"/>
          <w:color w:val="auto"/>
        </w:rPr>
        <w:t>EXHIBIT A</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SEVERANCE BENEFITS</w:t>
      </w:r>
    </w:p>
    <w:tbl>
      <w:tblPr>
        <w:tblLayout w:type="fixed"/>
        <w:tblInd w:w="10" w:type="dxa"/>
        <w:tblCellMar>
          <w:top w:w="0" w:type="dxa"/>
          <w:left w:w="0" w:type="dxa"/>
          <w:bottom w:w="0" w:type="dxa"/>
          <w:right w:w="0" w:type="dxa"/>
        </w:tblCellMar>
      </w:tblPr>
      <w:tr>
        <w:trPr>
          <w:trHeight w:val="367"/>
        </w:trPr>
        <w:tc>
          <w:tcPr>
            <w:tcW w:w="3000" w:type="dxa"/>
            <w:vAlign w:val="bottom"/>
            <w:tcBorders>
              <w:top w:val="single" w:sz="8" w:color="auto"/>
              <w:left w:val="single" w:sz="8" w:color="auto"/>
              <w:right w:val="single" w:sz="8" w:color="auto"/>
            </w:tcBorders>
          </w:tcPr>
          <w:p>
            <w:pPr>
              <w:spacing w:after="0"/>
              <w:rPr>
                <w:sz w:val="24"/>
                <w:szCs w:val="24"/>
                <w:color w:val="auto"/>
              </w:rPr>
            </w:pPr>
          </w:p>
        </w:tc>
        <w:tc>
          <w:tcPr>
            <w:tcW w:w="492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Separation not within 12 months</w:t>
            </w:r>
          </w:p>
        </w:tc>
        <w:tc>
          <w:tcPr>
            <w:tcW w:w="3420" w:type="dxa"/>
            <w:vAlign w:val="bottom"/>
            <w:tcBorders>
              <w:top w:val="single" w:sz="8" w:color="auto"/>
            </w:tcBorders>
            <w:gridSpan w:val="3"/>
          </w:tcPr>
          <w:p>
            <w:pPr>
              <w:jc w:val="center"/>
              <w:ind w:left="394"/>
              <w:spacing w:after="0"/>
              <w:rPr>
                <w:sz w:val="20"/>
                <w:szCs w:val="20"/>
                <w:color w:val="auto"/>
              </w:rPr>
            </w:pPr>
            <w:r>
              <w:rPr>
                <w:rFonts w:ascii="Arial" w:cs="Arial" w:eastAsia="Arial" w:hAnsi="Arial"/>
                <w:sz w:val="17"/>
                <w:szCs w:val="17"/>
                <w:b w:val="1"/>
                <w:bCs w:val="1"/>
                <w:color w:val="auto"/>
                <w:w w:val="90"/>
              </w:rPr>
              <w:t>Separation within 12 months</w:t>
            </w:r>
          </w:p>
        </w:tc>
        <w:tc>
          <w:tcPr>
            <w:tcW w:w="0" w:type="dxa"/>
            <w:vAlign w:val="bottom"/>
          </w:tcPr>
          <w:p>
            <w:pPr>
              <w:spacing w:after="0"/>
              <w:rPr>
                <w:sz w:val="1"/>
                <w:szCs w:val="1"/>
                <w:color w:val="auto"/>
              </w:rPr>
            </w:pPr>
          </w:p>
        </w:tc>
      </w:tr>
      <w:tr>
        <w:trPr>
          <w:trHeight w:val="20"/>
        </w:trPr>
        <w:tc>
          <w:tcPr>
            <w:tcW w:w="3000" w:type="dxa"/>
            <w:vAlign w:val="bottom"/>
            <w:tcBorders>
              <w:left w:val="single" w:sz="8" w:color="auto"/>
              <w:righ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20" w:type="dxa"/>
            <w:vAlign w:val="bottom"/>
            <w:tcBorders>
              <w:right w:val="single" w:sz="8" w:color="auto"/>
            </w:tcBorders>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492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2"/>
              </w:rPr>
              <w:t>after a Change in Control</w:t>
            </w:r>
          </w:p>
        </w:tc>
        <w:tc>
          <w:tcPr>
            <w:tcW w:w="34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7"/>
                <w:szCs w:val="17"/>
                <w:b w:val="1"/>
                <w:bCs w:val="1"/>
                <w:color w:val="auto"/>
                <w:w w:val="93"/>
              </w:rPr>
              <w:t>after a Change in Control</w:t>
            </w:r>
          </w:p>
        </w:tc>
        <w:tc>
          <w:tcPr>
            <w:tcW w:w="0" w:type="dxa"/>
            <w:vAlign w:val="bottom"/>
          </w:tcPr>
          <w:p>
            <w:pPr>
              <w:spacing w:after="0"/>
              <w:rPr>
                <w:sz w:val="1"/>
                <w:szCs w:val="1"/>
                <w:color w:val="auto"/>
              </w:rPr>
            </w:pPr>
          </w:p>
        </w:tc>
      </w:tr>
      <w:tr>
        <w:trPr>
          <w:trHeight w:val="388"/>
        </w:trPr>
        <w:tc>
          <w:tcPr>
            <w:tcW w:w="300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89"/>
              </w:rPr>
              <w:t>Before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On/After</w:t>
            </w:r>
          </w:p>
        </w:tc>
        <w:tc>
          <w:tcPr>
            <w:tcW w:w="23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92"/>
              </w:rPr>
              <w:t>Before</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On/After Ret</w:t>
            </w:r>
          </w:p>
        </w:tc>
        <w:tc>
          <w:tcPr>
            <w:tcW w:w="0" w:type="dxa"/>
            <w:vAlign w:val="bottom"/>
          </w:tcPr>
          <w:p>
            <w:pPr>
              <w:spacing w:after="0"/>
              <w:rPr>
                <w:sz w:val="1"/>
                <w:szCs w:val="1"/>
                <w:color w:val="auto"/>
              </w:rPr>
            </w:pPr>
          </w:p>
        </w:tc>
      </w:tr>
      <w:tr>
        <w:trPr>
          <w:trHeight w:val="224"/>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1"/>
              </w:rPr>
              <w:t>Retention Date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Retention Date</w:t>
            </w:r>
          </w:p>
        </w:tc>
        <w:tc>
          <w:tcPr>
            <w:tcW w:w="23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7"/>
                <w:szCs w:val="17"/>
                <w:b w:val="1"/>
                <w:bCs w:val="1"/>
                <w:color w:val="auto"/>
                <w:w w:val="91"/>
              </w:rPr>
              <w:t>Retention Date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405"/>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w w:val="98"/>
              </w:rPr>
              <w:t>Termination by Company (for Cause)</w:t>
            </w:r>
          </w:p>
        </w:tc>
        <w:tc>
          <w:tcPr>
            <w:tcW w:w="2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93"/>
              </w:rPr>
              <w:t>Accrued Rights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Accrued Rights</w:t>
            </w:r>
          </w:p>
        </w:tc>
        <w:tc>
          <w:tcPr>
            <w:tcW w:w="23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1"/>
              </w:rPr>
              <w:t>Accrued Rights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Accrued Ri</w:t>
            </w:r>
          </w:p>
        </w:tc>
        <w:tc>
          <w:tcPr>
            <w:tcW w:w="0" w:type="dxa"/>
            <w:vAlign w:val="bottom"/>
          </w:tcPr>
          <w:p>
            <w:pPr>
              <w:spacing w:after="0"/>
              <w:rPr>
                <w:sz w:val="1"/>
                <w:szCs w:val="1"/>
                <w:color w:val="auto"/>
              </w:rPr>
            </w:pPr>
          </w:p>
        </w:tc>
      </w:tr>
      <w:tr>
        <w:trPr>
          <w:trHeight w:val="394"/>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Termination by Company (without</w:t>
            </w:r>
          </w:p>
        </w:tc>
        <w:tc>
          <w:tcPr>
            <w:tcW w:w="25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7"/>
                <w:szCs w:val="17"/>
                <w:color w:val="auto"/>
                <w:w w:val="93"/>
              </w:rPr>
              <w:t>Accrued Rights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Accrued Rights</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Accrued Rights</w:t>
            </w: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Accrued Ri</w:t>
            </w:r>
          </w:p>
        </w:tc>
        <w:tc>
          <w:tcPr>
            <w:tcW w:w="0" w:type="dxa"/>
            <w:vAlign w:val="bottom"/>
          </w:tcPr>
          <w:p>
            <w:pPr>
              <w:spacing w:after="0"/>
              <w:rPr>
                <w:sz w:val="1"/>
                <w:szCs w:val="1"/>
                <w:color w:val="auto"/>
              </w:rPr>
            </w:pPr>
          </w:p>
        </w:tc>
      </w:tr>
      <w:tr>
        <w:trPr>
          <w:trHeight w:val="217"/>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Cause)</w:t>
            </w:r>
          </w:p>
        </w:tc>
        <w:tc>
          <w:tcPr>
            <w:tcW w:w="252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7"/>
                <w:szCs w:val="17"/>
                <w:color w:val="auto"/>
                <w:w w:val="92"/>
              </w:rPr>
              <w:t>Retention Benefits</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Severance Benefits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Retention Benefits</w:t>
            </w:r>
          </w:p>
        </w:tc>
        <w:tc>
          <w:tcPr>
            <w:tcW w:w="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w w:val="98"/>
              </w:rPr>
              <w:t>Change in Co</w:t>
            </w:r>
          </w:p>
        </w:tc>
        <w:tc>
          <w:tcPr>
            <w:tcW w:w="0" w:type="dxa"/>
            <w:vAlign w:val="bottom"/>
          </w:tcPr>
          <w:p>
            <w:pPr>
              <w:spacing w:after="0"/>
              <w:rPr>
                <w:sz w:val="1"/>
                <w:szCs w:val="1"/>
                <w:color w:val="auto"/>
              </w:rPr>
            </w:pPr>
          </w:p>
        </w:tc>
      </w:tr>
      <w:tr>
        <w:trPr>
          <w:trHeight w:val="195"/>
        </w:trPr>
        <w:tc>
          <w:tcPr>
            <w:tcW w:w="300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gridSpan w:val="3"/>
            <w:vMerge w:val="continue"/>
          </w:tcPr>
          <w:p>
            <w:pPr>
              <w:spacing w:after="0"/>
              <w:rPr>
                <w:sz w:val="16"/>
                <w:szCs w:val="16"/>
                <w:color w:val="auto"/>
              </w:rPr>
            </w:pPr>
          </w:p>
        </w:tc>
        <w:tc>
          <w:tcPr>
            <w:tcW w:w="2400" w:type="dxa"/>
            <w:vAlign w:val="bottom"/>
            <w:tcBorders>
              <w:right w:val="single" w:sz="8" w:color="auto"/>
            </w:tcBorders>
            <w:vMerge w:val="continue"/>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7"/>
                <w:szCs w:val="17"/>
                <w:color w:val="auto"/>
                <w:w w:val="89"/>
              </w:rPr>
              <w:t>Severance Benefits</w:t>
            </w:r>
          </w:p>
        </w:tc>
        <w:tc>
          <w:tcPr>
            <w:tcW w:w="24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Change in Control Severance</w:t>
            </w: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5"/>
              </w:rPr>
              <w:t>Severance Be</w:t>
            </w:r>
          </w:p>
        </w:tc>
        <w:tc>
          <w:tcPr>
            <w:tcW w:w="0" w:type="dxa"/>
            <w:vAlign w:val="bottom"/>
          </w:tcPr>
          <w:p>
            <w:pPr>
              <w:spacing w:after="0"/>
              <w:rPr>
                <w:sz w:val="1"/>
                <w:szCs w:val="1"/>
                <w:color w:val="auto"/>
              </w:rPr>
            </w:pPr>
          </w:p>
        </w:tc>
      </w:tr>
      <w:tr>
        <w:trPr>
          <w:trHeight w:val="195"/>
        </w:trPr>
        <w:tc>
          <w:tcPr>
            <w:tcW w:w="300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gridSpan w:val="3"/>
            <w:vMerge w:val="continue"/>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Benefits</w:t>
            </w: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w w:val="89"/>
              </w:rPr>
              <w:t>Resignation by Employee (without Good</w:t>
            </w:r>
          </w:p>
        </w:tc>
        <w:tc>
          <w:tcPr>
            <w:tcW w:w="25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93"/>
              </w:rPr>
              <w:t>Accrued Rights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Accrued Rights</w:t>
            </w:r>
          </w:p>
        </w:tc>
        <w:tc>
          <w:tcPr>
            <w:tcW w:w="23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1"/>
              </w:rPr>
              <w:t>Accrued Rights</w:t>
            </w:r>
          </w:p>
        </w:tc>
        <w:tc>
          <w:tcPr>
            <w:tcW w:w="1040" w:type="dxa"/>
            <w:vAlign w:val="bottom"/>
          </w:tcPr>
          <w:p>
            <w:pPr>
              <w:jc w:val="right"/>
              <w:spacing w:after="0"/>
              <w:rPr>
                <w:sz w:val="20"/>
                <w:szCs w:val="20"/>
                <w:color w:val="auto"/>
              </w:rPr>
            </w:pPr>
            <w:r>
              <w:rPr>
                <w:rFonts w:ascii="Arial" w:cs="Arial" w:eastAsia="Arial" w:hAnsi="Arial"/>
                <w:sz w:val="17"/>
                <w:szCs w:val="17"/>
                <w:color w:val="auto"/>
              </w:rPr>
              <w:t>Accrued Ri</w:t>
            </w:r>
          </w:p>
        </w:tc>
        <w:tc>
          <w:tcPr>
            <w:tcW w:w="0" w:type="dxa"/>
            <w:vAlign w:val="bottom"/>
          </w:tcPr>
          <w:p>
            <w:pPr>
              <w:spacing w:after="0"/>
              <w:rPr>
                <w:sz w:val="1"/>
                <w:szCs w:val="1"/>
                <w:color w:val="auto"/>
              </w:rPr>
            </w:pPr>
          </w:p>
        </w:tc>
      </w:tr>
      <w:tr>
        <w:trPr>
          <w:trHeight w:val="217"/>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Reason)</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Retention Benefits</w:t>
            </w:r>
          </w:p>
        </w:tc>
        <w:tc>
          <w:tcPr>
            <w:tcW w:w="23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Retention Be</w:t>
            </w:r>
          </w:p>
        </w:tc>
        <w:tc>
          <w:tcPr>
            <w:tcW w:w="0" w:type="dxa"/>
            <w:vAlign w:val="bottom"/>
          </w:tcPr>
          <w:p>
            <w:pPr>
              <w:spacing w:after="0"/>
              <w:rPr>
                <w:sz w:val="1"/>
                <w:szCs w:val="1"/>
                <w:color w:val="auto"/>
              </w:rPr>
            </w:pPr>
          </w:p>
        </w:tc>
      </w:tr>
      <w:tr>
        <w:trPr>
          <w:trHeight w:val="207"/>
        </w:trPr>
        <w:tc>
          <w:tcPr>
            <w:tcW w:w="300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vMerge w:val="continue"/>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w w:val="97"/>
              </w:rPr>
              <w:t>Resignation by Employee (with Good</w:t>
            </w:r>
          </w:p>
        </w:tc>
        <w:tc>
          <w:tcPr>
            <w:tcW w:w="25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93"/>
              </w:rPr>
              <w:t>Accrued Rights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Accrued Rights</w:t>
            </w:r>
          </w:p>
        </w:tc>
        <w:tc>
          <w:tcPr>
            <w:tcW w:w="3420" w:type="dxa"/>
            <w:vAlign w:val="bottom"/>
            <w:gridSpan w:val="3"/>
          </w:tcPr>
          <w:p>
            <w:pPr>
              <w:jc w:val="center"/>
              <w:ind w:left="434"/>
              <w:spacing w:after="0"/>
              <w:rPr>
                <w:sz w:val="20"/>
                <w:szCs w:val="20"/>
                <w:color w:val="auto"/>
              </w:rPr>
            </w:pPr>
            <w:r>
              <w:rPr>
                <w:rFonts w:ascii="Arial" w:cs="Arial" w:eastAsia="Arial" w:hAnsi="Arial"/>
                <w:sz w:val="17"/>
                <w:szCs w:val="17"/>
                <w:color w:val="auto"/>
                <w:w w:val="91"/>
              </w:rPr>
              <w:t>Accrued Rights</w:t>
            </w:r>
          </w:p>
        </w:tc>
        <w:tc>
          <w:tcPr>
            <w:tcW w:w="0" w:type="dxa"/>
            <w:vAlign w:val="bottom"/>
          </w:tcPr>
          <w:p>
            <w:pPr>
              <w:spacing w:after="0"/>
              <w:rPr>
                <w:sz w:val="1"/>
                <w:szCs w:val="1"/>
                <w:color w:val="auto"/>
              </w:rPr>
            </w:pPr>
          </w:p>
        </w:tc>
      </w:tr>
      <w:tr>
        <w:trPr>
          <w:trHeight w:val="217"/>
        </w:trPr>
        <w:tc>
          <w:tcPr>
            <w:tcW w:w="3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Reason)</w:t>
            </w:r>
          </w:p>
        </w:tc>
        <w:tc>
          <w:tcPr>
            <w:tcW w:w="252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7"/>
                <w:szCs w:val="17"/>
                <w:color w:val="auto"/>
                <w:w w:val="92"/>
              </w:rPr>
              <w:t>Retention Benefits</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Severance Benefits</w:t>
            </w:r>
          </w:p>
        </w:tc>
        <w:tc>
          <w:tcPr>
            <w:tcW w:w="3420" w:type="dxa"/>
            <w:vAlign w:val="bottom"/>
            <w:gridSpan w:val="3"/>
            <w:vMerge w:val="restart"/>
          </w:tcPr>
          <w:p>
            <w:pPr>
              <w:jc w:val="center"/>
              <w:ind w:left="434"/>
              <w:spacing w:after="0"/>
              <w:rPr>
                <w:sz w:val="20"/>
                <w:szCs w:val="20"/>
                <w:color w:val="auto"/>
              </w:rPr>
            </w:pPr>
            <w:r>
              <w:rPr>
                <w:rFonts w:ascii="Arial" w:cs="Arial" w:eastAsia="Arial" w:hAnsi="Arial"/>
                <w:sz w:val="17"/>
                <w:szCs w:val="17"/>
                <w:color w:val="auto"/>
                <w:w w:val="90"/>
              </w:rPr>
              <w:t>Change in Control Severance Benefits</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right w:val="single" w:sz="8" w:color="auto"/>
            </w:tcBorders>
          </w:tcPr>
          <w:p>
            <w:pPr>
              <w:spacing w:after="0"/>
              <w:rPr>
                <w:sz w:val="17"/>
                <w:szCs w:val="17"/>
                <w:color w:val="auto"/>
              </w:rPr>
            </w:pPr>
          </w:p>
        </w:tc>
        <w:tc>
          <w:tcPr>
            <w:tcW w:w="2520" w:type="dxa"/>
            <w:vAlign w:val="bottom"/>
            <w:tcBorders>
              <w:right w:val="single" w:sz="8" w:color="auto"/>
            </w:tcBorders>
            <w:gridSpan w:val="3"/>
            <w:vMerge w:val="continue"/>
          </w:tcPr>
          <w:p>
            <w:pPr>
              <w:spacing w:after="0"/>
              <w:rPr>
                <w:sz w:val="17"/>
                <w:szCs w:val="17"/>
                <w:color w:val="auto"/>
              </w:rPr>
            </w:pPr>
          </w:p>
        </w:tc>
        <w:tc>
          <w:tcPr>
            <w:tcW w:w="2400" w:type="dxa"/>
            <w:vAlign w:val="bottom"/>
            <w:tcBorders>
              <w:right w:val="single" w:sz="8" w:color="auto"/>
            </w:tcBorders>
            <w:vMerge w:val="continue"/>
          </w:tcPr>
          <w:p>
            <w:pPr>
              <w:spacing w:after="0"/>
              <w:rPr>
                <w:sz w:val="17"/>
                <w:szCs w:val="17"/>
                <w:color w:val="auto"/>
              </w:rPr>
            </w:pPr>
          </w:p>
        </w:tc>
        <w:tc>
          <w:tcPr>
            <w:tcW w:w="34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89"/>
              </w:rPr>
              <w:t>Severance Benefits</w:t>
            </w:r>
          </w:p>
        </w:tc>
        <w:tc>
          <w:tcPr>
            <w:tcW w:w="240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Death or Disability</w:t>
            </w:r>
          </w:p>
        </w:tc>
        <w:tc>
          <w:tcPr>
            <w:tcW w:w="2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3"/>
          </w:tcPr>
          <w:p>
            <w:pPr>
              <w:ind w:left="1040"/>
              <w:spacing w:after="0"/>
              <w:rPr>
                <w:sz w:val="20"/>
                <w:szCs w:val="20"/>
                <w:color w:val="auto"/>
              </w:rPr>
            </w:pPr>
            <w:r>
              <w:rPr>
                <w:rFonts w:ascii="Arial" w:cs="Arial" w:eastAsia="Arial" w:hAnsi="Arial"/>
                <w:sz w:val="17"/>
                <w:szCs w:val="17"/>
                <w:color w:val="auto"/>
              </w:rPr>
              <w:t>Death/Disability Benefits</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Exhibit, defined terms shall have the following definitions:</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Accrued Rights</w:t>
      </w:r>
      <w:r>
        <w:rPr>
          <w:rFonts w:ascii="Arial" w:cs="Arial" w:eastAsia="Arial" w:hAnsi="Arial"/>
          <w:sz w:val="21"/>
          <w:szCs w:val="21"/>
          <w:color w:val="auto"/>
        </w:rPr>
        <w:t>” means payment to Executive of the following:</w:t>
      </w:r>
    </w:p>
    <w:p>
      <w:pPr>
        <w:spacing w:after="0" w:line="9" w:lineRule="exact"/>
        <w:rPr>
          <w:sz w:val="20"/>
          <w:szCs w:val="20"/>
          <w:color w:val="auto"/>
        </w:rPr>
      </w:pPr>
    </w:p>
    <w:p>
      <w:pPr>
        <w:ind w:right="180" w:firstLine="867"/>
        <w:spacing w:after="0" w:line="237" w:lineRule="auto"/>
        <w:tabs>
          <w:tab w:leader="none" w:pos="176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Base Salary accrued through the date of termination, payable as soon as practicable following the date of such termination or as otherwise required by applicable law;</w:t>
      </w:r>
    </w:p>
    <w:p>
      <w:pPr>
        <w:spacing w:after="0" w:line="175" w:lineRule="exact"/>
        <w:rPr>
          <w:rFonts w:ascii="Arial" w:cs="Arial" w:eastAsia="Arial" w:hAnsi="Arial"/>
          <w:sz w:val="21"/>
          <w:szCs w:val="21"/>
          <w:color w:val="auto"/>
        </w:rPr>
      </w:pPr>
    </w:p>
    <w:p>
      <w:pPr>
        <w:ind w:right="360" w:firstLine="867"/>
        <w:spacing w:after="0" w:line="271" w:lineRule="auto"/>
        <w:tabs>
          <w:tab w:leader="none" w:pos="175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reimbursement, within 30 days following submission by Executive to the Company of appropriate supporting documentation, for any unreimbursed business expenses properly incurred by Executive in accordance with Company policy prior to the date of Executive’s termination; provided, that claims for such reimbursement (accompanied by appropriate supporting documentation) are submitted to the Company within 30 days following the date of Executive’s termination of employment; and</w:t>
      </w:r>
    </w:p>
    <w:p>
      <w:pPr>
        <w:spacing w:after="0" w:line="147" w:lineRule="exact"/>
        <w:rPr>
          <w:rFonts w:ascii="Arial" w:cs="Arial" w:eastAsia="Arial" w:hAnsi="Arial"/>
          <w:sz w:val="19"/>
          <w:szCs w:val="19"/>
          <w:color w:val="auto"/>
        </w:rPr>
      </w:pPr>
    </w:p>
    <w:p>
      <w:pPr>
        <w:ind w:right="440" w:firstLine="867"/>
        <w:spacing w:after="0" w:line="252" w:lineRule="auto"/>
        <w:tabs>
          <w:tab w:leader="none" w:pos="175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such Employee Benefits, if any, as to which Executive may be entitled under the employee benefit plans of the Company, which shall be paid in accordance with the terms of the</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340"/>
          </w:cols>
          <w:pgMar w:left="320" w:top="1208" w:right="239" w:bottom="1440" w:gutter="0" w:footer="0" w:header="0"/>
        </w:sectPr>
      </w:pPr>
    </w:p>
    <w:bookmarkStart w:id="158" w:name="page159"/>
    <w:bookmarkEnd w:id="158"/>
    <w:p>
      <w:pPr>
        <w:spacing w:after="0"/>
        <w:rPr>
          <w:sz w:val="20"/>
          <w:szCs w:val="20"/>
          <w:color w:val="auto"/>
        </w:rPr>
      </w:pPr>
      <w:r>
        <w:rPr>
          <w:rFonts w:ascii="Arial" w:cs="Arial" w:eastAsia="Arial" w:hAnsi="Arial"/>
          <w:sz w:val="21"/>
          <w:szCs w:val="21"/>
          <w:color w:val="auto"/>
        </w:rPr>
        <w:t>applicable plans.</w:t>
      </w:r>
    </w:p>
    <w:p>
      <w:pPr>
        <w:spacing w:after="0" w:line="197"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any of the following events: (i) Executive’s conviction of, or plea of guilty or nolo contendere to, any crime involving dishonesty or moral turpitude or any felony; or (ii) a good faith finding by the Company that Executive has (x) engaged in dishonesty, willful misconduct or gross negligence in connection with the performance of his duties or services to the Company, (y) breached any confidentiality, inventions, and non-solicitation agreement between Executive and the Company, or (z) violated Company policies or procedures in a manner that has materially injured, or is reasonably likely to materially injure, the Company’s business or reputation. Notwithstanding anything herein to the contrary, Executive’s employment will be deemed to have been terminated for Cause if it is determined subsequent to Executive’s termination of employment that grounds for termination for Cause existed at the time of Executive’s termination of employment. The determination of Cause shall be made by the Board, in its good faith discretion.</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occurrence of one or more of the following events: (i) any “person” (as such term is used in Sections 3(a)(9) and 13(d) of the Securities Exchange Act of 1934, as amended (the “Act”)) or “group” (as such term is used in Section 13(d)(3) of the Act), other than the Company or its subsidiaries or any benefit plan of the Company or its subsidiaries is or becomes a “beneficial owner” (as such term is used in Rule 13d-3 promulgated under the Act) of more than 50% of the Voting Stock of the Company; (ii) the Company transfers all or substantially all of its assets (unless the shareholders of the Company immediately prior to such transaction beneficially own, directly or indirectly, in substantially the same proportion as they owned the Voting Stock of the Company, all of the Voting Stock or other ownership interests of the entity or entities, if any, that succeed to the business of the Company or the Company’s ultimate parent company if the Company is a subsidiary of another corporation); or (iii) any merger, reorganization, consolidation or similar transaction unless, immediately after consummation of such transaction, the shareholders of the Company immediately prior to the transaction hold, directly or indirectly, more than 50% of the Voting Stock of the Company or the Company’s ultimate parent company if the Company is a subsidiary of another corporation. For purposes of this Change in Control definition, “Voting Stock” means securities or ownership interests of any class or classes having general voting power under ordinary circumstances, in the absence of contingencies, to elect the directors of a corporation, including securities that are convertible into voting stock (e.g., warrants and convertible preferred stock), even if subject to beneficial ownership blockers or other limits on the ability to acquire such securities.</w:t>
      </w:r>
    </w:p>
    <w:p>
      <w:pPr>
        <w:spacing w:after="0" w:line="16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Severance Benefits</w:t>
      </w:r>
      <w:r>
        <w:rPr>
          <w:rFonts w:ascii="Arial" w:cs="Arial" w:eastAsia="Arial" w:hAnsi="Arial"/>
          <w:sz w:val="20"/>
          <w:szCs w:val="20"/>
          <w:color w:val="auto"/>
        </w:rPr>
        <w:t>” means the following benefits: (i) full acceleration of vesting of the Executive’s unvested Company equity-based awards (including, but not limited to, stock options, restricted stock, restricted stock units, and stock appreciation rights), which awards shall be exercisable in accordance with the provisions of the award agreement and plan pursuant to which such equity award was granted, including, in the case of stock options, the plan or award agreement provisions regarding any post-termination period of exercisability, (ii) a lump sum cash severance payment equal to 1.0 multiplied by the sum of (x) the Base Salary that Executive was receiving immediately prior to the Separation Date, plus (A) the larger of (1) the Annual Target Bonus or (y) the annual bonus earned by Executive for the year preceding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159" w:name="page160"/>
    <w:bookmarkEnd w:id="159"/>
    <w:p>
      <w:pPr>
        <w:spacing w:after="0" w:line="249" w:lineRule="auto"/>
        <w:rPr>
          <w:sz w:val="20"/>
          <w:szCs w:val="20"/>
          <w:color w:val="auto"/>
        </w:rPr>
      </w:pPr>
      <w:r>
        <w:rPr>
          <w:rFonts w:ascii="Arial" w:cs="Arial" w:eastAsia="Arial" w:hAnsi="Arial"/>
          <w:sz w:val="20"/>
          <w:szCs w:val="20"/>
          <w:color w:val="auto"/>
        </w:rPr>
        <w:t>year of termination; (B) a lump sum cash payment equal to a pro-rata portion of the Annual Target Bonus amount for the year in which the Separation Date occurs; and (C) payment by the Company of the full cost of the health insurance benefits provided to Executive and Executive’s spouse and dependents, as applicable, immediately prior to the Change in Control pursuant to COBRA or other applicable law through the earlier of the end of the 12-month period following the Separation Date or the date upon which Executive is no longer eligible for such COBRA or other benefits under applicable law, provided that if the Company’s paying for health insurance benefits violates nondiscrimination laws, the payments will cease.</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Death/Disability Benefits</w:t>
      </w:r>
      <w:r>
        <w:rPr>
          <w:rFonts w:ascii="Arial" w:cs="Arial" w:eastAsia="Arial" w:hAnsi="Arial"/>
          <w:sz w:val="20"/>
          <w:szCs w:val="20"/>
          <w:color w:val="auto"/>
        </w:rPr>
        <w:t>” means (i) pro rata acceleration of the vesting of all outstanding equity awards subject to time-based vesting, determined on the basis of each completed month of service (or portion thereof) that the Executive served as an employee hereunder following the last applicable vesting date (or, if no such vesting date had yet occurred, the applicable grant date) and prior to termination of employment, with any applicable options remaining exercisable thereafter for a period of 12 months, and (ii) pro rata portion of the Annual Target Bonus for the year in which the termination of service occurs, payable on the date when bonuses are otherwise paid to Company executives, and in all events by March 15 of the calendar year following the year in which such termination occurs, and (iii) the Accrued Rights.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shall be deemed to have occurred if Executive has for one hundred twenty (120) consecutive days or one hundred eighty</w:t>
      </w:r>
    </w:p>
    <w:p>
      <w:pPr>
        <w:spacing w:after="0" w:line="32" w:lineRule="exact"/>
        <w:rPr>
          <w:sz w:val="20"/>
          <w:szCs w:val="20"/>
          <w:color w:val="auto"/>
        </w:rPr>
      </w:pPr>
    </w:p>
    <w:p>
      <w:pPr>
        <w:ind w:right="680" w:firstLine="3"/>
        <w:spacing w:after="0" w:line="258" w:lineRule="auto"/>
        <w:tabs>
          <w:tab w:leader="none" w:pos="49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non-consecutive days in any twelve (12) month period been disabled in a manner which has rendered Executive unable to perform the essential functions of Executive’s job duties with or without reasonable accommodation.</w:t>
      </w:r>
    </w:p>
    <w:p>
      <w:pPr>
        <w:spacing w:after="0" w:line="158"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any of the following are undertaken without Executive’s prior written consent at any time after the Effective Date: (i) a material adverse change in Executive’s duties, responsibilities, title or reporting relationship, (ii) reduction in Executive’s Base Salary, while there are at least six months of operating funds on hand (other than in connection with, and in an amount substantially proportionate to, reductions made by the Company to the annualized base salaries of its other senior executives), (iii) the relocation of Executive’s principal workplace to more than 60 miles from the Company’s current principal offices in Irvine, California, or (iv) a material breach of this Agreement by the Company. To terminate Executive’s employment for Good Reason, Executive must</w:t>
      </w:r>
    </w:p>
    <w:p>
      <w:pPr>
        <w:spacing w:after="0" w:line="3" w:lineRule="exact"/>
        <w:rPr>
          <w:sz w:val="20"/>
          <w:szCs w:val="20"/>
          <w:color w:val="auto"/>
        </w:rPr>
      </w:pPr>
    </w:p>
    <w:p>
      <w:pPr>
        <w:ind w:right="180" w:firstLine="3"/>
        <w:spacing w:after="0" w:line="235" w:lineRule="auto"/>
        <w:tabs>
          <w:tab w:leader="none" w:pos="29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provide notice to the Company of the event giving rise to the Good Reason within 90 days after such event occurs, (y) provide the Company with at least 30 days to cure, and (z) if not cured, resign for Good Reason within 30 days following expiration of the cure period.</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Retention Benefits</w:t>
      </w:r>
      <w:r>
        <w:rPr>
          <w:rFonts w:ascii="Arial" w:cs="Arial" w:eastAsia="Arial" w:hAnsi="Arial"/>
          <w:sz w:val="21"/>
          <w:szCs w:val="21"/>
          <w:color w:val="auto"/>
        </w:rPr>
        <w:t>” means payment of the following amounts:</w:t>
      </w:r>
    </w:p>
    <w:p>
      <w:pPr>
        <w:spacing w:after="0" w:line="197" w:lineRule="exact"/>
        <w:rPr>
          <w:sz w:val="20"/>
          <w:szCs w:val="20"/>
          <w:color w:val="auto"/>
        </w:rPr>
      </w:pPr>
    </w:p>
    <w:p>
      <w:pPr>
        <w:ind w:right="20" w:firstLine="900"/>
        <w:spacing w:after="0" w:line="304" w:lineRule="auto"/>
        <w:tabs>
          <w:tab w:leader="none" w:pos="180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payment of the Executive’s Annual Target Bonus for 2020, or, if greater, the amount of bonus earned in respect of the 2020 performance period, payable at the same time bonuses are paid to similarly situated executives of the Company;</w:t>
      </w:r>
    </w:p>
    <w:p>
      <w:pPr>
        <w:spacing w:after="0" w:line="116" w:lineRule="exact"/>
        <w:rPr>
          <w:rFonts w:ascii="Arial" w:cs="Arial" w:eastAsia="Arial" w:hAnsi="Arial"/>
          <w:sz w:val="19"/>
          <w:szCs w:val="19"/>
          <w:color w:val="auto"/>
        </w:rPr>
      </w:pPr>
    </w:p>
    <w:p>
      <w:pPr>
        <w:ind w:right="600" w:firstLine="900"/>
        <w:spacing w:after="0" w:line="252" w:lineRule="auto"/>
        <w:tabs>
          <w:tab w:leader="none" w:pos="179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continued payment of Executive’s Base Salary from the Separation Date through the Retention Date (if the Separation Date precedes the Retention Date);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160" w:name="page161"/>
    <w:bookmarkEnd w:id="160"/>
    <w:p>
      <w:pPr>
        <w:ind w:left="1800" w:hanging="900"/>
        <w:spacing w:after="0"/>
        <w:tabs>
          <w:tab w:leader="none" w:pos="18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credit for an additional six months of vesting under all outstanding equity awards held by Executive as of the</w:t>
      </w:r>
    </w:p>
    <w:p>
      <w:pPr>
        <w:spacing w:after="0" w:line="3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Separation Date; and</w:t>
      </w:r>
    </w:p>
    <w:p>
      <w:pPr>
        <w:spacing w:after="0" w:line="178" w:lineRule="exact"/>
        <w:rPr>
          <w:rFonts w:ascii="Arial" w:cs="Arial" w:eastAsia="Arial" w:hAnsi="Arial"/>
          <w:sz w:val="19"/>
          <w:szCs w:val="19"/>
          <w:color w:val="auto"/>
        </w:rPr>
      </w:pPr>
    </w:p>
    <w:p>
      <w:pPr>
        <w:ind w:right="80" w:firstLine="900"/>
        <w:spacing w:after="0" w:line="252" w:lineRule="auto"/>
        <w:tabs>
          <w:tab w:leader="none" w:pos="180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extension of the exercise period for Executive’s vested stock options until July 31, 2022, which, for avoidance of doubt, includes those stock options that become vested pursuant to the foregoing clause (C).</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Retention Date</w:t>
      </w:r>
      <w:r>
        <w:rPr>
          <w:rFonts w:ascii="Arial" w:cs="Arial" w:eastAsia="Arial" w:hAnsi="Arial"/>
          <w:sz w:val="21"/>
          <w:szCs w:val="21"/>
          <w:color w:val="auto"/>
        </w:rPr>
        <w:t>” means July 31, 2021.</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Separation Date</w:t>
      </w:r>
      <w:r>
        <w:rPr>
          <w:rFonts w:ascii="Arial" w:cs="Arial" w:eastAsia="Arial" w:hAnsi="Arial"/>
          <w:sz w:val="21"/>
          <w:szCs w:val="21"/>
          <w:color w:val="auto"/>
        </w:rPr>
        <w:t>” means the date on which the Executive’s employment relationship with the Company is terminated.</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 means the (i) continued payment of Executive’s Base Salary as in effect immediately prior to the Separation Date for 9-months after the date of the termination (the “</w:t>
      </w:r>
      <w:r>
        <w:rPr>
          <w:rFonts w:ascii="Arial" w:cs="Arial" w:eastAsia="Arial" w:hAnsi="Arial"/>
          <w:sz w:val="19"/>
          <w:szCs w:val="19"/>
          <w:b w:val="1"/>
          <w:bCs w:val="1"/>
          <w:i w:val="1"/>
          <w:iCs w:val="1"/>
          <w:color w:val="auto"/>
        </w:rPr>
        <w:t>Severance Period</w:t>
      </w:r>
      <w:r>
        <w:rPr>
          <w:rFonts w:ascii="Arial" w:cs="Arial" w:eastAsia="Arial" w:hAnsi="Arial"/>
          <w:sz w:val="19"/>
          <w:szCs w:val="19"/>
          <w:color w:val="auto"/>
        </w:rPr>
        <w:t>”), which payments shall be paid during the Severance Period in accordance with the Company’s standard payroll practices; and (ii) payment by the Company of the full cost of the health insurance benefits provided to Executive and Executive’s spouse and dependents, as applicable, immediately prior to the Separation Date pursuant to the terms of COBRA or other applicable law through the earlier of the end of the Severance Period or the date upon which Executive is no longer eligible for such COBRA or other benefits under applicable law, provided that if the Company’s paying for health insurance benefits violates nondiscrimination laws, the payments will cease.</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Additionally, if the Separation Date is on or after the Retention Date, then the Severance Benefits shall also include: (x) credit for an additional six months of vesting under all outstanding equity awards held by Executive as of the Separation Date, and (y) an extension of the exercise period for Executive’s vested stock options until the later of July 31, 2022 or 90 days from the Separation Date (including, for avoidance of doubt, those stock options that become vested pursuant to the preceding clause (x)).</w:t>
      </w:r>
    </w:p>
    <w:p>
      <w:pPr>
        <w:spacing w:after="0" w:line="135" w:lineRule="exact"/>
        <w:rPr>
          <w:sz w:val="20"/>
          <w:szCs w:val="20"/>
          <w:color w:val="auto"/>
        </w:rPr>
      </w:pPr>
    </w:p>
    <w:p>
      <w:pPr>
        <w:ind w:left="5880" w:hanging="720"/>
        <w:spacing w:after="0"/>
        <w:tabs>
          <w:tab w:leader="none" w:pos="588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00"/>
          </w:cols>
          <w:pgMar w:left="320" w:top="1214" w:right="379" w:bottom="1440" w:gutter="0" w:footer="0" w:header="0"/>
        </w:sectPr>
      </w:pPr>
    </w:p>
    <w:bookmarkStart w:id="161" w:name="page162"/>
    <w:bookmarkEnd w:id="161"/>
    <w:p>
      <w:pPr>
        <w:jc w:val="right"/>
        <w:spacing w:after="0"/>
        <w:rPr>
          <w:sz w:val="20"/>
          <w:szCs w:val="20"/>
          <w:color w:val="auto"/>
        </w:rPr>
      </w:pPr>
      <w:r>
        <w:rPr>
          <w:rFonts w:ascii="Arial" w:cs="Arial" w:eastAsia="Arial" w:hAnsi="Arial"/>
          <w:sz w:val="21"/>
          <w:szCs w:val="21"/>
          <w:b w:val="1"/>
          <w:bCs w:val="1"/>
          <w:color w:val="080808"/>
        </w:rPr>
        <w:t>Exhibit 10.10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80808"/>
        </w:rPr>
        <w:t>EXECUTIVE EMPLOYMENT AGREEMENT</w:t>
      </w:r>
    </w:p>
    <w:p>
      <w:pPr>
        <w:spacing w:after="0" w:line="22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080808"/>
        </w:rPr>
        <w:t>This Executive Employment Agreement (the “</w:t>
      </w:r>
      <w:r>
        <w:rPr>
          <w:rFonts w:ascii="Arial" w:cs="Arial" w:eastAsia="Arial" w:hAnsi="Arial"/>
          <w:sz w:val="21"/>
          <w:szCs w:val="21"/>
          <w:u w:val="single" w:color="auto"/>
          <w:color w:val="080808"/>
        </w:rPr>
        <w:t>Agreement</w:t>
      </w:r>
      <w:r>
        <w:rPr>
          <w:rFonts w:ascii="Arial" w:cs="Arial" w:eastAsia="Arial" w:hAnsi="Arial"/>
          <w:sz w:val="21"/>
          <w:szCs w:val="21"/>
          <w:color w:val="080808"/>
        </w:rPr>
        <w:t>”) is entered into as of March 15, 2021 (the “</w:t>
      </w:r>
      <w:r>
        <w:rPr>
          <w:rFonts w:ascii="Arial" w:cs="Arial" w:eastAsia="Arial" w:hAnsi="Arial"/>
          <w:sz w:val="21"/>
          <w:szCs w:val="21"/>
          <w:u w:val="single" w:color="auto"/>
          <w:color w:val="080808"/>
        </w:rPr>
        <w:t>Effective Date</w:t>
      </w:r>
      <w:r>
        <w:rPr>
          <w:rFonts w:ascii="Arial" w:cs="Arial" w:eastAsia="Arial" w:hAnsi="Arial"/>
          <w:sz w:val="21"/>
          <w:szCs w:val="21"/>
          <w:color w:val="080808"/>
        </w:rPr>
        <w:t>”), by and between Eledon Pharmaceuticals, Inc. (the “</w:t>
      </w:r>
      <w:r>
        <w:rPr>
          <w:rFonts w:ascii="Arial" w:cs="Arial" w:eastAsia="Arial" w:hAnsi="Arial"/>
          <w:sz w:val="21"/>
          <w:szCs w:val="21"/>
          <w:u w:val="single" w:color="auto"/>
          <w:color w:val="080808"/>
        </w:rPr>
        <w:t>Company</w:t>
      </w:r>
      <w:r>
        <w:rPr>
          <w:rFonts w:ascii="Arial" w:cs="Arial" w:eastAsia="Arial" w:hAnsi="Arial"/>
          <w:sz w:val="21"/>
          <w:szCs w:val="21"/>
          <w:color w:val="080808"/>
        </w:rPr>
        <w:t>”) and Paul Little (“</w:t>
      </w:r>
      <w:r>
        <w:rPr>
          <w:rFonts w:ascii="Arial" w:cs="Arial" w:eastAsia="Arial" w:hAnsi="Arial"/>
          <w:sz w:val="21"/>
          <w:szCs w:val="21"/>
          <w:u w:val="single" w:color="auto"/>
          <w:color w:val="080808"/>
        </w:rPr>
        <w:t>Executive</w:t>
      </w:r>
      <w:r>
        <w:rPr>
          <w:rFonts w:ascii="Arial" w:cs="Arial" w:eastAsia="Arial" w:hAnsi="Arial"/>
          <w:sz w:val="21"/>
          <w:szCs w:val="21"/>
          <w:color w:val="080808"/>
        </w:rPr>
        <w:t>”).</w:t>
      </w:r>
    </w:p>
    <w:p>
      <w:pPr>
        <w:spacing w:after="0" w:line="18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1"/>
          <w:szCs w:val="21"/>
          <w:b w:val="1"/>
          <w:bCs w:val="1"/>
          <w:color w:val="080808"/>
        </w:rPr>
        <w:t>WHEREAS</w:t>
      </w:r>
      <w:r>
        <w:rPr>
          <w:rFonts w:ascii="Arial" w:cs="Arial" w:eastAsia="Arial" w:hAnsi="Arial"/>
          <w:sz w:val="21"/>
          <w:szCs w:val="21"/>
          <w:color w:val="080808"/>
        </w:rPr>
        <w:t>, the Company wishes to employ Executive as the Chief Financial Officer of the Company and Executive wishes</w:t>
      </w:r>
      <w:r>
        <w:rPr>
          <w:rFonts w:ascii="Arial" w:cs="Arial" w:eastAsia="Arial" w:hAnsi="Arial"/>
          <w:sz w:val="21"/>
          <w:szCs w:val="21"/>
          <w:b w:val="1"/>
          <w:bCs w:val="1"/>
          <w:color w:val="080808"/>
        </w:rPr>
        <w:t xml:space="preserve"> </w:t>
      </w:r>
      <w:r>
        <w:rPr>
          <w:rFonts w:ascii="Arial" w:cs="Arial" w:eastAsia="Arial" w:hAnsi="Arial"/>
          <w:sz w:val="21"/>
          <w:szCs w:val="21"/>
          <w:color w:val="080808"/>
        </w:rPr>
        <w:t>to work as the Chief Financial Officer of the Company; and</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080808"/>
        </w:rPr>
        <w:t>WHEREAS</w:t>
      </w:r>
      <w:r>
        <w:rPr>
          <w:rFonts w:ascii="Arial" w:cs="Arial" w:eastAsia="Arial" w:hAnsi="Arial"/>
          <w:sz w:val="19"/>
          <w:szCs w:val="19"/>
          <w:color w:val="080808"/>
        </w:rPr>
        <w:t>, the Company and Executive wish to enter into this Agreement on the terms and conditions set forth below.</w:t>
      </w:r>
    </w:p>
    <w:p>
      <w:pPr>
        <w:spacing w:after="0" w:line="246"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080808"/>
        </w:rPr>
        <w:t>NOW</w:t>
      </w:r>
      <w:r>
        <w:rPr>
          <w:rFonts w:ascii="Arial" w:cs="Arial" w:eastAsia="Arial" w:hAnsi="Arial"/>
          <w:sz w:val="21"/>
          <w:szCs w:val="21"/>
          <w:color w:val="080808"/>
        </w:rPr>
        <w:t>,</w:t>
      </w:r>
      <w:r>
        <w:rPr>
          <w:rFonts w:ascii="Arial" w:cs="Arial" w:eastAsia="Arial" w:hAnsi="Arial"/>
          <w:sz w:val="21"/>
          <w:szCs w:val="21"/>
          <w:b w:val="1"/>
          <w:bCs w:val="1"/>
          <w:color w:val="080808"/>
        </w:rPr>
        <w:t xml:space="preserve"> THEREFORE</w:t>
      </w:r>
      <w:r>
        <w:rPr>
          <w:rFonts w:ascii="Arial" w:cs="Arial" w:eastAsia="Arial" w:hAnsi="Arial"/>
          <w:sz w:val="21"/>
          <w:szCs w:val="21"/>
          <w:color w:val="080808"/>
        </w:rPr>
        <w:t>, it is hereby agreed as follows</w:t>
      </w:r>
    </w:p>
    <w:p>
      <w:pPr>
        <w:spacing w:after="0" w:line="229" w:lineRule="exact"/>
        <w:rPr>
          <w:sz w:val="20"/>
          <w:szCs w:val="20"/>
          <w:color w:val="auto"/>
        </w:rPr>
      </w:pPr>
    </w:p>
    <w:p>
      <w:pPr>
        <w:jc w:val="both"/>
        <w:ind w:firstLine="1729"/>
        <w:spacing w:after="0" w:line="279" w:lineRule="auto"/>
        <w:rPr>
          <w:sz w:val="20"/>
          <w:szCs w:val="20"/>
          <w:color w:val="auto"/>
        </w:rPr>
      </w:pPr>
      <w:r>
        <w:rPr>
          <w:rFonts w:ascii="Arial" w:cs="Arial" w:eastAsia="Arial" w:hAnsi="Arial"/>
          <w:sz w:val="19"/>
          <w:szCs w:val="19"/>
          <w:color w:val="080808"/>
        </w:rPr>
        <w:t xml:space="preserve">1. </w:t>
      </w:r>
      <w:r>
        <w:rPr>
          <w:rFonts w:ascii="Arial" w:cs="Arial" w:eastAsia="Arial" w:hAnsi="Arial"/>
          <w:sz w:val="19"/>
          <w:szCs w:val="19"/>
          <w:u w:val="single" w:color="auto"/>
          <w:color w:val="080808"/>
        </w:rPr>
        <w:t>Employment</w:t>
      </w:r>
      <w:r>
        <w:rPr>
          <w:rFonts w:ascii="Arial" w:cs="Arial" w:eastAsia="Arial" w:hAnsi="Arial"/>
          <w:sz w:val="19"/>
          <w:szCs w:val="19"/>
          <w:color w:val="080808"/>
        </w:rPr>
        <w:t xml:space="preserve">. The Company agrees to employ Executive, and Executive hereby accepts such employment on an at-will basis, upon the terms and subject to the conditions set forth herein, for a period commencing on the Effective Date and ending on the date that this Agreement is terminated in accordance with </w:t>
      </w:r>
      <w:r>
        <w:rPr>
          <w:rFonts w:ascii="Arial" w:cs="Arial" w:eastAsia="Arial" w:hAnsi="Arial"/>
          <w:sz w:val="19"/>
          <w:szCs w:val="19"/>
          <w:u w:val="single" w:color="auto"/>
          <w:color w:val="080808"/>
        </w:rPr>
        <w:t>Section 7</w:t>
      </w:r>
      <w:r>
        <w:rPr>
          <w:rFonts w:ascii="Arial" w:cs="Arial" w:eastAsia="Arial" w:hAnsi="Arial"/>
          <w:sz w:val="19"/>
          <w:szCs w:val="19"/>
          <w:color w:val="080808"/>
        </w:rPr>
        <w:t xml:space="preserve"> below (the “</w:t>
      </w:r>
      <w:r>
        <w:rPr>
          <w:rFonts w:ascii="Arial" w:cs="Arial" w:eastAsia="Arial" w:hAnsi="Arial"/>
          <w:sz w:val="19"/>
          <w:szCs w:val="19"/>
          <w:u w:val="single" w:color="auto"/>
          <w:color w:val="080808"/>
        </w:rPr>
        <w:t>Employment Term</w:t>
      </w:r>
      <w:r>
        <w:rPr>
          <w:rFonts w:ascii="Arial" w:cs="Arial" w:eastAsia="Arial" w:hAnsi="Arial"/>
          <w:sz w:val="19"/>
          <w:szCs w:val="19"/>
          <w:color w:val="080808"/>
        </w:rPr>
        <w:t>”).</w:t>
      </w:r>
    </w:p>
    <w:p>
      <w:pPr>
        <w:spacing w:after="0" w:line="166" w:lineRule="exact"/>
        <w:rPr>
          <w:sz w:val="20"/>
          <w:szCs w:val="20"/>
          <w:color w:val="auto"/>
        </w:rPr>
      </w:pPr>
    </w:p>
    <w:p>
      <w:pPr>
        <w:jc w:val="both"/>
        <w:ind w:left="160" w:firstLine="1552"/>
        <w:spacing w:after="0" w:line="235" w:lineRule="auto"/>
        <w:rPr>
          <w:sz w:val="20"/>
          <w:szCs w:val="20"/>
          <w:color w:val="auto"/>
        </w:rPr>
      </w:pPr>
      <w:r>
        <w:rPr>
          <w:rFonts w:ascii="Arial" w:cs="Arial" w:eastAsia="Arial" w:hAnsi="Arial"/>
          <w:sz w:val="21"/>
          <w:szCs w:val="21"/>
          <w:color w:val="080808"/>
        </w:rPr>
        <w:t xml:space="preserve">2. </w:t>
      </w:r>
      <w:r>
        <w:rPr>
          <w:rFonts w:ascii="Arial" w:cs="Arial" w:eastAsia="Arial" w:hAnsi="Arial"/>
          <w:sz w:val="21"/>
          <w:szCs w:val="21"/>
          <w:u w:val="single" w:color="auto"/>
          <w:color w:val="080808"/>
        </w:rPr>
        <w:t>Position; Duties</w:t>
      </w:r>
      <w:r>
        <w:rPr>
          <w:rFonts w:ascii="Arial" w:cs="Arial" w:eastAsia="Arial" w:hAnsi="Arial"/>
          <w:sz w:val="21"/>
          <w:szCs w:val="21"/>
          <w:color w:val="080808"/>
        </w:rPr>
        <w:t xml:space="preserve">. During the Employment Term, Executive shall serve as the Chief Financial Officer of the Company. In such position, Executive shall report to the Company’s Chief Executive Officer and shall have all the duties and responsibilities customarily rendered by Chief Financial Officers of companies of similar size and nature, </w:t>
      </w:r>
      <w:r>
        <w:rPr>
          <w:rFonts w:ascii="Arial" w:cs="Arial" w:eastAsia="Arial" w:hAnsi="Arial"/>
          <w:sz w:val="21"/>
          <w:szCs w:val="21"/>
          <w:color w:val="000000"/>
        </w:rPr>
        <w:t>as well as</w:t>
      </w:r>
      <w:r>
        <w:rPr>
          <w:rFonts w:ascii="Arial" w:cs="Arial" w:eastAsia="Arial" w:hAnsi="Arial"/>
          <w:sz w:val="21"/>
          <w:szCs w:val="21"/>
          <w:color w:val="080808"/>
        </w:rPr>
        <w:t xml:space="preserve"> </w:t>
      </w:r>
      <w:r>
        <w:rPr>
          <w:rFonts w:ascii="Arial" w:cs="Arial" w:eastAsia="Arial" w:hAnsi="Arial"/>
          <w:sz w:val="21"/>
          <w:szCs w:val="21"/>
          <w:color w:val="000000"/>
        </w:rPr>
        <w:t xml:space="preserve">such duties as otherwise determined from time to time by the Chief Executive Officer. </w:t>
      </w:r>
      <w:r>
        <w:rPr>
          <w:rFonts w:ascii="Arial" w:cs="Arial" w:eastAsia="Arial" w:hAnsi="Arial"/>
          <w:sz w:val="21"/>
          <w:szCs w:val="21"/>
          <w:color w:val="080808"/>
        </w:rPr>
        <w:t>During the Employment Term, Executive</w:t>
      </w:r>
      <w:r>
        <w:rPr>
          <w:rFonts w:ascii="Arial" w:cs="Arial" w:eastAsia="Arial" w:hAnsi="Arial"/>
          <w:sz w:val="21"/>
          <w:szCs w:val="21"/>
          <w:color w:val="000000"/>
        </w:rPr>
        <w:t xml:space="preserve"> agrees to devote Executive’s full time and best efforts to the performance of Executive’s duties to the Company. Subject to the foregoing, Executive may engage in activities relating to serving on civic and charitable boards or committees, and managing personal investments.</w:t>
      </w:r>
    </w:p>
    <w:p>
      <w:pPr>
        <w:spacing w:after="0" w:line="201"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070707"/>
        </w:rPr>
        <w:t xml:space="preserve">3. </w:t>
      </w:r>
      <w:r>
        <w:rPr>
          <w:rFonts w:ascii="Arial" w:cs="Arial" w:eastAsia="Arial" w:hAnsi="Arial"/>
          <w:sz w:val="21"/>
          <w:szCs w:val="21"/>
          <w:u w:val="single" w:color="auto"/>
          <w:color w:val="000000"/>
        </w:rPr>
        <w:t>Base Salary</w:t>
      </w:r>
      <w:r>
        <w:rPr>
          <w:rFonts w:ascii="Arial" w:cs="Arial" w:eastAsia="Arial" w:hAnsi="Arial"/>
          <w:sz w:val="21"/>
          <w:szCs w:val="21"/>
          <w:color w:val="000000"/>
        </w:rPr>
        <w:t>. During the Employment Term, the Company shall pay Executive an initial</w:t>
      </w:r>
      <w:r>
        <w:rPr>
          <w:rFonts w:ascii="Arial" w:cs="Arial" w:eastAsia="Arial" w:hAnsi="Arial"/>
          <w:sz w:val="21"/>
          <w:szCs w:val="21"/>
          <w:color w:val="070707"/>
        </w:rPr>
        <w:t xml:space="preserve"> </w:t>
      </w:r>
      <w:r>
        <w:rPr>
          <w:rFonts w:ascii="Arial" w:cs="Arial" w:eastAsia="Arial" w:hAnsi="Arial"/>
          <w:sz w:val="21"/>
          <w:szCs w:val="21"/>
          <w:color w:val="000000"/>
        </w:rPr>
        <w:t>base salary at the annualized rate of $410,000, payable in regular installments in accordance with the Company’s usual payment practices. Executive’s base salary may be increased in the sole discretion of the Company’s Board of Directors (the “</w:t>
      </w:r>
      <w:r>
        <w:rPr>
          <w:rFonts w:ascii="Arial" w:cs="Arial" w:eastAsia="Arial" w:hAnsi="Arial"/>
          <w:sz w:val="21"/>
          <w:szCs w:val="21"/>
          <w:u w:val="single" w:color="auto"/>
          <w:color w:val="000000"/>
        </w:rPr>
        <w:t>Board</w:t>
      </w:r>
      <w:r>
        <w:rPr>
          <w:rFonts w:ascii="Arial" w:cs="Arial" w:eastAsia="Arial" w:hAnsi="Arial"/>
          <w:sz w:val="21"/>
          <w:szCs w:val="21"/>
          <w:color w:val="000000"/>
        </w:rPr>
        <w:t>”) or the Compensation Committee of the Board (the “</w:t>
      </w:r>
      <w:r>
        <w:rPr>
          <w:rFonts w:ascii="Arial" w:cs="Arial" w:eastAsia="Arial" w:hAnsi="Arial"/>
          <w:sz w:val="21"/>
          <w:szCs w:val="21"/>
          <w:u w:val="single" w:color="auto"/>
          <w:color w:val="000000"/>
        </w:rPr>
        <w:t>Committee</w:t>
      </w:r>
      <w:r>
        <w:rPr>
          <w:rFonts w:ascii="Arial" w:cs="Arial" w:eastAsia="Arial" w:hAnsi="Arial"/>
          <w:sz w:val="21"/>
          <w:szCs w:val="21"/>
          <w:color w:val="000000"/>
        </w:rPr>
        <w:t>”). Executive’s annual base salary, as in effect from time to time, is hereinafter referred to as the “</w:t>
      </w:r>
      <w:r>
        <w:rPr>
          <w:rFonts w:ascii="Arial" w:cs="Arial" w:eastAsia="Arial" w:hAnsi="Arial"/>
          <w:sz w:val="21"/>
          <w:szCs w:val="21"/>
          <w:u w:val="single" w:color="auto"/>
          <w:color w:val="000000"/>
        </w:rPr>
        <w:t>Base Salary</w:t>
      </w:r>
      <w:r>
        <w:rPr>
          <w:rFonts w:ascii="Arial" w:cs="Arial" w:eastAsia="Arial" w:hAnsi="Arial"/>
          <w:sz w:val="21"/>
          <w:szCs w:val="21"/>
          <w:color w:val="000000"/>
        </w:rPr>
        <w:t>.”</w:t>
      </w:r>
    </w:p>
    <w:p>
      <w:pPr>
        <w:spacing w:after="0" w:line="205" w:lineRule="exact"/>
        <w:rPr>
          <w:sz w:val="20"/>
          <w:szCs w:val="20"/>
          <w:color w:val="auto"/>
        </w:rPr>
      </w:pPr>
    </w:p>
    <w:p>
      <w:pPr>
        <w:ind w:left="1740"/>
        <w:spacing w:after="0"/>
        <w:tabs>
          <w:tab w:leader="none" w:pos="3720" w:val="left"/>
        </w:tabs>
        <w:rPr>
          <w:sz w:val="20"/>
          <w:szCs w:val="20"/>
          <w:color w:val="auto"/>
        </w:rPr>
      </w:pPr>
      <w:r>
        <w:rPr>
          <w:rFonts w:ascii="Arial" w:cs="Arial" w:eastAsia="Arial" w:hAnsi="Arial"/>
          <w:sz w:val="21"/>
          <w:szCs w:val="21"/>
          <w:color w:val="auto"/>
        </w:rPr>
        <w:t>4.</w:t>
      </w:r>
      <w:r>
        <w:rPr>
          <w:sz w:val="20"/>
          <w:szCs w:val="20"/>
          <w:color w:val="auto"/>
        </w:rPr>
        <w:tab/>
      </w:r>
      <w:r>
        <w:rPr>
          <w:rFonts w:ascii="Arial" w:cs="Arial" w:eastAsia="Arial" w:hAnsi="Arial"/>
          <w:sz w:val="21"/>
          <w:szCs w:val="21"/>
          <w:u w:val="single" w:color="auto"/>
          <w:color w:val="auto"/>
        </w:rPr>
        <w:t>Incentive Compensation; Equity Awards</w:t>
      </w:r>
      <w:r>
        <w:rPr>
          <w:rFonts w:ascii="Arial" w:cs="Arial" w:eastAsia="Arial" w:hAnsi="Arial"/>
          <w:sz w:val="21"/>
          <w:szCs w:val="21"/>
          <w:color w:val="auto"/>
        </w:rPr>
        <w:t>.</w:t>
      </w:r>
    </w:p>
    <w:p>
      <w:pPr>
        <w:spacing w:after="0" w:line="223" w:lineRule="exact"/>
        <w:rPr>
          <w:sz w:val="20"/>
          <w:szCs w:val="20"/>
          <w:color w:val="auto"/>
        </w:rPr>
      </w:pPr>
    </w:p>
    <w:p>
      <w:pPr>
        <w:jc w:val="both"/>
        <w:ind w:firstLine="1732"/>
        <w:spacing w:after="0" w:line="236" w:lineRule="auto"/>
        <w:tabs>
          <w:tab w:leader="none" w:pos="257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During the Employment Term, Executive shall be eligible to receive an annual cash bonus based on performance objectives established by the Committee each year (the “</w:t>
      </w:r>
      <w:r>
        <w:rPr>
          <w:rFonts w:ascii="Arial" w:cs="Arial" w:eastAsia="Arial" w:hAnsi="Arial"/>
          <w:sz w:val="21"/>
          <w:szCs w:val="21"/>
          <w:u w:val="single" w:color="auto"/>
          <w:color w:val="auto"/>
        </w:rPr>
        <w:t>Annual Bonus</w:t>
      </w:r>
      <w:r>
        <w:rPr>
          <w:rFonts w:ascii="Arial" w:cs="Arial" w:eastAsia="Arial" w:hAnsi="Arial"/>
          <w:sz w:val="21"/>
          <w:szCs w:val="21"/>
          <w:color w:val="auto"/>
        </w:rPr>
        <w:t>”). Executive’s target Annual Bonus amount will be the percentage of Base Salary designated as the target by the Committee, which annual target amount shall equal 40% of the Base Salary then in effect (the “</w:t>
      </w:r>
      <w:r>
        <w:rPr>
          <w:rFonts w:ascii="Arial" w:cs="Arial" w:eastAsia="Arial" w:hAnsi="Arial"/>
          <w:sz w:val="21"/>
          <w:szCs w:val="21"/>
          <w:u w:val="single" w:color="auto"/>
          <w:color w:val="auto"/>
        </w:rPr>
        <w:t>Annual Target Bonus</w:t>
      </w:r>
      <w:r>
        <w:rPr>
          <w:rFonts w:ascii="Arial" w:cs="Arial" w:eastAsia="Arial" w:hAnsi="Arial"/>
          <w:sz w:val="21"/>
          <w:szCs w:val="21"/>
          <w:color w:val="auto"/>
        </w:rPr>
        <w:t>”). Notwithstanding the preceding, the Annual Bonus, if any, may be below (including zero), at, or above the target based upon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62" w:name="page163"/>
    <w:bookmarkEnd w:id="162"/>
    <w:p>
      <w:pPr>
        <w:spacing w:after="0"/>
        <w:rPr>
          <w:sz w:val="20"/>
          <w:szCs w:val="20"/>
          <w:color w:val="auto"/>
        </w:rPr>
      </w:pPr>
      <w:r>
        <w:rPr>
          <w:rFonts w:ascii="Arial" w:cs="Arial" w:eastAsia="Arial" w:hAnsi="Arial"/>
          <w:sz w:val="21"/>
          <w:szCs w:val="21"/>
          <w:color w:val="auto"/>
        </w:rPr>
        <w:t>achievement of the performance objectives.</w:t>
      </w:r>
    </w:p>
    <w:p>
      <w:pPr>
        <w:spacing w:after="0" w:line="223" w:lineRule="exact"/>
        <w:rPr>
          <w:sz w:val="20"/>
          <w:szCs w:val="20"/>
          <w:color w:val="auto"/>
        </w:rPr>
      </w:pPr>
    </w:p>
    <w:p>
      <w:pPr>
        <w:jc w:val="both"/>
        <w:ind w:firstLine="1732"/>
        <w:spacing w:after="0" w:line="247" w:lineRule="auto"/>
        <w:tabs>
          <w:tab w:leader="none" w:pos="320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Upon Executive’s commencement of service, and as a material inducement to Executive’s entering into such employment, he shall be awarded an option to purchase up to 160,000 shares of common stock, $0.001 per value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at an exercise price per share equal to the fair market value on the date of grant (the “</w:t>
      </w:r>
      <w:r>
        <w:rPr>
          <w:rFonts w:ascii="Arial" w:cs="Arial" w:eastAsia="Arial" w:hAnsi="Arial"/>
          <w:sz w:val="20"/>
          <w:szCs w:val="20"/>
          <w:u w:val="single" w:color="auto"/>
          <w:color w:val="auto"/>
        </w:rPr>
        <w:t>Inducement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Option</w:t>
      </w:r>
      <w:r>
        <w:rPr>
          <w:rFonts w:ascii="Arial" w:cs="Arial" w:eastAsia="Arial" w:hAnsi="Arial"/>
          <w:sz w:val="20"/>
          <w:szCs w:val="20"/>
          <w:color w:val="auto"/>
        </w:rPr>
        <w:t>”). Subject to Committee approval of the Inducement Option and subject to Executive’s continued employment through each applicable vesting date, the Inducement Option shall vest and become exercisable over a four-year period following the date of grant as follows: (i) 25% of such stock option shall vest and become exercisable on the one-year anniversary of the date of grant and (ii) an additional 6.25% of such stock option shall vest and become exercisable at the end of each full three calendar month period thereafter until fully vested on the fourth anniversary of the date of grant.</w:t>
      </w:r>
    </w:p>
    <w:p>
      <w:pPr>
        <w:spacing w:after="0" w:line="195"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070707"/>
        </w:rPr>
        <w:t xml:space="preserve">5. </w:t>
      </w:r>
      <w:r>
        <w:rPr>
          <w:rFonts w:ascii="Arial" w:cs="Arial" w:eastAsia="Arial" w:hAnsi="Arial"/>
          <w:sz w:val="21"/>
          <w:szCs w:val="21"/>
          <w:u w:val="single" w:color="auto"/>
          <w:color w:val="000000"/>
        </w:rPr>
        <w:t>Employee Benefits; Vacation</w:t>
      </w:r>
      <w:r>
        <w:rPr>
          <w:rFonts w:ascii="Arial" w:cs="Arial" w:eastAsia="Arial" w:hAnsi="Arial"/>
          <w:sz w:val="21"/>
          <w:szCs w:val="21"/>
          <w:color w:val="000000"/>
        </w:rPr>
        <w:t>. During the Employment Term, Executive shall be entitled</w:t>
      </w:r>
      <w:r>
        <w:rPr>
          <w:rFonts w:ascii="Arial" w:cs="Arial" w:eastAsia="Arial" w:hAnsi="Arial"/>
          <w:sz w:val="21"/>
          <w:szCs w:val="21"/>
          <w:color w:val="070707"/>
        </w:rPr>
        <w:t xml:space="preserve"> </w:t>
      </w:r>
      <w:r>
        <w:rPr>
          <w:rFonts w:ascii="Arial" w:cs="Arial" w:eastAsia="Arial" w:hAnsi="Arial"/>
          <w:sz w:val="21"/>
          <w:szCs w:val="21"/>
          <w:color w:val="000000"/>
        </w:rPr>
        <w:t xml:space="preserve">to participate in the Company’s employee </w:t>
      </w:r>
      <w:r>
        <w:rPr>
          <w:rFonts w:ascii="Arial" w:cs="Arial" w:eastAsia="Arial" w:hAnsi="Arial"/>
          <w:sz w:val="21"/>
          <w:szCs w:val="21"/>
          <w:color w:val="070707"/>
        </w:rPr>
        <w:t>benefit plans as in effect from time to time (collectively “</w:t>
      </w:r>
      <w:r>
        <w:rPr>
          <w:rFonts w:ascii="Arial" w:cs="Arial" w:eastAsia="Arial" w:hAnsi="Arial"/>
          <w:sz w:val="21"/>
          <w:szCs w:val="21"/>
          <w:u w:val="single" w:color="auto"/>
          <w:color w:val="070707"/>
        </w:rPr>
        <w:t>Employee Benefits</w:t>
      </w:r>
      <w:r>
        <w:rPr>
          <w:rFonts w:ascii="Arial" w:cs="Arial" w:eastAsia="Arial" w:hAnsi="Arial"/>
          <w:sz w:val="21"/>
          <w:szCs w:val="21"/>
          <w:color w:val="070707"/>
        </w:rPr>
        <w:t>”), on the same</w:t>
      </w:r>
      <w:r>
        <w:rPr>
          <w:rFonts w:ascii="Arial" w:cs="Arial" w:eastAsia="Arial" w:hAnsi="Arial"/>
          <w:sz w:val="21"/>
          <w:szCs w:val="21"/>
          <w:color w:val="000000"/>
        </w:rPr>
        <w:t xml:space="preserve"> </w:t>
      </w:r>
      <w:r>
        <w:rPr>
          <w:rFonts w:ascii="Arial" w:cs="Arial" w:eastAsia="Arial" w:hAnsi="Arial"/>
          <w:sz w:val="21"/>
          <w:szCs w:val="21"/>
          <w:color w:val="070707"/>
        </w:rPr>
        <w:t>basis as those benefits are generally made available to other senior executives of the Company, in each case to the extent that Executive is eligible under the terms of such plans or programs. In addition, Executive shall be entitled to four weeks of paid vacation in accordance with the Company’s vacation policy.</w:t>
      </w:r>
    </w:p>
    <w:p>
      <w:pPr>
        <w:spacing w:after="0" w:line="205"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6. </w:t>
      </w:r>
      <w:r>
        <w:rPr>
          <w:rFonts w:ascii="Arial" w:cs="Arial" w:eastAsia="Arial" w:hAnsi="Arial"/>
          <w:sz w:val="21"/>
          <w:szCs w:val="21"/>
          <w:u w:val="single" w:color="auto"/>
          <w:color w:val="auto"/>
        </w:rPr>
        <w:t>Business Expenses</w:t>
      </w:r>
      <w:r>
        <w:rPr>
          <w:rFonts w:ascii="Arial" w:cs="Arial" w:eastAsia="Arial" w:hAnsi="Arial"/>
          <w:sz w:val="21"/>
          <w:szCs w:val="21"/>
          <w:color w:val="auto"/>
        </w:rPr>
        <w:t>. During the Employment Term, reasonable business expenses incurred by Executive in the performance of Executive’s duties hereunder shall be advanced or promptly reimbursed by the Company in accordance with Company policies.</w:t>
      </w:r>
    </w:p>
    <w:p>
      <w:pPr>
        <w:spacing w:after="0" w:line="201"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auto"/>
        </w:rPr>
        <w:t xml:space="preserve">7. </w:t>
      </w: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The Employment Term and Executive’s employment may be terminated by the Company at any time and for any reason upon Notice to Executive and by Executive upon at least 30 days’ advance Notice of any such resignation of Executive’s employment. Notwithstanding any other provision of this Agreement, the provisions of this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shall exclusively govern Executive’s rights to payment of compensation, severance, Employee Benefits and business expenses upon termination of employment with the Company.</w:t>
      </w:r>
    </w:p>
    <w:p>
      <w:pPr>
        <w:spacing w:after="0" w:line="205" w:lineRule="exact"/>
        <w:rPr>
          <w:sz w:val="20"/>
          <w:szCs w:val="20"/>
          <w:color w:val="auto"/>
        </w:rPr>
      </w:pPr>
    </w:p>
    <w:p>
      <w:pPr>
        <w:ind w:left="1740"/>
        <w:spacing w:after="0"/>
        <w:tabs>
          <w:tab w:leader="none" w:pos="38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u w:val="single" w:color="auto"/>
          <w:color w:val="auto"/>
        </w:rPr>
        <w:t>By the Company for Cause; By Executive without Good Reason.</w:t>
      </w:r>
    </w:p>
    <w:p>
      <w:pPr>
        <w:spacing w:after="0" w:line="223" w:lineRule="exact"/>
        <w:rPr>
          <w:sz w:val="20"/>
          <w:szCs w:val="20"/>
          <w:color w:val="auto"/>
        </w:rPr>
      </w:pPr>
    </w:p>
    <w:p>
      <w:pPr>
        <w:ind w:left="4020" w:hanging="1422"/>
        <w:spacing w:after="0"/>
        <w:tabs>
          <w:tab w:leader="none" w:pos="4020" w:val="left"/>
        </w:tabs>
        <w:numPr>
          <w:ilvl w:val="1"/>
          <w:numId w:val="116"/>
        </w:numPr>
        <w:rPr>
          <w:rFonts w:ascii="Arial" w:cs="Arial" w:eastAsia="Arial" w:hAnsi="Arial"/>
          <w:sz w:val="19"/>
          <w:szCs w:val="19"/>
          <w:color w:val="080808"/>
        </w:rPr>
      </w:pPr>
      <w:r>
        <w:rPr>
          <w:rFonts w:ascii="Arial" w:cs="Arial" w:eastAsia="Arial" w:hAnsi="Arial"/>
          <w:sz w:val="20"/>
          <w:szCs w:val="20"/>
          <w:color w:val="auto"/>
        </w:rPr>
        <w:t>The Employment Term and Executive’s employment may be terminated by the</w:t>
      </w:r>
    </w:p>
    <w:p>
      <w:pPr>
        <w:spacing w:after="0" w:line="20" w:lineRule="exact"/>
        <w:rPr>
          <w:rFonts w:ascii="Arial" w:cs="Arial" w:eastAsia="Arial" w:hAnsi="Arial"/>
          <w:sz w:val="19"/>
          <w:szCs w:val="19"/>
          <w:color w:val="080808"/>
        </w:rPr>
      </w:pPr>
    </w:p>
    <w:p>
      <w:pPr>
        <w:spacing w:after="0"/>
        <w:rPr>
          <w:rFonts w:ascii="Arial" w:cs="Arial" w:eastAsia="Arial" w:hAnsi="Arial"/>
          <w:sz w:val="19"/>
          <w:szCs w:val="19"/>
          <w:color w:val="080808"/>
        </w:rPr>
      </w:pPr>
      <w:r>
        <w:rPr>
          <w:rFonts w:ascii="Arial" w:cs="Arial" w:eastAsia="Arial" w:hAnsi="Arial"/>
          <w:sz w:val="20"/>
          <w:szCs w:val="20"/>
          <w:color w:val="auto"/>
        </w:rPr>
        <w:t>Company for Cause and shall terminate automatically upon the effective date of Executive’s resignation without Good Reason.</w:t>
      </w:r>
    </w:p>
    <w:p>
      <w:pPr>
        <w:spacing w:after="0" w:line="216" w:lineRule="exact"/>
        <w:rPr>
          <w:rFonts w:ascii="Arial" w:cs="Arial" w:eastAsia="Arial" w:hAnsi="Arial"/>
          <w:sz w:val="19"/>
          <w:szCs w:val="19"/>
          <w:color w:val="080808"/>
        </w:rPr>
      </w:pPr>
    </w:p>
    <w:p>
      <w:pPr>
        <w:ind w:left="4820" w:hanging="1527"/>
        <w:spacing w:after="0"/>
        <w:tabs>
          <w:tab w:leader="none" w:pos="4820" w:val="left"/>
        </w:tabs>
        <w:numPr>
          <w:ilvl w:val="2"/>
          <w:numId w:val="116"/>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 events:</w:t>
      </w:r>
    </w:p>
    <w:p>
      <w:pPr>
        <w:spacing w:after="0" w:line="31" w:lineRule="exact"/>
        <w:rPr>
          <w:rFonts w:ascii="Arial" w:cs="Arial" w:eastAsia="Arial" w:hAnsi="Arial"/>
          <w:sz w:val="19"/>
          <w:szCs w:val="19"/>
          <w:color w:val="auto"/>
        </w:rPr>
      </w:pPr>
    </w:p>
    <w:p>
      <w:pPr>
        <w:jc w:val="both"/>
        <w:ind w:left="860" w:firstLine="7"/>
        <w:spacing w:after="0" w:line="262" w:lineRule="auto"/>
        <w:tabs>
          <w:tab w:leader="none" w:pos="112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Executive’s conviction of,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crime involving dishonesty or moral turpitude or any felony; or (ii) a good faith finding by the Company that Executive has (x) engaged in dishonesty, willful misconduct or gross negligence in connection with the performance of his duties or services to the Company, (y) breached any confidentiality, inventions, and non-solicitation agreement between Executive and the Company, or (z) violated Company policies or procedures in a manner that has materially injured, or is reasonably likely to materially injure, the Company’s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63" w:name="page164"/>
    <w:bookmarkEnd w:id="163"/>
    <w:p>
      <w:pPr>
        <w:jc w:val="both"/>
        <w:ind w:left="860"/>
        <w:spacing w:after="0" w:line="238" w:lineRule="auto"/>
        <w:rPr>
          <w:sz w:val="20"/>
          <w:szCs w:val="20"/>
          <w:color w:val="auto"/>
        </w:rPr>
      </w:pPr>
      <w:r>
        <w:rPr>
          <w:rFonts w:ascii="Arial" w:cs="Arial" w:eastAsia="Arial" w:hAnsi="Arial"/>
          <w:sz w:val="21"/>
          <w:szCs w:val="21"/>
          <w:color w:val="auto"/>
        </w:rPr>
        <w:t>business or reputation. Notwithstanding anything herein to the contrary, Executive’s employment will be deemed to have been terminated for Cause if it is determined subsequent to Executive’s termination of employment that grounds for termination for Cause existed at the time of Executive’s termination of employment. The determination of Cause shall be made by the Board, in its good faith discretion.</w:t>
      </w:r>
    </w:p>
    <w:p>
      <w:pPr>
        <w:spacing w:after="0" w:line="202" w:lineRule="exact"/>
        <w:rPr>
          <w:sz w:val="20"/>
          <w:szCs w:val="20"/>
          <w:color w:val="auto"/>
        </w:rPr>
      </w:pPr>
    </w:p>
    <w:p>
      <w:pPr>
        <w:jc w:val="both"/>
        <w:ind w:left="860" w:firstLine="2433"/>
        <w:spacing w:after="0" w:line="277" w:lineRule="auto"/>
        <w:tabs>
          <w:tab w:leader="none" w:pos="47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 are undertaken without Executive’s prior written consent: (i) a material adverse change in Executive’s duties, responsibilities, title or reporting relationship, (ii) reduction in Executive’s base salary, while there are at least six months of operating funds on hand (other than in connection with, and in an amount substantially proportionate to, reductions made by the Company to the annualized base salaries of its other senior executives), (iii) the relocation of Executive’s principal workplace to more than 60 miles from the Company’s current principal offices in Irvine, California, or (iv) a material breach of this Agreement by the Company. To terminate Executive’s employment for Good Reason, Executive must (x) provide notice to the Company of the event giving rise to the Good Reason within 90 days after such event occurs, (y) provide the Company with at least 30 days to cure, and (z) if not cured, resign for Good Reason within 30 days following expiration of the cure period.</w:t>
      </w:r>
    </w:p>
    <w:p>
      <w:pPr>
        <w:spacing w:after="0" w:line="170" w:lineRule="exact"/>
        <w:rPr>
          <w:sz w:val="20"/>
          <w:szCs w:val="20"/>
          <w:color w:val="auto"/>
        </w:rPr>
      </w:pPr>
    </w:p>
    <w:p>
      <w:pPr>
        <w:ind w:left="2600"/>
        <w:spacing w:after="0"/>
        <w:tabs>
          <w:tab w:leader="none" w:pos="4680" w:val="left"/>
        </w:tabs>
        <w:rPr>
          <w:sz w:val="20"/>
          <w:szCs w:val="20"/>
          <w:color w:val="auto"/>
        </w:rPr>
      </w:pPr>
      <w:r>
        <w:rPr>
          <w:rFonts w:ascii="Arial" w:cs="Arial" w:eastAsia="Arial" w:hAnsi="Arial"/>
          <w:sz w:val="19"/>
          <w:szCs w:val="19"/>
          <w:color w:val="080808"/>
        </w:rPr>
        <w:t>(ii)</w:t>
      </w:r>
      <w:r>
        <w:rPr>
          <w:sz w:val="20"/>
          <w:szCs w:val="20"/>
          <w:color w:val="auto"/>
        </w:rPr>
        <w:tab/>
      </w:r>
      <w:r>
        <w:rPr>
          <w:rFonts w:ascii="Arial" w:cs="Arial" w:eastAsia="Arial" w:hAnsi="Arial"/>
          <w:sz w:val="20"/>
          <w:szCs w:val="20"/>
          <w:color w:val="auto"/>
        </w:rPr>
        <w:t>If Executive’s employment is terminated by the Company for Cause, or if</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Executive resigns without Good Reason, Executive shall be entitled to receive:</w:t>
      </w:r>
    </w:p>
    <w:p>
      <w:pPr>
        <w:spacing w:after="0" w:line="205" w:lineRule="exact"/>
        <w:rPr>
          <w:sz w:val="20"/>
          <w:szCs w:val="20"/>
          <w:color w:val="auto"/>
        </w:rPr>
      </w:pPr>
    </w:p>
    <w:p>
      <w:pPr>
        <w:jc w:val="both"/>
        <w:ind w:left="1740" w:firstLine="1463"/>
        <w:spacing w:after="0" w:line="252" w:lineRule="auto"/>
        <w:rPr>
          <w:sz w:val="20"/>
          <w:szCs w:val="20"/>
          <w:color w:val="auto"/>
        </w:rPr>
      </w:pPr>
      <w:r>
        <w:rPr>
          <w:rFonts w:ascii="Arial" w:cs="Arial" w:eastAsia="Arial" w:hAnsi="Arial"/>
          <w:sz w:val="21"/>
          <w:szCs w:val="21"/>
          <w:color w:val="auto"/>
        </w:rPr>
        <w:t>(A) the Base Salary accrued through the date of termination, payable as soon as practicable following the date of such termination or as otherwise required by applicable law;</w:t>
      </w:r>
    </w:p>
    <w:p>
      <w:pPr>
        <w:spacing w:after="0" w:line="163" w:lineRule="exact"/>
        <w:rPr>
          <w:sz w:val="20"/>
          <w:szCs w:val="20"/>
          <w:color w:val="auto"/>
        </w:rPr>
      </w:pPr>
    </w:p>
    <w:p>
      <w:pPr>
        <w:ind w:left="3200"/>
        <w:spacing w:after="0"/>
        <w:tabs>
          <w:tab w:leader="none" w:pos="59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reimbursement,  within  30  days  following  submission  by</w:t>
      </w:r>
    </w:p>
    <w:p>
      <w:pPr>
        <w:spacing w:after="0" w:line="20" w:lineRule="exact"/>
        <w:rPr>
          <w:sz w:val="20"/>
          <w:szCs w:val="20"/>
          <w:color w:val="auto"/>
        </w:rPr>
      </w:pPr>
    </w:p>
    <w:p>
      <w:pPr>
        <w:jc w:val="both"/>
        <w:ind w:left="1740"/>
        <w:spacing w:after="0" w:line="264" w:lineRule="auto"/>
        <w:rPr>
          <w:sz w:val="20"/>
          <w:szCs w:val="20"/>
          <w:color w:val="auto"/>
        </w:rPr>
      </w:pPr>
      <w:r>
        <w:rPr>
          <w:rFonts w:ascii="Arial" w:cs="Arial" w:eastAsia="Arial" w:hAnsi="Arial"/>
          <w:sz w:val="19"/>
          <w:szCs w:val="19"/>
          <w:color w:val="auto"/>
        </w:rPr>
        <w:t>Executive to the Company of appropriate supporting documentation, for any unreimbursed business expenses properly incurred by Executive in accordance with Company policy prior to the date of Executive’s termination; provided, that claims for such reimbursement (accompanied by appropriate supporting documentation) are submitted to the Company within 30 days following the date of Executive’s termination of employment; and</w:t>
      </w:r>
    </w:p>
    <w:p>
      <w:pPr>
        <w:spacing w:after="0" w:line="155" w:lineRule="exact"/>
        <w:rPr>
          <w:sz w:val="20"/>
          <w:szCs w:val="20"/>
          <w:color w:val="auto"/>
        </w:rPr>
      </w:pPr>
    </w:p>
    <w:p>
      <w:pPr>
        <w:jc w:val="both"/>
        <w:ind w:left="1740" w:firstLine="1463"/>
        <w:spacing w:after="0" w:line="241" w:lineRule="auto"/>
        <w:rPr>
          <w:sz w:val="20"/>
          <w:szCs w:val="20"/>
          <w:color w:val="auto"/>
        </w:rPr>
      </w:pPr>
      <w:r>
        <w:rPr>
          <w:rFonts w:ascii="Arial" w:cs="Arial" w:eastAsia="Arial" w:hAnsi="Arial"/>
          <w:sz w:val="21"/>
          <w:szCs w:val="21"/>
          <w:color w:val="auto"/>
        </w:rPr>
        <w:t>(C) such Employee Benefits, if any, as to which Executive may be entitled under the employee benefit plans of the Company, which shall be paid in accordance with the terms of the applicable plans (the amounts described in clauses (A) through (C) hereof, the “</w:t>
      </w:r>
      <w:r>
        <w:rPr>
          <w:rFonts w:ascii="Arial" w:cs="Arial" w:eastAsia="Arial" w:hAnsi="Arial"/>
          <w:sz w:val="21"/>
          <w:szCs w:val="21"/>
          <w:u w:val="single" w:color="auto"/>
          <w:color w:val="auto"/>
        </w:rPr>
        <w:t>Accrued Rights</w:t>
      </w:r>
      <w:r>
        <w:rPr>
          <w:rFonts w:ascii="Arial" w:cs="Arial" w:eastAsia="Arial" w:hAnsi="Arial"/>
          <w:sz w:val="21"/>
          <w:szCs w:val="21"/>
          <w:color w:val="auto"/>
        </w:rPr>
        <w:t>”).</w:t>
      </w:r>
    </w:p>
    <w:p>
      <w:pPr>
        <w:spacing w:after="0" w:line="175" w:lineRule="exact"/>
        <w:rPr>
          <w:sz w:val="20"/>
          <w:szCs w:val="20"/>
          <w:color w:val="auto"/>
        </w:rPr>
      </w:pPr>
    </w:p>
    <w:p>
      <w:pPr>
        <w:jc w:val="both"/>
        <w:ind w:left="1740"/>
        <w:spacing w:after="0" w:line="279" w:lineRule="auto"/>
        <w:rPr>
          <w:sz w:val="20"/>
          <w:szCs w:val="20"/>
          <w:color w:val="auto"/>
        </w:rPr>
      </w:pPr>
      <w:r>
        <w:rPr>
          <w:rFonts w:ascii="Arial" w:cs="Arial" w:eastAsia="Arial" w:hAnsi="Arial"/>
          <w:sz w:val="19"/>
          <w:szCs w:val="19"/>
          <w:color w:val="auto"/>
        </w:rPr>
        <w:t>Following such termination of Executive’s employment by the Company for Cause or resignation by Executive without Good Reason, except as set forth in this Section 7(a)(ii), Executive shall have no further rights to receive any compensation or any other benefits from the Company under this Agreement or otherwise.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64" w:name="page165"/>
    <w:bookmarkEnd w:id="164"/>
    <w:tbl>
      <w:tblPr>
        <w:tblLayout w:type="fixed"/>
        <w:tblInd w:w="1740" w:type="dxa"/>
        <w:tblCellMar>
          <w:top w:w="0" w:type="dxa"/>
          <w:left w:w="0" w:type="dxa"/>
          <w:bottom w:w="0" w:type="dxa"/>
          <w:right w:w="0" w:type="dxa"/>
        </w:tblCellMar>
      </w:tblPr>
      <w:tr>
        <w:trPr>
          <w:trHeight w:val="241"/>
        </w:trPr>
        <w:tc>
          <w:tcPr>
            <w:tcW w:w="1560" w:type="dxa"/>
            <w:vAlign w:val="bottom"/>
          </w:tcPr>
          <w:p>
            <w:pPr>
              <w:spacing w:after="0"/>
              <w:rPr>
                <w:sz w:val="20"/>
                <w:szCs w:val="20"/>
                <w:color w:val="auto"/>
              </w:rPr>
            </w:pPr>
            <w:r>
              <w:rPr>
                <w:rFonts w:ascii="Arial" w:cs="Arial" w:eastAsia="Arial" w:hAnsi="Arial"/>
                <w:sz w:val="21"/>
                <w:szCs w:val="21"/>
                <w:color w:val="auto"/>
              </w:rPr>
              <w:t>(b)</w:t>
            </w:r>
          </w:p>
        </w:tc>
        <w:tc>
          <w:tcPr>
            <w:tcW w:w="5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21"/>
                <w:szCs w:val="21"/>
                <w:color w:val="auto"/>
              </w:rPr>
              <w:t>Disability or Death.</w:t>
            </w:r>
          </w:p>
        </w:tc>
      </w:tr>
      <w:tr>
        <w:trPr>
          <w:trHeight w:val="20"/>
        </w:trPr>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479"/>
        </w:trPr>
        <w:tc>
          <w:tcPr>
            <w:tcW w:w="1560" w:type="dxa"/>
            <w:vAlign w:val="bottom"/>
          </w:tcPr>
          <w:p>
            <w:pPr>
              <w:ind w:left="860"/>
              <w:spacing w:after="0"/>
              <w:rPr>
                <w:sz w:val="20"/>
                <w:szCs w:val="20"/>
                <w:color w:val="auto"/>
              </w:rPr>
            </w:pPr>
            <w:r>
              <w:rPr>
                <w:rFonts w:ascii="Arial" w:cs="Arial" w:eastAsia="Arial" w:hAnsi="Arial"/>
                <w:sz w:val="20"/>
                <w:szCs w:val="20"/>
                <w:color w:val="080808"/>
              </w:rPr>
              <w:t>(i)</w:t>
            </w:r>
          </w:p>
        </w:tc>
        <w:tc>
          <w:tcPr>
            <w:tcW w:w="520" w:type="dxa"/>
            <w:vAlign w:val="bottom"/>
          </w:tcPr>
          <w:p>
            <w:pPr>
              <w:spacing w:after="0"/>
              <w:rPr>
                <w:sz w:val="24"/>
                <w:szCs w:val="24"/>
                <w:color w:val="auto"/>
              </w:rPr>
            </w:pPr>
          </w:p>
        </w:tc>
        <w:tc>
          <w:tcPr>
            <w:tcW w:w="7420" w:type="dxa"/>
            <w:vAlign w:val="bottom"/>
            <w:gridSpan w:val="2"/>
          </w:tcPr>
          <w:p>
            <w:pPr>
              <w:ind w:left="820"/>
              <w:spacing w:after="0"/>
              <w:rPr>
                <w:sz w:val="20"/>
                <w:szCs w:val="20"/>
                <w:color w:val="auto"/>
              </w:rPr>
            </w:pPr>
            <w:r>
              <w:rPr>
                <w:rFonts w:ascii="Arial" w:cs="Arial" w:eastAsia="Arial" w:hAnsi="Arial"/>
                <w:sz w:val="21"/>
                <w:szCs w:val="21"/>
                <w:color w:val="auto"/>
                <w:w w:val="98"/>
              </w:rPr>
              <w:t>The  Employment  Term  and  Executive’s  employment  shall  terminate</w:t>
            </w:r>
          </w:p>
        </w:tc>
      </w:tr>
    </w:tbl>
    <w:p>
      <w:pPr>
        <w:jc w:val="both"/>
        <w:spacing w:after="0" w:line="264" w:lineRule="auto"/>
        <w:rPr>
          <w:sz w:val="20"/>
          <w:szCs w:val="20"/>
          <w:color w:val="auto"/>
        </w:rPr>
      </w:pPr>
      <w:r>
        <w:rPr>
          <w:rFonts w:ascii="Arial" w:cs="Arial" w:eastAsia="Arial" w:hAnsi="Arial"/>
          <w:sz w:val="19"/>
          <w:szCs w:val="19"/>
          <w:color w:val="auto"/>
        </w:rPr>
        <w:t>automatically upon Executive’s death and may be terminated by the Company upon Executive’s Disability. For purposes of this Agreement, a “</w:t>
      </w:r>
      <w:r>
        <w:rPr>
          <w:rFonts w:ascii="Arial" w:cs="Arial" w:eastAsia="Arial" w:hAnsi="Arial"/>
          <w:sz w:val="19"/>
          <w:szCs w:val="19"/>
          <w:u w:val="single" w:color="auto"/>
          <w:color w:val="auto"/>
        </w:rPr>
        <w:t>Disability</w:t>
      </w:r>
      <w:r>
        <w:rPr>
          <w:rFonts w:ascii="Arial" w:cs="Arial" w:eastAsia="Arial" w:hAnsi="Arial"/>
          <w:sz w:val="19"/>
          <w:szCs w:val="19"/>
          <w:color w:val="auto"/>
        </w:rPr>
        <w:t>” shall be deemed to have occurred if Executive has for one hundred twenty (120) consecutive days or one hundred eighty (180) non-consecutive days in any twelve (12) month period been disabled in a manner which has rendered Executive unable to perform the essential functions of Executive’s job duties with or without reasonable accommodation.</w:t>
      </w:r>
    </w:p>
    <w:p>
      <w:pPr>
        <w:spacing w:after="0" w:line="181" w:lineRule="exact"/>
        <w:rPr>
          <w:sz w:val="20"/>
          <w:szCs w:val="20"/>
          <w:color w:val="auto"/>
        </w:rPr>
      </w:pPr>
    </w:p>
    <w:p>
      <w:pPr>
        <w:jc w:val="both"/>
        <w:ind w:firstLine="2594"/>
        <w:spacing w:after="0" w:line="249" w:lineRule="auto"/>
        <w:rPr>
          <w:sz w:val="20"/>
          <w:szCs w:val="20"/>
          <w:color w:val="auto"/>
        </w:rPr>
      </w:pPr>
      <w:r>
        <w:rPr>
          <w:rFonts w:ascii="Arial" w:cs="Arial" w:eastAsia="Arial" w:hAnsi="Arial"/>
          <w:sz w:val="20"/>
          <w:szCs w:val="20"/>
          <w:color w:val="080808"/>
        </w:rPr>
        <w:t xml:space="preserve">(ii) </w:t>
      </w:r>
      <w:r>
        <w:rPr>
          <w:rFonts w:ascii="Arial" w:cs="Arial" w:eastAsia="Arial" w:hAnsi="Arial"/>
          <w:sz w:val="20"/>
          <w:szCs w:val="20"/>
          <w:color w:val="000000"/>
        </w:rPr>
        <w:t>If the Executive’s employment terminates due to Disability or death, then</w:t>
      </w:r>
      <w:r>
        <w:rPr>
          <w:rFonts w:ascii="Arial" w:cs="Arial" w:eastAsia="Arial" w:hAnsi="Arial"/>
          <w:sz w:val="20"/>
          <w:szCs w:val="20"/>
          <w:color w:val="080808"/>
        </w:rPr>
        <w:t xml:space="preserve"> </w:t>
      </w:r>
      <w:r>
        <w:rPr>
          <w:rFonts w:ascii="Arial" w:cs="Arial" w:eastAsia="Arial" w:hAnsi="Arial"/>
          <w:sz w:val="20"/>
          <w:szCs w:val="20"/>
          <w:color w:val="000000"/>
        </w:rPr>
        <w:t>Executive shall be entitled to pro rata acceleration of the vesting of all outstanding equity awards subject to time-based vesting, including the Inducement Option and the Inducement RSU, determined on the basis of each completed month of service (or portion thereof) that the Executive served as an employee hereunder following the last applicable vesting date (or, if no such vesting date had yet occurred, the applicable grant date) and prior to termination of employment, with any applicable options remaining exercisable thereafter for a period of 12 months; and</w:t>
      </w:r>
    </w:p>
    <w:p>
      <w:pPr>
        <w:spacing w:after="0" w:line="193" w:lineRule="exact"/>
        <w:rPr>
          <w:sz w:val="20"/>
          <w:szCs w:val="20"/>
          <w:color w:val="auto"/>
        </w:rPr>
      </w:pPr>
    </w:p>
    <w:p>
      <w:pPr>
        <w:jc w:val="both"/>
        <w:ind w:firstLine="2594"/>
        <w:spacing w:after="0" w:line="271" w:lineRule="auto"/>
        <w:rPr>
          <w:sz w:val="20"/>
          <w:szCs w:val="20"/>
          <w:color w:val="auto"/>
        </w:rPr>
      </w:pPr>
      <w:r>
        <w:rPr>
          <w:rFonts w:ascii="Arial" w:cs="Arial" w:eastAsia="Arial" w:hAnsi="Arial"/>
          <w:sz w:val="19"/>
          <w:szCs w:val="19"/>
          <w:color w:val="080808"/>
        </w:rPr>
        <w:t xml:space="preserve">(iii) </w:t>
      </w:r>
      <w:r>
        <w:rPr>
          <w:rFonts w:ascii="Arial" w:cs="Arial" w:eastAsia="Arial" w:hAnsi="Arial"/>
          <w:sz w:val="19"/>
          <w:szCs w:val="19"/>
          <w:color w:val="000000"/>
        </w:rPr>
        <w:t>Upon termination of Executive’s employment due to Disability or death,</w:t>
      </w:r>
      <w:r>
        <w:rPr>
          <w:rFonts w:ascii="Arial" w:cs="Arial" w:eastAsia="Arial" w:hAnsi="Arial"/>
          <w:sz w:val="19"/>
          <w:szCs w:val="19"/>
          <w:color w:val="080808"/>
        </w:rPr>
        <w:t xml:space="preserve"> </w:t>
      </w:r>
      <w:r>
        <w:rPr>
          <w:rFonts w:ascii="Arial" w:cs="Arial" w:eastAsia="Arial" w:hAnsi="Arial"/>
          <w:sz w:val="19"/>
          <w:szCs w:val="19"/>
          <w:color w:val="000000"/>
        </w:rPr>
        <w:t>Executive or Executive’s estate (as the case may be) shall be entitled to receive (A) the Accrued Rights and (B) a pro rata portion of the Annual Target Bonus for the year in which the termination of service occurs, payable on the date when bonuses are otherwise paid to Company executives and in all events by March 15 of the calendar year following the year in which such termination occurs.</w:t>
      </w:r>
    </w:p>
    <w:p>
      <w:pPr>
        <w:spacing w:after="0" w:line="173" w:lineRule="exact"/>
        <w:rPr>
          <w:sz w:val="20"/>
          <w:szCs w:val="20"/>
          <w:color w:val="auto"/>
        </w:rPr>
      </w:pPr>
    </w:p>
    <w:p>
      <w:pPr>
        <w:jc w:val="both"/>
        <w:ind w:firstLine="738"/>
        <w:spacing w:after="0" w:line="304" w:lineRule="auto"/>
        <w:rPr>
          <w:sz w:val="20"/>
          <w:szCs w:val="20"/>
          <w:color w:val="auto"/>
        </w:rPr>
      </w:pPr>
      <w:r>
        <w:rPr>
          <w:rFonts w:ascii="Arial" w:cs="Arial" w:eastAsia="Arial" w:hAnsi="Arial"/>
          <w:sz w:val="19"/>
          <w:szCs w:val="19"/>
          <w:color w:val="auto"/>
        </w:rPr>
        <w:t xml:space="preserve">Following Executive’s termination of employment due to death or Disability, except as set forth in this </w:t>
      </w:r>
      <w:r>
        <w:rPr>
          <w:rFonts w:ascii="Arial" w:cs="Arial" w:eastAsia="Arial" w:hAnsi="Arial"/>
          <w:sz w:val="19"/>
          <w:szCs w:val="19"/>
          <w:u w:val="single" w:color="auto"/>
          <w:color w:val="auto"/>
        </w:rPr>
        <w:t>Section 7(b)</w:t>
      </w:r>
      <w:r>
        <w:rPr>
          <w:rFonts w:ascii="Arial" w:cs="Arial" w:eastAsia="Arial" w:hAnsi="Arial"/>
          <w:sz w:val="19"/>
          <w:szCs w:val="19"/>
          <w:color w:val="auto"/>
        </w:rPr>
        <w:t>, Executive shall have no further rights to any compensation or any other benefits from the Company under this Agreement or otherwise.</w:t>
      </w:r>
    </w:p>
    <w:p>
      <w:pPr>
        <w:spacing w:after="0" w:line="143" w:lineRule="exact"/>
        <w:rPr>
          <w:sz w:val="20"/>
          <w:szCs w:val="20"/>
          <w:color w:val="auto"/>
        </w:rPr>
      </w:pPr>
    </w:p>
    <w:p>
      <w:pPr>
        <w:ind w:left="1720"/>
        <w:spacing w:after="0"/>
        <w:tabs>
          <w:tab w:leader="none" w:pos="37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By the Company without Cause; By Executive for Good Reason</w:t>
      </w:r>
      <w:r>
        <w:rPr>
          <w:rFonts w:ascii="Arial" w:cs="Arial" w:eastAsia="Arial" w:hAnsi="Arial"/>
          <w:sz w:val="19"/>
          <w:szCs w:val="19"/>
          <w:color w:val="auto"/>
        </w:rPr>
        <w:t>. The Employment Term</w:t>
      </w:r>
    </w:p>
    <w:p>
      <w:pPr>
        <w:spacing w:after="0" w:line="32" w:lineRule="exact"/>
        <w:rPr>
          <w:sz w:val="20"/>
          <w:szCs w:val="20"/>
          <w:color w:val="auto"/>
        </w:rPr>
      </w:pPr>
    </w:p>
    <w:p>
      <w:pPr>
        <w:ind w:left="120"/>
        <w:spacing w:after="0" w:line="284" w:lineRule="auto"/>
        <w:rPr>
          <w:sz w:val="20"/>
          <w:szCs w:val="20"/>
          <w:color w:val="auto"/>
        </w:rPr>
      </w:pPr>
      <w:r>
        <w:rPr>
          <w:rFonts w:ascii="Arial" w:cs="Arial" w:eastAsia="Arial" w:hAnsi="Arial"/>
          <w:sz w:val="19"/>
          <w:szCs w:val="19"/>
          <w:color w:val="auto"/>
        </w:rPr>
        <w:t>and Executive’s employment may be terminated by the Company at any time without Cause or by Executive for Good Reason, provided that Executive shall be entitled to receive the severance benefits set forth below in this Section 7(c), as applicable:</w:t>
      </w:r>
    </w:p>
    <w:p>
      <w:pPr>
        <w:spacing w:after="0" w:line="161" w:lineRule="exact"/>
        <w:rPr>
          <w:sz w:val="20"/>
          <w:szCs w:val="20"/>
          <w:color w:val="auto"/>
        </w:rPr>
      </w:pPr>
    </w:p>
    <w:p>
      <w:pPr>
        <w:ind w:left="2600"/>
        <w:spacing w:after="0"/>
        <w:tabs>
          <w:tab w:leader="none" w:pos="4620" w:val="left"/>
        </w:tabs>
        <w:rPr>
          <w:sz w:val="20"/>
          <w:szCs w:val="20"/>
          <w:color w:val="auto"/>
        </w:rPr>
      </w:pPr>
      <w:r>
        <w:rPr>
          <w:rFonts w:ascii="Arial" w:cs="Arial" w:eastAsia="Arial" w:hAnsi="Arial"/>
          <w:sz w:val="20"/>
          <w:szCs w:val="20"/>
          <w:color w:val="080808"/>
        </w:rPr>
        <w:t>(i)</w:t>
      </w:r>
      <w:r>
        <w:rPr>
          <w:sz w:val="20"/>
          <w:szCs w:val="20"/>
          <w:color w:val="auto"/>
        </w:rPr>
        <w:tab/>
      </w:r>
      <w:r>
        <w:rPr>
          <w:rFonts w:ascii="Arial" w:cs="Arial" w:eastAsia="Arial" w:hAnsi="Arial"/>
          <w:sz w:val="21"/>
          <w:szCs w:val="21"/>
          <w:u w:val="single" w:color="auto"/>
          <w:color w:val="auto"/>
        </w:rPr>
        <w:t>Termination not in connection with a Change in Control</w:t>
      </w:r>
      <w:r>
        <w:rPr>
          <w:rFonts w:ascii="Arial" w:cs="Arial" w:eastAsia="Arial" w:hAnsi="Arial"/>
          <w:sz w:val="21"/>
          <w:szCs w:val="21"/>
          <w:color w:val="auto"/>
        </w:rPr>
        <w:t>. If Executive’s</w:t>
      </w:r>
    </w:p>
    <w:p>
      <w:pPr>
        <w:spacing w:after="0" w:line="9"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employment is terminated by the Company without Cause (other than by reason of death or Disability) or if Executive resigns for Good Reason, in either event, not in connection with a Change in Control, Executive shall be entitled to receive:</w:t>
      </w:r>
    </w:p>
    <w:p>
      <w:pPr>
        <w:sectPr>
          <w:pgSz w:w="11900" w:h="16838" w:orient="portrait"/>
          <w:cols w:equalWidth="0" w:num="1">
            <w:col w:w="11240"/>
          </w:cols>
          <w:pgMar w:left="320" w:top="981" w:right="339" w:bottom="1440" w:gutter="0" w:footer="0" w:header="0"/>
        </w:sectPr>
      </w:pPr>
    </w:p>
    <w:p>
      <w:pPr>
        <w:spacing w:after="0" w:line="184"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Accrued Rights; and</w:t>
      </w:r>
    </w:p>
    <w:p>
      <w:pPr>
        <w:spacing w:after="0" w:line="231" w:lineRule="exact"/>
        <w:rPr>
          <w:sz w:val="20"/>
          <w:szCs w:val="20"/>
          <w:color w:val="auto"/>
        </w:rPr>
      </w:pPr>
    </w:p>
    <w:p>
      <w:pPr>
        <w:sectPr>
          <w:pgSz w:w="11900" w:h="16838" w:orient="portrait"/>
          <w:cols w:equalWidth="0" w:num="2">
            <w:col w:w="5240" w:space="720"/>
            <w:col w:w="5280"/>
          </w:cols>
          <w:pgMar w:left="320" w:top="981" w:right="339" w:bottom="1440" w:gutter="0" w:footer="0" w:header="0"/>
          <w:type w:val="continuous"/>
        </w:sectPr>
      </w:pPr>
    </w:p>
    <w:p>
      <w:pPr>
        <w:ind w:left="3200"/>
        <w:spacing w:after="0"/>
        <w:tabs>
          <w:tab w:leader="none" w:pos="59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subject  to  Executive’s  execution  and  non-revocation  of  a</w:t>
      </w:r>
    </w:p>
    <w:p>
      <w:pPr>
        <w:sectPr>
          <w:pgSz w:w="11900" w:h="16838" w:orient="portrait"/>
          <w:cols w:equalWidth="0" w:num="1">
            <w:col w:w="11240"/>
          </w:cols>
          <w:pgMar w:left="320" w:top="981" w:right="339" w:bottom="1440" w:gutter="0" w:footer="0" w:header="0"/>
          <w:type w:val="continuous"/>
        </w:sectPr>
      </w:pPr>
    </w:p>
    <w:p>
      <w:pPr>
        <w:spacing w:after="0" w:line="45" w:lineRule="exact"/>
        <w:rPr>
          <w:sz w:val="20"/>
          <w:szCs w:val="20"/>
          <w:color w:val="auto"/>
        </w:rPr>
      </w:pPr>
    </w:p>
    <w:p>
      <w:pPr>
        <w:ind w:left="1740"/>
        <w:spacing w:after="0" w:line="230" w:lineRule="auto"/>
        <w:rPr>
          <w:sz w:val="20"/>
          <w:szCs w:val="20"/>
          <w:color w:val="auto"/>
        </w:rPr>
      </w:pPr>
      <w:r>
        <w:rPr>
          <w:rFonts w:ascii="Arial" w:cs="Arial" w:eastAsia="Arial" w:hAnsi="Arial"/>
          <w:sz w:val="21"/>
          <w:szCs w:val="21"/>
          <w:color w:val="auto"/>
        </w:rPr>
        <w:t>release of claims in the form provided by the Company and within the time period specified therein and Executive’s continued compliance with the provisions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65" w:name="page166"/>
    <w:bookmarkEnd w:id="165"/>
    <w:p>
      <w:pPr>
        <w:ind w:left="1740"/>
        <w:spacing w:after="0"/>
        <w:rPr>
          <w:sz w:val="20"/>
          <w:szCs w:val="20"/>
          <w:color w:val="auto"/>
        </w:rPr>
      </w:pPr>
      <w:r>
        <w:rPr>
          <w:rFonts w:ascii="Arial" w:cs="Arial" w:eastAsia="Arial" w:hAnsi="Arial"/>
          <w:sz w:val="21"/>
          <w:szCs w:val="21"/>
          <w:color w:val="auto"/>
        </w:rPr>
        <w:t>Sections 8 and 10 and the PIIA Agreement:</w:t>
      </w:r>
    </w:p>
    <w:p>
      <w:pPr>
        <w:spacing w:after="0" w:line="197" w:lineRule="exact"/>
        <w:rPr>
          <w:sz w:val="20"/>
          <w:szCs w:val="20"/>
          <w:color w:val="auto"/>
        </w:rPr>
      </w:pPr>
    </w:p>
    <w:p>
      <w:pPr>
        <w:ind w:left="2920" w:right="240" w:hanging="596"/>
        <w:spacing w:after="0" w:line="235" w:lineRule="auto"/>
        <w:tabs>
          <w:tab w:leader="none" w:pos="292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payment of an amount equal to 9 months of the Base Salary at the rate in effect during the year in which the termination occurs, which shall be payable to Executive in equal installments in accordance with the Company’s normal payroll practices, for 9 months following the date that the release of claims becomes effective and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period during which the release could become effective and irrevocable spans two calendar years, payments of such installments shall not commence until the first normal payroll date in the second calendar year);</w:t>
      </w:r>
    </w:p>
    <w:p>
      <w:pPr>
        <w:spacing w:after="0" w:line="175" w:lineRule="exact"/>
        <w:rPr>
          <w:rFonts w:ascii="Arial" w:cs="Arial" w:eastAsia="Arial" w:hAnsi="Arial"/>
          <w:sz w:val="21"/>
          <w:szCs w:val="21"/>
          <w:color w:val="auto"/>
        </w:rPr>
      </w:pPr>
    </w:p>
    <w:p>
      <w:pPr>
        <w:ind w:left="2920" w:right="40" w:hanging="596"/>
        <w:spacing w:after="0" w:line="253" w:lineRule="auto"/>
        <w:tabs>
          <w:tab w:leader="none" w:pos="29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accelerated vesting of the portion of all outstanding equity awards subject to time-based vesting that would have vested and become exercisable during the 9-month period following Executive’s termination of employment had he remained employed during such period, with any applicable options remaining exercisable thereafter for a period of 12 months; and</w:t>
      </w:r>
    </w:p>
    <w:p>
      <w:pPr>
        <w:spacing w:after="0" w:line="164" w:lineRule="exact"/>
        <w:rPr>
          <w:rFonts w:ascii="Arial" w:cs="Arial" w:eastAsia="Arial" w:hAnsi="Arial"/>
          <w:sz w:val="20"/>
          <w:szCs w:val="20"/>
          <w:color w:val="auto"/>
        </w:rPr>
      </w:pPr>
    </w:p>
    <w:p>
      <w:pPr>
        <w:ind w:left="2920" w:right="60" w:hanging="596"/>
        <w:spacing w:after="0" w:line="260" w:lineRule="auto"/>
        <w:tabs>
          <w:tab w:leader="none" w:pos="292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subject to Executive’s timely election of continuation coverage under the Consolidated Omnibus Budget Reconciliation Act of 1985, as amended (“COBRA”), and subject to Executive’s copayment of premium amounts at the active employees’ rate, the Company shall pay the remainder of the premiums for Executive’s participation in the Company’s group health plans pursuant to COBRA for a period ending on the earlier of (i) the 9-month anniversary of the date of termination; (ii) Executive becoming eligible for other group health benefits, or (iii) the expiration of Executive’s rights under COBRA; provided, however, that in the event that the benefits provided herein would subject the Company or any of its affiliates to any tax or penalty under the Patient Protection and Affordable Care Act or Section 105(h) of the Code, Executive and the Company agree to work together in good faith to restructure the foregoing benefit.</w:t>
      </w:r>
    </w:p>
    <w:p>
      <w:pPr>
        <w:spacing w:after="0" w:line="159" w:lineRule="exact"/>
        <w:rPr>
          <w:rFonts w:ascii="Arial" w:cs="Arial" w:eastAsia="Arial" w:hAnsi="Arial"/>
          <w:sz w:val="19"/>
          <w:szCs w:val="19"/>
          <w:color w:val="auto"/>
        </w:rPr>
      </w:pPr>
    </w:p>
    <w:p>
      <w:pPr>
        <w:ind w:firstLine="2598"/>
        <w:spacing w:after="0" w:line="279" w:lineRule="auto"/>
        <w:tabs>
          <w:tab w:leader="none" w:pos="3465" w:val="left"/>
        </w:tabs>
        <w:numPr>
          <w:ilvl w:val="2"/>
          <w:numId w:val="119"/>
        </w:numPr>
        <w:rPr>
          <w:rFonts w:ascii="Arial" w:cs="Arial" w:eastAsia="Arial" w:hAnsi="Arial"/>
          <w:sz w:val="19"/>
          <w:szCs w:val="19"/>
          <w:color w:val="auto"/>
        </w:rPr>
      </w:pPr>
      <w:r>
        <w:rPr>
          <w:rFonts w:ascii="Arial" w:cs="Arial" w:eastAsia="Arial" w:hAnsi="Arial"/>
          <w:sz w:val="19"/>
          <w:szCs w:val="19"/>
          <w:u w:val="single" w:color="auto"/>
          <w:color w:val="auto"/>
        </w:rPr>
        <w:t>Termination in connection with a Change in Control</w:t>
      </w:r>
      <w:r>
        <w:rPr>
          <w:rFonts w:ascii="Arial" w:cs="Arial" w:eastAsia="Arial" w:hAnsi="Arial"/>
          <w:sz w:val="19"/>
          <w:szCs w:val="19"/>
          <w:color w:val="auto"/>
        </w:rPr>
        <w:t>. If Executive’s employment is terminated by the Company without Cause (other than by reason of death or Disability) or if Executive resigns for Good Reason, in either event in connection with a Change in Control, Executive shall be entitled to receive in lieu of the benefits set forth in Section 7(c)(i):</w:t>
      </w:r>
    </w:p>
    <w:p>
      <w:pPr>
        <w:spacing w:after="0" w:line="166" w:lineRule="exact"/>
        <w:rPr>
          <w:rFonts w:ascii="Arial" w:cs="Arial" w:eastAsia="Arial" w:hAnsi="Arial"/>
          <w:sz w:val="19"/>
          <w:szCs w:val="19"/>
          <w:color w:val="auto"/>
        </w:rPr>
      </w:pPr>
    </w:p>
    <w:p>
      <w:pPr>
        <w:ind w:left="3360" w:hanging="897"/>
        <w:spacing w:after="0"/>
        <w:tabs>
          <w:tab w:leader="none" w:pos="3360" w:val="left"/>
        </w:tabs>
        <w:numPr>
          <w:ilvl w:val="1"/>
          <w:numId w:val="119"/>
        </w:numPr>
        <w:rPr>
          <w:rFonts w:ascii="Arial" w:cs="Arial" w:eastAsia="Arial" w:hAnsi="Arial"/>
          <w:sz w:val="20"/>
          <w:szCs w:val="20"/>
          <w:color w:val="080808"/>
        </w:rPr>
      </w:pPr>
      <w:r>
        <w:rPr>
          <w:rFonts w:ascii="Arial" w:cs="Arial" w:eastAsia="Arial" w:hAnsi="Arial"/>
          <w:sz w:val="21"/>
          <w:szCs w:val="21"/>
          <w:color w:val="auto"/>
        </w:rPr>
        <w:t>the Accrued Rights; and</w:t>
      </w:r>
    </w:p>
    <w:p>
      <w:pPr>
        <w:spacing w:after="0" w:line="196" w:lineRule="exact"/>
        <w:rPr>
          <w:rFonts w:ascii="Arial" w:cs="Arial" w:eastAsia="Arial" w:hAnsi="Arial"/>
          <w:sz w:val="20"/>
          <w:szCs w:val="20"/>
          <w:color w:val="080808"/>
        </w:rPr>
      </w:pPr>
    </w:p>
    <w:p>
      <w:pPr>
        <w:ind w:left="1740" w:right="20" w:firstLine="723"/>
        <w:spacing w:after="0" w:line="241" w:lineRule="auto"/>
        <w:tabs>
          <w:tab w:leader="none" w:pos="3354" w:val="left"/>
        </w:tabs>
        <w:numPr>
          <w:ilvl w:val="1"/>
          <w:numId w:val="119"/>
        </w:numPr>
        <w:rPr>
          <w:rFonts w:ascii="Arial" w:cs="Arial" w:eastAsia="Arial" w:hAnsi="Arial"/>
          <w:sz w:val="20"/>
          <w:szCs w:val="20"/>
          <w:color w:val="080808"/>
        </w:rPr>
      </w:pPr>
      <w:r>
        <w:rPr>
          <w:rFonts w:ascii="Arial" w:cs="Arial" w:eastAsia="Arial" w:hAnsi="Arial"/>
          <w:sz w:val="21"/>
          <w:szCs w:val="21"/>
          <w:color w:val="auto"/>
        </w:rPr>
        <w:t xml:space="preserve">subject to Executive’s execution and non-revocation of a release of claims in the form provided by the Company and within the time period specified therein and Executive’s continued compliance with the provisions of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and the PIIA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66" w:name="page167"/>
    <w:bookmarkEnd w:id="166"/>
    <w:p>
      <w:pPr>
        <w:jc w:val="both"/>
        <w:ind w:left="2920" w:hanging="596"/>
        <w:spacing w:after="0" w:line="238" w:lineRule="auto"/>
        <w:tabs>
          <w:tab w:leader="none" w:pos="29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payment of an amount equal to 1.0 times of Executive’s annual Base Salary at the rate in effect during the year in which the termination occurs, which amount shall be payable to Executive in a single lump sum on the next regular payroll date following the date that the release of claims becomes effective and irrevocable;</w:t>
      </w:r>
    </w:p>
    <w:p>
      <w:pPr>
        <w:spacing w:after="0" w:line="176" w:lineRule="exact"/>
        <w:rPr>
          <w:rFonts w:ascii="Arial" w:cs="Arial" w:eastAsia="Arial" w:hAnsi="Arial"/>
          <w:sz w:val="21"/>
          <w:szCs w:val="21"/>
          <w:color w:val="auto"/>
        </w:rPr>
      </w:pPr>
    </w:p>
    <w:p>
      <w:pPr>
        <w:jc w:val="both"/>
        <w:ind w:left="2920" w:hanging="596"/>
        <w:spacing w:after="0" w:line="236" w:lineRule="auto"/>
        <w:tabs>
          <w:tab w:leader="none" w:pos="29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payment equal to the greater of either the Annual Target Bonus for the year in which the termination occurs or the Annual Bonus paid to Executive with respect to the calendar year immediately preceding the calendar year during which the termination occurs, with such amount payable to Executive in a single lump sum on the next regular payroll date following the date that the release of claims becomes effective and irrevocable;</w:t>
      </w:r>
    </w:p>
    <w:p>
      <w:pPr>
        <w:spacing w:after="0" w:line="179" w:lineRule="exact"/>
        <w:rPr>
          <w:rFonts w:ascii="Arial" w:cs="Arial" w:eastAsia="Arial" w:hAnsi="Arial"/>
          <w:sz w:val="21"/>
          <w:szCs w:val="21"/>
          <w:color w:val="auto"/>
        </w:rPr>
      </w:pPr>
    </w:p>
    <w:p>
      <w:pPr>
        <w:jc w:val="both"/>
        <w:ind w:left="2920" w:hanging="596"/>
        <w:spacing w:after="0" w:line="279" w:lineRule="auto"/>
        <w:tabs>
          <w:tab w:leader="none" w:pos="29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 pro rata portion of the Annual Target Bonus for the year in which the termination of employment occurs, with such amount payable to Executive in a single lump sum on the next regular payroll date following the date that the release of claims becomes effective and irrevocable;</w:t>
      </w:r>
    </w:p>
    <w:p>
      <w:pPr>
        <w:spacing w:after="0" w:line="140" w:lineRule="exact"/>
        <w:rPr>
          <w:rFonts w:ascii="Arial" w:cs="Arial" w:eastAsia="Arial" w:hAnsi="Arial"/>
          <w:sz w:val="19"/>
          <w:szCs w:val="19"/>
          <w:color w:val="auto"/>
        </w:rPr>
      </w:pPr>
    </w:p>
    <w:p>
      <w:pPr>
        <w:ind w:left="2920" w:hanging="596"/>
        <w:spacing w:after="0"/>
        <w:tabs>
          <w:tab w:leader="none" w:pos="29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full acceleration of the vesting of all outstanding equity awards subject to time-based vesting; and</w:t>
      </w:r>
    </w:p>
    <w:p>
      <w:pPr>
        <w:spacing w:after="0" w:line="219" w:lineRule="exact"/>
        <w:rPr>
          <w:rFonts w:ascii="Arial" w:cs="Arial" w:eastAsia="Arial" w:hAnsi="Arial"/>
          <w:sz w:val="19"/>
          <w:szCs w:val="19"/>
          <w:color w:val="auto"/>
        </w:rPr>
      </w:pPr>
    </w:p>
    <w:p>
      <w:pPr>
        <w:jc w:val="both"/>
        <w:ind w:left="2920" w:hanging="596"/>
        <w:spacing w:after="0" w:line="235" w:lineRule="exact"/>
        <w:tabs>
          <w:tab w:leader="none" w:pos="29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subject to Executive’s timely election of continuation coverage under COBRA, and subject to Executive’s copayment of premium amounts at the active employees’ rate, the Company shall pay the remainder of the premiums for Executive’s participation in the Company’s group health plans pursuant to COBRA for a period ending on the earlier of (i) the 12</w:t>
      </w:r>
      <w:r>
        <w:rPr>
          <w:rFonts w:ascii="MS PGothic" w:cs="MS PGothic" w:eastAsia="MS PGothic" w:hAnsi="MS PGothic"/>
          <w:sz w:val="19"/>
          <w:szCs w:val="19"/>
          <w:color w:val="auto"/>
        </w:rPr>
        <w:t>‑</w:t>
      </w:r>
      <w:r>
        <w:rPr>
          <w:rFonts w:ascii="Arial" w:cs="Arial" w:eastAsia="Arial" w:hAnsi="Arial"/>
          <w:sz w:val="19"/>
          <w:szCs w:val="19"/>
          <w:color w:val="auto"/>
        </w:rPr>
        <w:t>month anniversary of the date of termination; (ii) Executive becoming eligible for other group health benefits, or (iii) the expiration of Executive’s rights under COBRA; provided, however, that in the event that the benefits provided herein would subject the Company or any of its affiliates to any tax or penalty under the Patient Protection and Affordable Care Act or Section 105(h) of the Code, Executive and the Company agree to work together in good faith to restructure the foregoing benefit.</w:t>
      </w:r>
    </w:p>
    <w:p>
      <w:pPr>
        <w:spacing w:after="0" w:line="181"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occurrence of one or more of the following events: (i) any “person” (as such term is used in Sections 3(a)(9) and 13(d) of the Securities Exchange Act of 1934,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or “group” (as such term is used in Section 13(d)(3) of the Act), other than the Company or its subsidiaries or any benefit plan of the Company or its subsidiaries is or becomes a “beneficial owner” (as such term is used in Rule 13d-3 promulgated under the Act) of more than 50% of the Voting Stock of the Company; (ii) the Company transfers all or substantially all of its assets (unless the shareholders of the Company immediately prior to such transaction beneficially own, directly or indirectly, in substantially the same proportion as they owned the Voting Stock of the Company, all of the Voting Stock or other ownership interests of the entity or entities, if any, that succeed to the business of the Company or the Company’s ultimate parent company if the Company is 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67" w:name="page168"/>
    <w:bookmarkEnd w:id="167"/>
    <w:p>
      <w:pPr>
        <w:ind w:right="40"/>
        <w:spacing w:after="0" w:line="259" w:lineRule="auto"/>
        <w:rPr>
          <w:sz w:val="20"/>
          <w:szCs w:val="20"/>
          <w:color w:val="auto"/>
        </w:rPr>
      </w:pPr>
      <w:r>
        <w:rPr>
          <w:rFonts w:ascii="Arial" w:cs="Arial" w:eastAsia="Arial" w:hAnsi="Arial"/>
          <w:sz w:val="19"/>
          <w:szCs w:val="19"/>
          <w:color w:val="auto"/>
        </w:rPr>
        <w:t>subsidiary of another corporation); or (iii) any merger, reorganization, consolidation or similar transaction unless, immediately after consummation of such transaction, the shareholders of the Company immediately prior to the transaction hold, directly or indirectly, more than 50% of the Voting Stock of the Company or the Company’s ultimate parent company if the Company is a subsidiary of another corporation. For purposes of this Change in Control definition, “</w:t>
      </w:r>
      <w:r>
        <w:rPr>
          <w:rFonts w:ascii="Arial" w:cs="Arial" w:eastAsia="Arial" w:hAnsi="Arial"/>
          <w:sz w:val="19"/>
          <w:szCs w:val="19"/>
          <w:u w:val="single" w:color="auto"/>
          <w:color w:val="auto"/>
        </w:rPr>
        <w:t>Voting Stock</w:t>
      </w:r>
      <w:r>
        <w:rPr>
          <w:rFonts w:ascii="Arial" w:cs="Arial" w:eastAsia="Arial" w:hAnsi="Arial"/>
          <w:sz w:val="19"/>
          <w:szCs w:val="19"/>
          <w:color w:val="auto"/>
        </w:rPr>
        <w:t xml:space="preserve">” means securities or ownership interests of any class or classes having general voting power under ordinary circumstances, in the absence of contingencies, to elect the directors of a corporation, including securities that are convertible into voting stock (e.g., warrants and convertible preferred stock), even if subject to beneficial ownership blockers or other limits on the ability to acquire such securities. Following Executive’s termination of employment by the Company without Cause (other than by reason of Executive’s death or Disability) or by Executive for Good Reason in connection with a Change in Control, except as set forth in this </w:t>
      </w:r>
      <w:r>
        <w:rPr>
          <w:rFonts w:ascii="Arial" w:cs="Arial" w:eastAsia="Arial" w:hAnsi="Arial"/>
          <w:sz w:val="19"/>
          <w:szCs w:val="19"/>
          <w:u w:val="single" w:color="auto"/>
          <w:color w:val="auto"/>
        </w:rPr>
        <w:t>Section 7(c)(ii)</w:t>
      </w:r>
      <w:r>
        <w:rPr>
          <w:rFonts w:ascii="Arial" w:cs="Arial" w:eastAsia="Arial" w:hAnsi="Arial"/>
          <w:sz w:val="19"/>
          <w:szCs w:val="19"/>
          <w:color w:val="auto"/>
        </w:rPr>
        <w:t>, Executive shall have no further rights to any compensation or any other benefits from the Company under this Agreement or otherwise. For purposes of this Agreement, a termination shall be deemed in connection with a Change in Control if such termination occurs either within 30 days before the consummation of a Change in Control or within 12 months after the consummation of a Change in Control.</w:t>
      </w:r>
    </w:p>
    <w:p>
      <w:pPr>
        <w:spacing w:after="0" w:line="187" w:lineRule="exact"/>
        <w:rPr>
          <w:sz w:val="20"/>
          <w:szCs w:val="20"/>
          <w:color w:val="auto"/>
        </w:rPr>
      </w:pPr>
    </w:p>
    <w:p>
      <w:pPr>
        <w:jc w:val="both"/>
        <w:ind w:firstLine="1729"/>
        <w:spacing w:after="0" w:line="236"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Any termination of employment by the Company or by Executive (other than due to Executive’s death) shall be communicated by Notice of Termination to the other party hereto in accordance with </w:t>
      </w:r>
      <w:r>
        <w:rPr>
          <w:rFonts w:ascii="Arial" w:cs="Arial" w:eastAsia="Arial" w:hAnsi="Arial"/>
          <w:sz w:val="21"/>
          <w:szCs w:val="21"/>
          <w:u w:val="single" w:color="auto"/>
          <w:color w:val="auto"/>
        </w:rPr>
        <w:t>Section 11(k)</w:t>
      </w:r>
      <w:r>
        <w:rPr>
          <w:rFonts w:ascii="Arial" w:cs="Arial" w:eastAsia="Arial" w:hAnsi="Arial"/>
          <w:sz w:val="21"/>
          <w:szCs w:val="21"/>
          <w:color w:val="auto"/>
        </w:rPr>
        <w:t xml:space="preserve">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Notice that indicates the specific termination provision in this Agreement relied upon and sets forth in reasonable detail the facts and circumstances claimed to provide a basis for termination of employment under the provision so indicated.</w:t>
      </w:r>
    </w:p>
    <w:p>
      <w:pPr>
        <w:spacing w:after="0" w:line="205" w:lineRule="exact"/>
        <w:rPr>
          <w:sz w:val="20"/>
          <w:szCs w:val="20"/>
          <w:color w:val="auto"/>
        </w:rPr>
      </w:pPr>
    </w:p>
    <w:p>
      <w:pPr>
        <w:jc w:val="both"/>
        <w:ind w:firstLine="1729"/>
        <w:spacing w:after="0" w:line="238" w:lineRule="auto"/>
        <w:rPr>
          <w:sz w:val="20"/>
          <w:szCs w:val="20"/>
          <w:color w:val="auto"/>
        </w:rPr>
      </w:pPr>
      <w:r>
        <w:rPr>
          <w:rFonts w:ascii="Arial" w:cs="Arial" w:eastAsia="Arial" w:hAnsi="Arial"/>
          <w:sz w:val="21"/>
          <w:szCs w:val="21"/>
          <w:color w:val="auto"/>
        </w:rPr>
        <w:t xml:space="preserve">(e) </w:t>
      </w:r>
      <w:r>
        <w:rPr>
          <w:rFonts w:ascii="Arial" w:cs="Arial" w:eastAsia="Arial" w:hAnsi="Arial"/>
          <w:sz w:val="21"/>
          <w:szCs w:val="21"/>
          <w:u w:val="single" w:color="auto"/>
          <w:color w:val="auto"/>
        </w:rPr>
        <w:t>Termination and Offices Held</w:t>
      </w:r>
      <w:r>
        <w:rPr>
          <w:rFonts w:ascii="Arial" w:cs="Arial" w:eastAsia="Arial" w:hAnsi="Arial"/>
          <w:sz w:val="21"/>
          <w:szCs w:val="21"/>
          <w:color w:val="auto"/>
        </w:rPr>
        <w:t>. Upon termination of Executive’s employment for any reason, Executive shall be deemed to have resigned from all positions that Executive may then hold as an employee, officer or director of the Company or any affiliate of the Company. Executive shall promptly deliver to the Company any additional documents reasonably required by the Company to confirm such resignations.</w:t>
      </w:r>
    </w:p>
    <w:p>
      <w:pPr>
        <w:spacing w:after="0" w:line="202"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auto"/>
        </w:rPr>
        <w:t xml:space="preserve">8. </w:t>
      </w:r>
      <w:r>
        <w:rPr>
          <w:rFonts w:ascii="Arial" w:cs="Arial" w:eastAsia="Arial" w:hAnsi="Arial"/>
          <w:sz w:val="20"/>
          <w:szCs w:val="20"/>
          <w:u w:val="single" w:color="auto"/>
          <w:color w:val="auto"/>
        </w:rPr>
        <w:t>Non-Disparagement</w:t>
      </w:r>
      <w:r>
        <w:rPr>
          <w:rFonts w:ascii="Arial" w:cs="Arial" w:eastAsia="Arial" w:hAnsi="Arial"/>
          <w:sz w:val="20"/>
          <w:szCs w:val="20"/>
          <w:color w:val="auto"/>
        </w:rPr>
        <w:t>. Executive shall not, while employed by the Company or at any time thereafter, disparage the Company (or any affiliate) in any way that materially and adversely affects the goodwill, reputation or business relationships of the Company or the affiliate with the public generally, or with any of its customers, vendors or employees</w:t>
      </w:r>
    </w:p>
    <w:p>
      <w:pPr>
        <w:spacing w:after="0" w:line="184" w:lineRule="exact"/>
        <w:rPr>
          <w:sz w:val="20"/>
          <w:szCs w:val="20"/>
          <w:color w:val="auto"/>
        </w:rPr>
      </w:pPr>
    </w:p>
    <w:p>
      <w:pPr>
        <w:jc w:val="both"/>
        <w:ind w:firstLine="1729"/>
        <w:spacing w:after="0" w:line="253" w:lineRule="auto"/>
        <w:rPr>
          <w:sz w:val="20"/>
          <w:szCs w:val="20"/>
          <w:color w:val="auto"/>
        </w:rPr>
      </w:pPr>
      <w:r>
        <w:rPr>
          <w:rFonts w:ascii="Arial" w:cs="Arial" w:eastAsia="Arial" w:hAnsi="Arial"/>
          <w:sz w:val="19"/>
          <w:szCs w:val="19"/>
          <w:color w:val="auto"/>
        </w:rPr>
        <w:t xml:space="preserve">9. </w:t>
      </w:r>
      <w:r>
        <w:rPr>
          <w:rFonts w:ascii="Arial" w:cs="Arial" w:eastAsia="Arial" w:hAnsi="Arial"/>
          <w:sz w:val="20"/>
          <w:szCs w:val="20"/>
          <w:u w:val="single" w:color="auto"/>
          <w:color w:val="auto"/>
        </w:rPr>
        <w:t>Proprietary Information and Inventions Assignment Agreement</w:t>
      </w:r>
      <w:r>
        <w:rPr>
          <w:rFonts w:ascii="Arial" w:cs="Arial" w:eastAsia="Arial" w:hAnsi="Arial"/>
          <w:sz w:val="20"/>
          <w:szCs w:val="20"/>
          <w:color w:val="auto"/>
        </w:rPr>
        <w:t>. As a condition to</w:t>
      </w:r>
      <w:r>
        <w:rPr>
          <w:rFonts w:ascii="Arial" w:cs="Arial" w:eastAsia="Arial" w:hAnsi="Arial"/>
          <w:sz w:val="19"/>
          <w:szCs w:val="19"/>
          <w:color w:val="auto"/>
        </w:rPr>
        <w:t xml:space="preserve"> </w:t>
      </w:r>
      <w:r>
        <w:rPr>
          <w:rFonts w:ascii="Arial" w:cs="Arial" w:eastAsia="Arial" w:hAnsi="Arial"/>
          <w:sz w:val="20"/>
          <w:szCs w:val="20"/>
          <w:color w:val="auto"/>
        </w:rPr>
        <w:t>Executive’s employment with the Company, Executive shall execute and deliver to the Company as of the Effective Date, the Company’s standard Proprietary Information and Inventions Agreement (the “</w:t>
      </w:r>
      <w:r>
        <w:rPr>
          <w:rFonts w:ascii="Arial" w:cs="Arial" w:eastAsia="Arial" w:hAnsi="Arial"/>
          <w:sz w:val="20"/>
          <w:szCs w:val="20"/>
          <w:u w:val="single" w:color="auto"/>
          <w:color w:val="auto"/>
        </w:rPr>
        <w:t>PIIA Agreement</w:t>
      </w:r>
      <w:r>
        <w:rPr>
          <w:rFonts w:ascii="Arial" w:cs="Arial" w:eastAsia="Arial" w:hAnsi="Arial"/>
          <w:sz w:val="20"/>
          <w:szCs w:val="20"/>
          <w:color w:val="auto"/>
        </w:rPr>
        <w:t>”), a copy of which has been provided under separate cover.</w:t>
      </w:r>
    </w:p>
    <w:p>
      <w:pPr>
        <w:spacing w:after="0" w:line="191" w:lineRule="exact"/>
        <w:rPr>
          <w:sz w:val="20"/>
          <w:szCs w:val="20"/>
          <w:color w:val="auto"/>
        </w:rPr>
      </w:pPr>
    </w:p>
    <w:p>
      <w:pPr>
        <w:jc w:val="both"/>
        <w:ind w:firstLine="1729"/>
        <w:spacing w:after="0" w:line="241" w:lineRule="auto"/>
        <w:rPr>
          <w:sz w:val="20"/>
          <w:szCs w:val="20"/>
          <w:color w:val="auto"/>
        </w:rPr>
      </w:pPr>
      <w:r>
        <w:rPr>
          <w:rFonts w:ascii="Arial" w:cs="Arial" w:eastAsia="Arial" w:hAnsi="Arial"/>
          <w:sz w:val="21"/>
          <w:szCs w:val="21"/>
          <w:color w:val="auto"/>
        </w:rPr>
        <w:t xml:space="preserve">10.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xml:space="preserve">. Executive acknowledges and agrees that the Company’s remedies at law for a breach or threatened breach of any of the provisions of </w:t>
      </w:r>
      <w:r>
        <w:rPr>
          <w:rFonts w:ascii="Arial" w:cs="Arial" w:eastAsia="Arial" w:hAnsi="Arial"/>
          <w:sz w:val="21"/>
          <w:szCs w:val="21"/>
          <w:u w:val="single" w:color="auto"/>
          <w:color w:val="auto"/>
        </w:rPr>
        <w:t>Sections 8</w:t>
      </w:r>
      <w:r>
        <w:rPr>
          <w:rFonts w:ascii="Arial" w:cs="Arial" w:eastAsia="Arial" w:hAnsi="Arial"/>
          <w:sz w:val="21"/>
          <w:szCs w:val="21"/>
          <w:color w:val="auto"/>
        </w:rPr>
        <w:t>, or 9 may be inadequate and the Company may suffer irreparable damages as a result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68" w:name="page169"/>
    <w:bookmarkEnd w:id="168"/>
    <w:p>
      <w:pPr>
        <w:jc w:val="both"/>
        <w:spacing w:after="0" w:line="238" w:lineRule="auto"/>
        <w:rPr>
          <w:sz w:val="20"/>
          <w:szCs w:val="20"/>
          <w:color w:val="auto"/>
        </w:rPr>
      </w:pPr>
      <w:r>
        <w:rPr>
          <w:rFonts w:ascii="Arial" w:cs="Arial" w:eastAsia="Arial" w:hAnsi="Arial"/>
          <w:sz w:val="21"/>
          <w:szCs w:val="21"/>
          <w:color w:val="auto"/>
        </w:rPr>
        <w:t>of such breach or threatened breach. In recognition of this fact, Executive agrees that, in the event of such a breach or threatened breach, in addition to any remedies at law, the Company, without posting any bond, shall be entitled to seek equitable relief in the form of specific performance, temporary restraining order, temporary or permanent injunction or any other equitable remedy which may then be available.</w:t>
      </w:r>
    </w:p>
    <w:p>
      <w:pPr>
        <w:spacing w:after="0" w:line="176"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r>
              <w:rPr>
                <w:rFonts w:ascii="Arial" w:cs="Arial" w:eastAsia="Arial" w:hAnsi="Arial"/>
                <w:sz w:val="21"/>
                <w:szCs w:val="21"/>
                <w:color w:val="auto"/>
              </w:rPr>
              <w:t>11.</w:t>
            </w:r>
          </w:p>
        </w:tc>
        <w:tc>
          <w:tcPr>
            <w:tcW w:w="7400" w:type="dxa"/>
            <w:vAlign w:val="bottom"/>
            <w:gridSpan w:val="3"/>
          </w:tcPr>
          <w:p>
            <w:pPr>
              <w:spacing w:after="0"/>
              <w:rPr>
                <w:sz w:val="20"/>
                <w:szCs w:val="20"/>
                <w:color w:val="auto"/>
              </w:rPr>
            </w:pPr>
            <w:r>
              <w:rPr>
                <w:rFonts w:ascii="Arial" w:cs="Arial" w:eastAsia="Arial" w:hAnsi="Arial"/>
                <w:sz w:val="21"/>
                <w:szCs w:val="21"/>
                <w:color w:val="auto"/>
              </w:rPr>
              <w:t>Miscellaneous.</w:t>
            </w:r>
          </w:p>
        </w:tc>
      </w:tr>
      <w:tr>
        <w:trPr>
          <w:trHeight w:val="20"/>
        </w:trPr>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44"/>
        </w:trPr>
        <w:tc>
          <w:tcPr>
            <w:tcW w:w="2100" w:type="dxa"/>
            <w:vAlign w:val="bottom"/>
          </w:tcPr>
          <w:p>
            <w:pPr>
              <w:spacing w:after="0"/>
              <w:rPr>
                <w:sz w:val="20"/>
                <w:szCs w:val="20"/>
                <w:color w:val="auto"/>
              </w:rPr>
            </w:pPr>
            <w:r>
              <w:rPr>
                <w:rFonts w:ascii="Arial" w:cs="Arial" w:eastAsia="Arial" w:hAnsi="Arial"/>
                <w:sz w:val="20"/>
                <w:szCs w:val="20"/>
                <w:color w:val="080808"/>
              </w:rPr>
              <w:t>(a)</w:t>
            </w:r>
          </w:p>
        </w:tc>
        <w:tc>
          <w:tcPr>
            <w:tcW w:w="7400" w:type="dxa"/>
            <w:vAlign w:val="bottom"/>
            <w:gridSpan w:val="3"/>
          </w:tcPr>
          <w:p>
            <w:pPr>
              <w:spacing w:after="0"/>
              <w:rPr>
                <w:sz w:val="20"/>
                <w:szCs w:val="20"/>
                <w:color w:val="auto"/>
              </w:rPr>
            </w:pPr>
            <w:r>
              <w:rPr>
                <w:rFonts w:ascii="Arial" w:cs="Arial" w:eastAsia="Arial" w:hAnsi="Arial"/>
                <w:sz w:val="21"/>
                <w:szCs w:val="21"/>
                <w:color w:val="auto"/>
                <w:w w:val="91"/>
              </w:rPr>
              <w:t>Arbitration. For the avoidance of doubt, the arbitration and equitable relief provisions of</w:t>
            </w:r>
          </w:p>
        </w:tc>
      </w:tr>
      <w:tr>
        <w:trPr>
          <w:trHeight w:val="20"/>
        </w:trPr>
        <w:tc>
          <w:tcPr>
            <w:tcW w:w="2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PIIA Agreement shall apply to any dispute concerning Executive’s employment with the Company or arising under or in any way related to this Agreement.</w:t>
      </w:r>
    </w:p>
    <w:p>
      <w:pPr>
        <w:spacing w:after="0" w:line="189" w:lineRule="exact"/>
        <w:rPr>
          <w:sz w:val="20"/>
          <w:szCs w:val="20"/>
          <w:color w:val="auto"/>
        </w:rPr>
      </w:pPr>
    </w:p>
    <w:p>
      <w:pPr>
        <w:ind w:left="1740"/>
        <w:spacing w:after="0"/>
        <w:tabs>
          <w:tab w:leader="none" w:pos="3800" w:val="left"/>
          <w:tab w:leader="none" w:pos="8380" w:val="left"/>
        </w:tabs>
        <w:rPr>
          <w:sz w:val="20"/>
          <w:szCs w:val="20"/>
          <w:color w:val="auto"/>
        </w:rPr>
      </w:pPr>
      <w:r>
        <w:rPr>
          <w:rFonts w:ascii="Arial" w:cs="Arial" w:eastAsia="Arial" w:hAnsi="Arial"/>
          <w:sz w:val="20"/>
          <w:szCs w:val="20"/>
          <w:color w:val="080808"/>
        </w:rPr>
        <w:t>(b)</w:t>
      </w:r>
      <w:r>
        <w:rPr>
          <w:sz w:val="20"/>
          <w:szCs w:val="20"/>
          <w:color w:val="auto"/>
        </w:rPr>
        <w:tab/>
      </w:r>
      <w:r>
        <w:rPr>
          <w:rFonts w:ascii="Arial" w:cs="Arial" w:eastAsia="Arial" w:hAnsi="Arial"/>
          <w:sz w:val="21"/>
          <w:szCs w:val="21"/>
          <w:u w:val="single" w:color="auto"/>
          <w:color w:val="auto"/>
        </w:rPr>
        <w:t>Governing Law; Consent to Personal Jurisdiction</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THIS AGREEMENT WILL BE</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GOVERNED BY THE LAWS OF THE STATE OF CALIFORNIA WITHOUT REGARD FOR CONFLICTS OF LAWS PRINCIPLES. SUBJECT TO THE ARBITRATION PROVISION IN THE PIIA AGREEMENT, EXECUTIVE HEREBY EXPRESSLY CONSENTS TO THE PERSONAL JURISDICTION OF THE STATE AND FEDERAL COURTS LOCATED IN ORANGE COUNTY, CALIFORNIA FOR ANY LAWSUIT FILED THERE AGAINST EXECUTIVE BY THE COMPANY CONCERNING EXECUTIVE’S EMPLOYMENT OR THE TERMINATION OF EXECUTIVE’S EMPLOYMENT OR ARISING FROM OR RELATING TO THIS AGREEMENT.</w:t>
      </w:r>
    </w:p>
    <w:p>
      <w:pPr>
        <w:spacing w:after="0" w:line="206" w:lineRule="exact"/>
        <w:rPr>
          <w:sz w:val="20"/>
          <w:szCs w:val="20"/>
          <w:color w:val="auto"/>
        </w:rPr>
      </w:pPr>
    </w:p>
    <w:p>
      <w:pPr>
        <w:jc w:val="both"/>
        <w:ind w:firstLine="1729"/>
        <w:spacing w:after="0" w:line="247" w:lineRule="auto"/>
        <w:rPr>
          <w:sz w:val="20"/>
          <w:szCs w:val="20"/>
          <w:color w:val="auto"/>
        </w:rPr>
      </w:pPr>
      <w:r>
        <w:rPr>
          <w:rFonts w:ascii="Arial" w:cs="Arial" w:eastAsia="Arial" w:hAnsi="Arial"/>
          <w:sz w:val="20"/>
          <w:szCs w:val="20"/>
          <w:color w:val="080808"/>
        </w:rPr>
        <w:t xml:space="preserve">(c) </w:t>
      </w:r>
      <w:r>
        <w:rPr>
          <w:rFonts w:ascii="Arial" w:cs="Arial" w:eastAsia="Arial" w:hAnsi="Arial"/>
          <w:sz w:val="20"/>
          <w:szCs w:val="20"/>
          <w:u w:val="single" w:color="auto"/>
          <w:color w:val="000000"/>
        </w:rPr>
        <w:t>Entire Agreement/Amendments</w:t>
      </w:r>
      <w:r>
        <w:rPr>
          <w:rFonts w:ascii="Arial" w:cs="Arial" w:eastAsia="Arial" w:hAnsi="Arial"/>
          <w:sz w:val="20"/>
          <w:szCs w:val="20"/>
          <w:color w:val="000000"/>
        </w:rPr>
        <w:t>. This Agreement, together with the PIIA Agreement,</w:t>
      </w:r>
      <w:r>
        <w:rPr>
          <w:rFonts w:ascii="Arial" w:cs="Arial" w:eastAsia="Arial" w:hAnsi="Arial"/>
          <w:sz w:val="20"/>
          <w:szCs w:val="20"/>
          <w:color w:val="080808"/>
        </w:rPr>
        <w:t xml:space="preserve"> </w:t>
      </w:r>
      <w:r>
        <w:rPr>
          <w:rFonts w:ascii="Arial" w:cs="Arial" w:eastAsia="Arial" w:hAnsi="Arial"/>
          <w:sz w:val="20"/>
          <w:szCs w:val="20"/>
          <w:color w:val="000000"/>
        </w:rPr>
        <w:t>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or as may be set forth from time to time in the Company’s employee benefit plans and policies applicable to Executive. This Agreement may not be altered, modified, or amended except by written instrument signed by the parties hereto. In the event of any 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spacing w:after="0" w:line="195"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(d) </w:t>
      </w:r>
      <w:r>
        <w:rPr>
          <w:rFonts w:ascii="Arial" w:cs="Arial" w:eastAsia="Arial" w:hAnsi="Arial"/>
          <w:sz w:val="20"/>
          <w:szCs w:val="20"/>
          <w:u w:val="single" w:color="auto"/>
          <w:color w:val="000000"/>
        </w:rPr>
        <w:t>No Waiver</w:t>
      </w:r>
      <w:r>
        <w:rPr>
          <w:rFonts w:ascii="Arial" w:cs="Arial" w:eastAsia="Arial" w:hAnsi="Arial"/>
          <w:sz w:val="20"/>
          <w:szCs w:val="20"/>
          <w:color w:val="000000"/>
        </w:rPr>
        <w:t>. The failure of a party to insist upon strict adherence to any term of this</w:t>
      </w:r>
      <w:r>
        <w:rPr>
          <w:rFonts w:ascii="Arial" w:cs="Arial" w:eastAsia="Arial" w:hAnsi="Arial"/>
          <w:sz w:val="20"/>
          <w:szCs w:val="20"/>
          <w:color w:val="080808"/>
        </w:rPr>
        <w:t xml:space="preserve"> </w:t>
      </w:r>
      <w:r>
        <w:rPr>
          <w:rFonts w:ascii="Arial" w:cs="Arial" w:eastAsia="Arial" w:hAnsi="Arial"/>
          <w:sz w:val="20"/>
          <w:szCs w:val="20"/>
          <w:color w:val="000000"/>
        </w:rPr>
        <w:t>Agreement on any occasion shall not be considered a waiver of such party’s rights or deprive such party of the right thereafter to insist upon strict adherence to that term or any other term of this Agreement.</w:t>
      </w:r>
    </w:p>
    <w:p>
      <w:pPr>
        <w:spacing w:after="0" w:line="184"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(e) </w:t>
      </w:r>
      <w:r>
        <w:rPr>
          <w:rFonts w:ascii="Arial" w:cs="Arial" w:eastAsia="Arial" w:hAnsi="Arial"/>
          <w:sz w:val="20"/>
          <w:szCs w:val="20"/>
          <w:u w:val="single" w:color="auto"/>
          <w:color w:val="000000"/>
        </w:rPr>
        <w:t>Severability</w:t>
      </w:r>
      <w:r>
        <w:rPr>
          <w:rFonts w:ascii="Arial" w:cs="Arial" w:eastAsia="Arial" w:hAnsi="Arial"/>
          <w:sz w:val="20"/>
          <w:szCs w:val="20"/>
          <w:color w:val="000000"/>
        </w:rPr>
        <w:t>. In the event that any one or more of the provisions of this Agreement shall</w:t>
      </w:r>
      <w:r>
        <w:rPr>
          <w:rFonts w:ascii="Arial" w:cs="Arial" w:eastAsia="Arial" w:hAnsi="Arial"/>
          <w:sz w:val="20"/>
          <w:szCs w:val="20"/>
          <w:color w:val="080808"/>
        </w:rPr>
        <w:t xml:space="preserve"> </w:t>
      </w:r>
      <w:r>
        <w:rPr>
          <w:rFonts w:ascii="Arial" w:cs="Arial" w:eastAsia="Arial" w:hAnsi="Arial"/>
          <w:sz w:val="20"/>
          <w:szCs w:val="20"/>
          <w:color w:val="000000"/>
        </w:rPr>
        <w:t>be or become invalid, illegal or unenforceable in any respect, the validity, legality and enforceability of the remaining provisions of this Agreement shall not be affected thereby.</w:t>
      </w:r>
    </w:p>
    <w:p>
      <w:pPr>
        <w:spacing w:after="0" w:line="184"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(f) </w:t>
      </w:r>
      <w:r>
        <w:rPr>
          <w:rFonts w:ascii="Arial" w:cs="Arial" w:eastAsia="Arial" w:hAnsi="Arial"/>
          <w:sz w:val="20"/>
          <w:szCs w:val="20"/>
          <w:u w:val="single" w:color="auto"/>
          <w:color w:val="000000"/>
        </w:rPr>
        <w:t>Assignment</w:t>
      </w:r>
      <w:r>
        <w:rPr>
          <w:rFonts w:ascii="Arial" w:cs="Arial" w:eastAsia="Arial" w:hAnsi="Arial"/>
          <w:sz w:val="20"/>
          <w:szCs w:val="20"/>
          <w:color w:val="000000"/>
        </w:rPr>
        <w:t>. This Agreement, and all of Executive’s rights and duties hereunder, shall not</w:t>
      </w:r>
      <w:r>
        <w:rPr>
          <w:rFonts w:ascii="Arial" w:cs="Arial" w:eastAsia="Arial" w:hAnsi="Arial"/>
          <w:sz w:val="20"/>
          <w:szCs w:val="20"/>
          <w:color w:val="080808"/>
        </w:rPr>
        <w:t xml:space="preserve"> </w:t>
      </w:r>
      <w:r>
        <w:rPr>
          <w:rFonts w:ascii="Arial" w:cs="Arial" w:eastAsia="Arial" w:hAnsi="Arial"/>
          <w:sz w:val="20"/>
          <w:szCs w:val="20"/>
          <w:color w:val="000000"/>
        </w:rPr>
        <w:t xml:space="preserve">be assignable or delegable by Executive. Any purported assignment or delegation by Executive in violation of the foregoing shall be null and </w:t>
      </w:r>
      <w:r>
        <w:rPr>
          <w:rFonts w:ascii="Arial" w:cs="Arial" w:eastAsia="Arial" w:hAnsi="Arial"/>
          <w:sz w:val="20"/>
          <w:szCs w:val="20"/>
          <w:i w:val="1"/>
          <w:iCs w:val="1"/>
          <w:color w:val="000000"/>
        </w:rPr>
        <w:t>void ab initio</w:t>
      </w:r>
      <w:r>
        <w:rPr>
          <w:rFonts w:ascii="Arial" w:cs="Arial" w:eastAsia="Arial" w:hAnsi="Arial"/>
          <w:sz w:val="20"/>
          <w:szCs w:val="20"/>
          <w:color w:val="000000"/>
        </w:rPr>
        <w:t xml:space="preserve"> and of no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69" w:name="page170"/>
    <w:bookmarkEnd w:id="169"/>
    <w:p>
      <w:pPr>
        <w:jc w:val="both"/>
        <w:spacing w:after="0" w:line="259" w:lineRule="auto"/>
        <w:rPr>
          <w:sz w:val="20"/>
          <w:szCs w:val="20"/>
          <w:color w:val="auto"/>
        </w:rPr>
      </w:pPr>
      <w:r>
        <w:rPr>
          <w:rFonts w:ascii="Arial" w:cs="Arial" w:eastAsia="Arial" w:hAnsi="Arial"/>
          <w:sz w:val="20"/>
          <w:szCs w:val="20"/>
          <w:color w:val="auto"/>
        </w:rPr>
        <w:t>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4" w:lineRule="exact"/>
        <w:rPr>
          <w:sz w:val="20"/>
          <w:szCs w:val="20"/>
          <w:color w:val="auto"/>
        </w:rPr>
      </w:pPr>
    </w:p>
    <w:p>
      <w:pPr>
        <w:jc w:val="both"/>
        <w:ind w:firstLine="1729"/>
        <w:spacing w:after="0" w:line="250" w:lineRule="auto"/>
        <w:rPr>
          <w:sz w:val="20"/>
          <w:szCs w:val="20"/>
          <w:color w:val="auto"/>
        </w:rPr>
      </w:pPr>
      <w:r>
        <w:rPr>
          <w:rFonts w:ascii="Arial" w:cs="Arial" w:eastAsia="Arial" w:hAnsi="Arial"/>
          <w:sz w:val="20"/>
          <w:szCs w:val="20"/>
          <w:color w:val="080808"/>
        </w:rPr>
        <w:t xml:space="preserve">(g) </w:t>
      </w:r>
      <w:r>
        <w:rPr>
          <w:rFonts w:ascii="Arial" w:cs="Arial" w:eastAsia="Arial" w:hAnsi="Arial"/>
          <w:sz w:val="20"/>
          <w:szCs w:val="20"/>
          <w:u w:val="single" w:color="auto"/>
          <w:color w:val="000000"/>
        </w:rPr>
        <w:t>Counterclaim; No Mitigation</w:t>
      </w:r>
      <w:r>
        <w:rPr>
          <w:rFonts w:ascii="Arial" w:cs="Arial" w:eastAsia="Arial" w:hAnsi="Arial"/>
          <w:sz w:val="20"/>
          <w:szCs w:val="20"/>
          <w:color w:val="000000"/>
        </w:rPr>
        <w:t>. The Company’s obligation to pay Executive the amounts</w:t>
      </w:r>
      <w:r>
        <w:rPr>
          <w:rFonts w:ascii="Arial" w:cs="Arial" w:eastAsia="Arial" w:hAnsi="Arial"/>
          <w:sz w:val="20"/>
          <w:szCs w:val="20"/>
          <w:color w:val="080808"/>
        </w:rPr>
        <w:t xml:space="preserve"> </w:t>
      </w:r>
      <w:r>
        <w:rPr>
          <w:rFonts w:ascii="Arial" w:cs="Arial" w:eastAsia="Arial" w:hAnsi="Arial"/>
          <w:sz w:val="20"/>
          <w:szCs w:val="20"/>
          <w:color w:val="000000"/>
        </w:rPr>
        <w:t>provided and to make the arrangements provided hereunder shall be subject to counterclaim and to seek recoupment of amounts owed by Executive to the Company or its affiliates. Executive shall not be required to mitigate the amount of any payment provided for pursuant to this Agreement by seeking other employment, and such payments shall not be reduced by any compensation or benefits received from any subsequent employer or other endeavor.</w:t>
      </w:r>
    </w:p>
    <w:p>
      <w:pPr>
        <w:spacing w:after="0" w:line="195" w:lineRule="exact"/>
        <w:rPr>
          <w:sz w:val="20"/>
          <w:szCs w:val="20"/>
          <w:color w:val="auto"/>
        </w:rPr>
      </w:pPr>
    </w:p>
    <w:p>
      <w:pPr>
        <w:jc w:val="both"/>
        <w:ind w:left="1740"/>
        <w:spacing w:after="0"/>
        <w:tabs>
          <w:tab w:leader="none" w:pos="3800" w:val="left"/>
        </w:tabs>
        <w:rPr>
          <w:sz w:val="20"/>
          <w:szCs w:val="20"/>
          <w:color w:val="auto"/>
        </w:rPr>
      </w:pPr>
      <w:r>
        <w:rPr>
          <w:rFonts w:ascii="Arial" w:cs="Arial" w:eastAsia="Arial" w:hAnsi="Arial"/>
          <w:sz w:val="20"/>
          <w:szCs w:val="20"/>
          <w:color w:val="080808"/>
        </w:rPr>
        <w:t>(h)</w:t>
      </w:r>
      <w:r>
        <w:rPr>
          <w:sz w:val="20"/>
          <w:szCs w:val="20"/>
          <w:color w:val="auto"/>
        </w:rPr>
        <w:tab/>
      </w: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Notwithstanding anything herein to the contrary,</w:t>
      </w:r>
    </w:p>
    <w:p>
      <w:pPr>
        <w:spacing w:after="0" w:line="9" w:lineRule="exact"/>
        <w:rPr>
          <w:sz w:val="20"/>
          <w:szCs w:val="20"/>
          <w:color w:val="auto"/>
        </w:rPr>
      </w:pPr>
    </w:p>
    <w:p>
      <w:pPr>
        <w:jc w:val="both"/>
        <w:ind w:firstLine="3"/>
        <w:spacing w:after="0" w:line="271" w:lineRule="auto"/>
        <w:tabs>
          <w:tab w:leader="none" w:pos="2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if at the time of Executive’s termination of employment with the Company Executive is a “specified employee” as 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Executive) until the date that is six months following Executive’s termination of employment with the Company (or the earliest date as is permitted under Section 409A of the Code) and (ii) if any other payments of money or other benefits due to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For purposes of Section 409A of the Code, each payment made under this Agreement shall be designated as a “separate payment” within the meaning of the Section 409A of the Code, and references herein to Executive’s “termination of employment” shall refer to Executive’s separation from service with the Company within the meaning of Section 409A. To the extent any reimbursements or in-kind benefits due to Executive under this Agreement constitute “deferred compensation” under Section 409A of the Code, any such reimbursements or in-kind benefits shall be paid to Executive in a manner consistent with Treas. Reg. Section 1.409A-3(i)(1)(iv). The Company shall consult with Executive in good faith regarding the implementation of the provisions of this </w:t>
      </w:r>
      <w:r>
        <w:rPr>
          <w:rFonts w:ascii="Arial" w:cs="Arial" w:eastAsia="Arial" w:hAnsi="Arial"/>
          <w:sz w:val="18"/>
          <w:szCs w:val="18"/>
          <w:u w:val="single" w:color="auto"/>
          <w:color w:val="auto"/>
        </w:rPr>
        <w:t>Section 11(h)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its employees or representatives shall have any liability to Executive with respect to thereto or any tax imposed under Section 409A.</w:t>
      </w:r>
    </w:p>
    <w:p>
      <w:pPr>
        <w:spacing w:after="0" w:line="186" w:lineRule="exact"/>
        <w:rPr>
          <w:sz w:val="20"/>
          <w:szCs w:val="20"/>
          <w:color w:val="auto"/>
        </w:rPr>
      </w:pPr>
    </w:p>
    <w:p>
      <w:pPr>
        <w:jc w:val="both"/>
        <w:ind w:firstLine="1729"/>
        <w:spacing w:after="0" w:line="249" w:lineRule="auto"/>
        <w:rPr>
          <w:sz w:val="20"/>
          <w:szCs w:val="20"/>
          <w:color w:val="auto"/>
        </w:rPr>
      </w:pPr>
      <w:r>
        <w:rPr>
          <w:rFonts w:ascii="Arial" w:cs="Arial" w:eastAsia="Arial" w:hAnsi="Arial"/>
          <w:sz w:val="20"/>
          <w:szCs w:val="20"/>
          <w:color w:val="080808"/>
        </w:rPr>
        <w:t xml:space="preserve">(i) </w:t>
      </w:r>
      <w:r>
        <w:rPr>
          <w:rFonts w:ascii="Arial" w:cs="Arial" w:eastAsia="Arial" w:hAnsi="Arial"/>
          <w:sz w:val="20"/>
          <w:szCs w:val="20"/>
          <w:u w:val="single" w:color="auto"/>
          <w:color w:val="000000"/>
        </w:rPr>
        <w:t>Code Section 280G</w:t>
      </w:r>
      <w:r>
        <w:rPr>
          <w:rFonts w:ascii="Arial" w:cs="Arial" w:eastAsia="Arial" w:hAnsi="Arial"/>
          <w:sz w:val="20"/>
          <w:szCs w:val="20"/>
          <w:color w:val="000000"/>
        </w:rPr>
        <w:t>. Notwithstanding anything in this Agreement to the contrary, if any</w:t>
      </w:r>
      <w:r>
        <w:rPr>
          <w:rFonts w:ascii="Arial" w:cs="Arial" w:eastAsia="Arial" w:hAnsi="Arial"/>
          <w:sz w:val="20"/>
          <w:szCs w:val="20"/>
          <w:color w:val="080808"/>
        </w:rPr>
        <w:t xml:space="preserve"> </w:t>
      </w:r>
      <w:r>
        <w:rPr>
          <w:rFonts w:ascii="Arial" w:cs="Arial" w:eastAsia="Arial" w:hAnsi="Arial"/>
          <w:sz w:val="20"/>
          <w:szCs w:val="20"/>
          <w:color w:val="000000"/>
        </w:rPr>
        <w:t>payment or distribution Executive would receive pursuant to this Agreement or otherwise (“</w:t>
      </w:r>
      <w:r>
        <w:rPr>
          <w:rFonts w:ascii="Arial" w:cs="Arial" w:eastAsia="Arial" w:hAnsi="Arial"/>
          <w:sz w:val="20"/>
          <w:szCs w:val="20"/>
          <w:u w:val="single" w:color="auto"/>
          <w:color w:val="000000"/>
        </w:rPr>
        <w:t>Payment</w:t>
      </w:r>
      <w:r>
        <w:rPr>
          <w:rFonts w:ascii="Arial" w:cs="Arial" w:eastAsia="Arial" w:hAnsi="Arial"/>
          <w:sz w:val="20"/>
          <w:szCs w:val="20"/>
          <w:color w:val="000000"/>
        </w:rPr>
        <w:t>”) would (a) constitute a “parachute payment” within the meaning of Section 280G of the Code, and (b) but for this sentence, be subject to the excise tax imposed by Section 4999 of the Code (the “</w:t>
      </w:r>
      <w:r>
        <w:rPr>
          <w:rFonts w:ascii="Arial" w:cs="Arial" w:eastAsia="Arial" w:hAnsi="Arial"/>
          <w:sz w:val="20"/>
          <w:szCs w:val="20"/>
          <w:u w:val="single" w:color="auto"/>
          <w:color w:val="000000"/>
        </w:rPr>
        <w:t>Excise Tax</w:t>
      </w:r>
      <w:r>
        <w:rPr>
          <w:rFonts w:ascii="Arial" w:cs="Arial" w:eastAsia="Arial" w:hAnsi="Arial"/>
          <w:sz w:val="20"/>
          <w:szCs w:val="20"/>
          <w:color w:val="000000"/>
        </w:rPr>
        <w:t>”), then such Payment shall either be (i) delivered in full, or (ii) delivered as to such lesser extent which would result in no portion of such Payment being subject to the Excise Tax, whichever of the foregoing amounts, taking into account the applicable federal,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70" w:name="page171"/>
    <w:bookmarkEnd w:id="170"/>
    <w:p>
      <w:pPr>
        <w:jc w:val="both"/>
        <w:spacing w:after="0" w:line="260" w:lineRule="auto"/>
        <w:rPr>
          <w:sz w:val="20"/>
          <w:szCs w:val="20"/>
          <w:color w:val="auto"/>
        </w:rPr>
      </w:pPr>
      <w:r>
        <w:rPr>
          <w:rFonts w:ascii="Arial" w:cs="Arial" w:eastAsia="Arial" w:hAnsi="Arial"/>
          <w:sz w:val="19"/>
          <w:szCs w:val="19"/>
          <w:color w:val="auto"/>
        </w:rPr>
        <w:t>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hereunder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jc w:val="both"/>
        <w:ind w:firstLine="1729"/>
        <w:spacing w:after="0" w:line="250" w:lineRule="auto"/>
        <w:rPr>
          <w:sz w:val="20"/>
          <w:szCs w:val="20"/>
          <w:color w:val="auto"/>
        </w:rPr>
      </w:pPr>
      <w:r>
        <w:rPr>
          <w:rFonts w:ascii="Arial" w:cs="Arial" w:eastAsia="Arial" w:hAnsi="Arial"/>
          <w:sz w:val="20"/>
          <w:szCs w:val="20"/>
          <w:color w:val="080808"/>
        </w:rPr>
        <w:t xml:space="preserve">(j) </w:t>
      </w:r>
      <w:r>
        <w:rPr>
          <w:rFonts w:ascii="Arial" w:cs="Arial" w:eastAsia="Arial" w:hAnsi="Arial"/>
          <w:sz w:val="20"/>
          <w:szCs w:val="20"/>
          <w:u w:val="single" w:color="auto"/>
          <w:color w:val="000000"/>
        </w:rPr>
        <w:t>Successors; Binding Agreement</w:t>
      </w:r>
      <w:r>
        <w:rPr>
          <w:rFonts w:ascii="Arial" w:cs="Arial" w:eastAsia="Arial" w:hAnsi="Arial"/>
          <w:sz w:val="20"/>
          <w:szCs w:val="20"/>
          <w:color w:val="000000"/>
        </w:rPr>
        <w:t>. This Agreement shall inure to the benefit of and be</w:t>
      </w:r>
      <w:r>
        <w:rPr>
          <w:rFonts w:ascii="Arial" w:cs="Arial" w:eastAsia="Arial" w:hAnsi="Arial"/>
          <w:sz w:val="20"/>
          <w:szCs w:val="20"/>
          <w:color w:val="080808"/>
        </w:rPr>
        <w:t xml:space="preserve"> </w:t>
      </w:r>
      <w:r>
        <w:rPr>
          <w:rFonts w:ascii="Arial" w:cs="Arial" w:eastAsia="Arial" w:hAnsi="Arial"/>
          <w:sz w:val="20"/>
          <w:szCs w:val="20"/>
          <w:color w:val="000000"/>
        </w:rPr>
        <w:t xml:space="preserve">binding upon personal or legal representatives, executors, administrators, successors, heirs, distributees, devisees and legatees. In the event of Executive’s death prior to receipt of all amounts payable to Executive (including any unpaid amounts due under </w:t>
      </w:r>
      <w:r>
        <w:rPr>
          <w:rFonts w:ascii="Arial" w:cs="Arial" w:eastAsia="Arial" w:hAnsi="Arial"/>
          <w:sz w:val="20"/>
          <w:szCs w:val="20"/>
          <w:u w:val="single" w:color="auto"/>
          <w:color w:val="000000"/>
        </w:rPr>
        <w:t>Section 7</w:t>
      </w:r>
      <w:r>
        <w:rPr>
          <w:rFonts w:ascii="Arial" w:cs="Arial" w:eastAsia="Arial" w:hAnsi="Arial"/>
          <w:sz w:val="20"/>
          <w:szCs w:val="20"/>
          <w:color w:val="000000"/>
        </w:rPr>
        <w:t>), such amounts shall be paid to Executive’s beneficiary designated in a Notice provided to and accepted by the Company or, in the absence of such designation, to Executive’s estate.</w:t>
      </w:r>
    </w:p>
    <w:p>
      <w:pPr>
        <w:spacing w:after="0" w:line="195" w:lineRule="exact"/>
        <w:rPr>
          <w:sz w:val="20"/>
          <w:szCs w:val="20"/>
          <w:color w:val="auto"/>
        </w:rPr>
      </w:pPr>
    </w:p>
    <w:p>
      <w:pPr>
        <w:jc w:val="both"/>
        <w:ind w:firstLine="1729"/>
        <w:spacing w:after="0" w:line="249" w:lineRule="auto"/>
        <w:rPr>
          <w:sz w:val="20"/>
          <w:szCs w:val="20"/>
          <w:color w:val="auto"/>
        </w:rPr>
      </w:pPr>
      <w:r>
        <w:rPr>
          <w:rFonts w:ascii="Arial" w:cs="Arial" w:eastAsia="Arial" w:hAnsi="Arial"/>
          <w:sz w:val="20"/>
          <w:szCs w:val="20"/>
          <w:color w:val="080808"/>
        </w:rPr>
        <w:t xml:space="preserve">(k) </w:t>
      </w:r>
      <w:r>
        <w:rPr>
          <w:rFonts w:ascii="Arial" w:cs="Arial" w:eastAsia="Arial" w:hAnsi="Arial"/>
          <w:sz w:val="20"/>
          <w:szCs w:val="20"/>
          <w:u w:val="single" w:color="auto"/>
          <w:color w:val="000000"/>
        </w:rPr>
        <w:t>Notice</w:t>
      </w:r>
      <w:r>
        <w:rPr>
          <w:rFonts w:ascii="Arial" w:cs="Arial" w:eastAsia="Arial" w:hAnsi="Arial"/>
          <w:sz w:val="20"/>
          <w:szCs w:val="20"/>
          <w:color w:val="000000"/>
        </w:rPr>
        <w:t>. For the purpose of this Agreement, notices and all other communications</w:t>
      </w:r>
      <w:r>
        <w:rPr>
          <w:rFonts w:ascii="Arial" w:cs="Arial" w:eastAsia="Arial" w:hAnsi="Arial"/>
          <w:sz w:val="20"/>
          <w:szCs w:val="20"/>
          <w:color w:val="080808"/>
        </w:rPr>
        <w:t xml:space="preserve"> </w:t>
      </w:r>
      <w:r>
        <w:rPr>
          <w:rFonts w:ascii="Arial" w:cs="Arial" w:eastAsia="Arial" w:hAnsi="Arial"/>
          <w:sz w:val="20"/>
          <w:szCs w:val="20"/>
          <w:color w:val="000000"/>
        </w:rPr>
        <w:t>provided for in the Agreement shall be in writing and shall be deemed to have been duly given when delivered by hand or overnight courier or three postal delivery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(each such communication, “</w:t>
      </w:r>
      <w:r>
        <w:rPr>
          <w:rFonts w:ascii="Arial" w:cs="Arial" w:eastAsia="Arial" w:hAnsi="Arial"/>
          <w:sz w:val="20"/>
          <w:szCs w:val="20"/>
          <w:u w:val="single" w:color="auto"/>
          <w:color w:val="000000"/>
        </w:rPr>
        <w:t>Notice</w:t>
      </w:r>
      <w:r>
        <w:rPr>
          <w:rFonts w:ascii="Arial" w:cs="Arial" w:eastAsia="Arial" w:hAnsi="Arial"/>
          <w:sz w:val="20"/>
          <w:szCs w:val="20"/>
          <w:color w:val="000000"/>
        </w:rPr>
        <w:t>”).</w:t>
      </w:r>
    </w:p>
    <w:p>
      <w:pPr>
        <w:spacing w:after="0" w:line="24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the Company, addressed to:</w:t>
      </w:r>
    </w:p>
    <w:p>
      <w:pPr>
        <w:spacing w:after="0" w:line="223" w:lineRule="exact"/>
        <w:rPr>
          <w:sz w:val="20"/>
          <w:szCs w:val="20"/>
          <w:color w:val="auto"/>
        </w:rPr>
      </w:pPr>
    </w:p>
    <w:p>
      <w:pPr>
        <w:ind w:left="2600"/>
        <w:spacing w:after="0"/>
        <w:rPr>
          <w:sz w:val="20"/>
          <w:szCs w:val="20"/>
          <w:color w:val="auto"/>
        </w:rPr>
      </w:pPr>
      <w:r>
        <w:rPr>
          <w:rFonts w:ascii="Arial" w:cs="Arial" w:eastAsia="Arial" w:hAnsi="Arial"/>
          <w:sz w:val="21"/>
          <w:szCs w:val="21"/>
          <w:color w:val="080808"/>
        </w:rPr>
        <w:t>Eledon Pharmaceuticals, Inc.</w:t>
      </w:r>
    </w:p>
    <w:p>
      <w:pPr>
        <w:ind w:left="2600"/>
        <w:spacing w:after="0"/>
        <w:rPr>
          <w:sz w:val="20"/>
          <w:szCs w:val="20"/>
          <w:color w:val="auto"/>
        </w:rPr>
      </w:pPr>
      <w:r>
        <w:rPr>
          <w:rFonts w:ascii="Arial" w:cs="Arial" w:eastAsia="Arial" w:hAnsi="Arial"/>
          <w:sz w:val="21"/>
          <w:szCs w:val="21"/>
          <w:color w:val="080808"/>
        </w:rPr>
        <w:t>Attn: Chief Executive Officer</w:t>
      </w:r>
    </w:p>
    <w:p>
      <w:pPr>
        <w:ind w:left="2600"/>
        <w:spacing w:after="0" w:line="230" w:lineRule="auto"/>
        <w:rPr>
          <w:sz w:val="20"/>
          <w:szCs w:val="20"/>
          <w:color w:val="auto"/>
        </w:rPr>
      </w:pPr>
      <w:r>
        <w:rPr>
          <w:rFonts w:ascii="Arial" w:cs="Arial" w:eastAsia="Arial" w:hAnsi="Arial"/>
          <w:sz w:val="21"/>
          <w:szCs w:val="21"/>
          <w:color w:val="auto"/>
        </w:rPr>
        <w:t>19900 MacArthur Blvd., Suite 550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Irvine, California</w:t>
      </w:r>
    </w:p>
    <w:p>
      <w:pPr>
        <w:spacing w:after="0" w:line="20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Executive, to the address listed in the Company’s payroll records from time to time.</w:t>
      </w:r>
    </w:p>
    <w:p>
      <w:pPr>
        <w:spacing w:after="0" w:line="223"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(l) </w:t>
      </w:r>
      <w:r>
        <w:rPr>
          <w:rFonts w:ascii="Arial" w:cs="Arial" w:eastAsia="Arial" w:hAnsi="Arial"/>
          <w:sz w:val="20"/>
          <w:szCs w:val="20"/>
          <w:u w:val="single" w:color="auto"/>
          <w:color w:val="000000"/>
        </w:rPr>
        <w:t>Executive Representation</w:t>
      </w:r>
      <w:r>
        <w:rPr>
          <w:rFonts w:ascii="Arial" w:cs="Arial" w:eastAsia="Arial" w:hAnsi="Arial"/>
          <w:sz w:val="20"/>
          <w:szCs w:val="20"/>
          <w:color w:val="000000"/>
        </w:rPr>
        <w:t>. Executive hereby represents to the Company that the execution</w:t>
      </w:r>
      <w:r>
        <w:rPr>
          <w:rFonts w:ascii="Arial" w:cs="Arial" w:eastAsia="Arial" w:hAnsi="Arial"/>
          <w:sz w:val="20"/>
          <w:szCs w:val="20"/>
          <w:color w:val="080808"/>
        </w:rPr>
        <w:t xml:space="preserve"> </w:t>
      </w:r>
      <w:r>
        <w:rPr>
          <w:rFonts w:ascii="Arial" w:cs="Arial" w:eastAsia="Arial" w:hAnsi="Arial"/>
          <w:sz w:val="20"/>
          <w:szCs w:val="20"/>
          <w:color w:val="000000"/>
        </w:rPr>
        <w:t>and delivery of this Agreement by Executive and the Company and the performance by Executive of Executive’s duties hereunder shall not constitute a breach of, or otherwise contravene, the terms of any employment agreement or other agreement or policy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71" w:name="page172"/>
    <w:bookmarkEnd w:id="171"/>
    <w:p>
      <w:pPr>
        <w:spacing w:after="0"/>
        <w:rPr>
          <w:sz w:val="20"/>
          <w:szCs w:val="20"/>
          <w:color w:val="auto"/>
        </w:rPr>
      </w:pPr>
      <w:r>
        <w:rPr>
          <w:rFonts w:ascii="Arial" w:cs="Arial" w:eastAsia="Arial" w:hAnsi="Arial"/>
          <w:sz w:val="21"/>
          <w:szCs w:val="21"/>
          <w:color w:val="auto"/>
        </w:rPr>
        <w:t>which Executive is a party or otherwise bound.</w:t>
      </w:r>
    </w:p>
    <w:p>
      <w:pPr>
        <w:spacing w:after="0" w:line="223" w:lineRule="exact"/>
        <w:rPr>
          <w:sz w:val="20"/>
          <w:szCs w:val="20"/>
          <w:color w:val="auto"/>
        </w:rPr>
      </w:pPr>
    </w:p>
    <w:p>
      <w:pPr>
        <w:jc w:val="both"/>
        <w:ind w:firstLine="1729"/>
        <w:spacing w:after="0" w:line="259" w:lineRule="auto"/>
        <w:rPr>
          <w:sz w:val="20"/>
          <w:szCs w:val="20"/>
          <w:color w:val="auto"/>
        </w:rPr>
      </w:pPr>
      <w:r>
        <w:rPr>
          <w:rFonts w:ascii="Arial" w:cs="Arial" w:eastAsia="Arial" w:hAnsi="Arial"/>
          <w:sz w:val="20"/>
          <w:szCs w:val="20"/>
          <w:color w:val="080808"/>
        </w:rPr>
        <w:t xml:space="preserve">(m) </w:t>
      </w:r>
      <w:r>
        <w:rPr>
          <w:rFonts w:ascii="Arial" w:cs="Arial" w:eastAsia="Arial" w:hAnsi="Arial"/>
          <w:sz w:val="20"/>
          <w:szCs w:val="20"/>
          <w:u w:val="single" w:color="auto"/>
          <w:color w:val="000000"/>
        </w:rPr>
        <w:t>Prior Agreements</w:t>
      </w:r>
      <w:r>
        <w:rPr>
          <w:rFonts w:ascii="Arial" w:cs="Arial" w:eastAsia="Arial" w:hAnsi="Arial"/>
          <w:sz w:val="20"/>
          <w:szCs w:val="20"/>
          <w:color w:val="000000"/>
        </w:rPr>
        <w:t>. This Agreement supersedes all prior agreements and understandings</w:t>
      </w:r>
      <w:r>
        <w:rPr>
          <w:rFonts w:ascii="Arial" w:cs="Arial" w:eastAsia="Arial" w:hAnsi="Arial"/>
          <w:sz w:val="20"/>
          <w:szCs w:val="20"/>
          <w:color w:val="080808"/>
        </w:rPr>
        <w:t xml:space="preserve"> </w:t>
      </w:r>
      <w:r>
        <w:rPr>
          <w:rFonts w:ascii="Arial" w:cs="Arial" w:eastAsia="Arial" w:hAnsi="Arial"/>
          <w:sz w:val="20"/>
          <w:szCs w:val="20"/>
          <w:color w:val="000000"/>
        </w:rPr>
        <w:t>(including verbal agreements) between Executive and the Company and/or its affiliates regarding the terms and conditions of Executive’s employment with the Company and/or its affiliates.</w:t>
      </w:r>
    </w:p>
    <w:p>
      <w:pPr>
        <w:spacing w:after="0" w:line="184" w:lineRule="exact"/>
        <w:rPr>
          <w:sz w:val="20"/>
          <w:szCs w:val="20"/>
          <w:color w:val="auto"/>
        </w:rPr>
      </w:pPr>
    </w:p>
    <w:p>
      <w:pPr>
        <w:jc w:val="both"/>
        <w:ind w:firstLine="1729"/>
        <w:spacing w:after="0" w:line="253" w:lineRule="auto"/>
        <w:rPr>
          <w:sz w:val="20"/>
          <w:szCs w:val="20"/>
          <w:color w:val="auto"/>
        </w:rPr>
      </w:pPr>
      <w:r>
        <w:rPr>
          <w:rFonts w:ascii="Arial" w:cs="Arial" w:eastAsia="Arial" w:hAnsi="Arial"/>
          <w:sz w:val="20"/>
          <w:szCs w:val="20"/>
          <w:color w:val="080808"/>
        </w:rPr>
        <w:t xml:space="preserve">(n) </w:t>
      </w:r>
      <w:r>
        <w:rPr>
          <w:rFonts w:ascii="Arial" w:cs="Arial" w:eastAsia="Arial" w:hAnsi="Arial"/>
          <w:sz w:val="20"/>
          <w:szCs w:val="20"/>
          <w:u w:val="single" w:color="auto"/>
          <w:color w:val="000000"/>
        </w:rPr>
        <w:t>Cooperation</w:t>
      </w:r>
      <w:r>
        <w:rPr>
          <w:rFonts w:ascii="Arial" w:cs="Arial" w:eastAsia="Arial" w:hAnsi="Arial"/>
          <w:sz w:val="20"/>
          <w:szCs w:val="20"/>
          <w:color w:val="000000"/>
        </w:rPr>
        <w:t>. Executive shall provide Executive’s reasonable cooperation in connection</w:t>
      </w:r>
      <w:r>
        <w:rPr>
          <w:rFonts w:ascii="Arial" w:cs="Arial" w:eastAsia="Arial" w:hAnsi="Arial"/>
          <w:sz w:val="20"/>
          <w:szCs w:val="20"/>
          <w:color w:val="080808"/>
        </w:rPr>
        <w:t xml:space="preserve"> </w:t>
      </w:r>
      <w:r>
        <w:rPr>
          <w:rFonts w:ascii="Arial" w:cs="Arial" w:eastAsia="Arial" w:hAnsi="Arial"/>
          <w:sz w:val="20"/>
          <w:szCs w:val="20"/>
          <w:color w:val="000000"/>
        </w:rPr>
        <w:t>with any action or proceeding (or any appeal from any action or proceeding) which relates to events occurring during Executive’s employment hereunder, provided, that, following termination of Executive’s employment, the Company shall pay all reasonable expenses incurred by Executive in providing such cooperation. This provision shall survive any termination of this Agreement.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ind w:left="1740"/>
              <w:spacing w:after="0"/>
              <w:rPr>
                <w:sz w:val="20"/>
                <w:szCs w:val="20"/>
                <w:color w:val="auto"/>
              </w:rPr>
            </w:pPr>
            <w:r>
              <w:rPr>
                <w:rFonts w:ascii="Arial" w:cs="Arial" w:eastAsia="Arial" w:hAnsi="Arial"/>
                <w:sz w:val="20"/>
                <w:szCs w:val="20"/>
                <w:color w:val="080808"/>
              </w:rPr>
              <w:t>(o)</w:t>
            </w:r>
          </w:p>
        </w:tc>
        <w:tc>
          <w:tcPr>
            <w:tcW w:w="7420" w:type="dxa"/>
            <w:vAlign w:val="bottom"/>
            <w:gridSpan w:val="3"/>
          </w:tcPr>
          <w:p>
            <w:pPr>
              <w:spacing w:after="0"/>
              <w:rPr>
                <w:sz w:val="20"/>
                <w:szCs w:val="20"/>
                <w:color w:val="auto"/>
              </w:rPr>
            </w:pPr>
            <w:r>
              <w:rPr>
                <w:rFonts w:ascii="Arial" w:cs="Arial" w:eastAsia="Arial" w:hAnsi="Arial"/>
                <w:sz w:val="21"/>
                <w:szCs w:val="21"/>
                <w:color w:val="auto"/>
                <w:w w:val="92"/>
              </w:rPr>
              <w:t>Withholding Taxes. The Company may withhold from any amounts payable under this</w:t>
            </w:r>
          </w:p>
        </w:tc>
      </w:tr>
      <w:tr>
        <w:trPr>
          <w:trHeight w:val="20"/>
        </w:trPr>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61"/>
        </w:trPr>
        <w:tc>
          <w:tcPr>
            <w:tcW w:w="11240" w:type="dxa"/>
            <w:vAlign w:val="bottom"/>
            <w:gridSpan w:val="4"/>
          </w:tcPr>
          <w:p>
            <w:pPr>
              <w:spacing w:after="0"/>
              <w:rPr>
                <w:sz w:val="20"/>
                <w:szCs w:val="20"/>
                <w:color w:val="auto"/>
              </w:rPr>
            </w:pPr>
            <w:r>
              <w:rPr>
                <w:rFonts w:ascii="Arial" w:cs="Arial" w:eastAsia="Arial" w:hAnsi="Arial"/>
                <w:sz w:val="21"/>
                <w:szCs w:val="21"/>
                <w:color w:val="auto"/>
                <w:w w:val="96"/>
              </w:rPr>
              <w:t>Agreement such federal, state and local taxes as may be required to be withheld pursuant to any applicable law or regulation.</w:t>
            </w:r>
          </w:p>
        </w:tc>
      </w:tr>
      <w:tr>
        <w:trPr>
          <w:trHeight w:val="415"/>
        </w:trPr>
        <w:tc>
          <w:tcPr>
            <w:tcW w:w="3820" w:type="dxa"/>
            <w:vAlign w:val="bottom"/>
          </w:tcPr>
          <w:p>
            <w:pPr>
              <w:ind w:left="1740"/>
              <w:spacing w:after="0"/>
              <w:rPr>
                <w:sz w:val="20"/>
                <w:szCs w:val="20"/>
                <w:color w:val="auto"/>
              </w:rPr>
            </w:pPr>
            <w:r>
              <w:rPr>
                <w:rFonts w:ascii="Arial" w:cs="Arial" w:eastAsia="Arial" w:hAnsi="Arial"/>
                <w:sz w:val="20"/>
                <w:szCs w:val="20"/>
                <w:color w:val="080808"/>
              </w:rPr>
              <w:t>(p)</w:t>
            </w:r>
          </w:p>
        </w:tc>
        <w:tc>
          <w:tcPr>
            <w:tcW w:w="7420" w:type="dxa"/>
            <w:vAlign w:val="bottom"/>
            <w:gridSpan w:val="3"/>
          </w:tcPr>
          <w:p>
            <w:pPr>
              <w:spacing w:after="0"/>
              <w:rPr>
                <w:sz w:val="20"/>
                <w:szCs w:val="20"/>
                <w:color w:val="auto"/>
              </w:rPr>
            </w:pPr>
            <w:r>
              <w:rPr>
                <w:rFonts w:ascii="Arial" w:cs="Arial" w:eastAsia="Arial" w:hAnsi="Arial"/>
                <w:sz w:val="21"/>
                <w:szCs w:val="21"/>
                <w:color w:val="auto"/>
                <w:w w:val="90"/>
              </w:rPr>
              <w:t>Counterparts. This Agreement may be signed in counterparts, each of which shall be an</w:t>
            </w:r>
          </w:p>
        </w:tc>
      </w:tr>
      <w:tr>
        <w:trPr>
          <w:trHeight w:val="20"/>
        </w:trPr>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original, with the same effect as if the signatures thereto and hereto were upon the same instrument.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 this Page]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203200</wp:posOffset>
            </wp:positionV>
            <wp:extent cx="718058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IN WITNESS WHEREOF, the parties hereto have duly executed this Employment Agreement as of the Effective Date.</w:t>
      </w:r>
    </w:p>
    <w:p>
      <w:pPr>
        <w:spacing w:after="0" w:line="257"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ELEDON PHARMACEUTICALS,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Arial" w:cs="Arial" w:eastAsia="Arial" w:hAnsi="Arial"/>
          <w:sz w:val="21"/>
          <w:szCs w:val="21"/>
          <w:u w:val="single" w:color="auto"/>
          <w:color w:val="auto"/>
        </w:rPr>
        <w:t>/s/ David-Alexandre C. Gros, MD</w:t>
      </w:r>
    </w:p>
    <w:p>
      <w:pPr>
        <w:sectPr>
          <w:pgSz w:w="11900" w:h="16838" w:orient="portrait"/>
          <w:cols w:equalWidth="0" w:num="1">
            <w:col w:w="10400"/>
          </w:cols>
          <w:pgMar w:left="320" w:top="776" w:right="1179" w:bottom="1440" w:gutter="0" w:footer="0" w:header="0"/>
        </w:sectPr>
      </w:pPr>
    </w:p>
    <w:p>
      <w:pPr>
        <w:ind w:left="5200"/>
        <w:spacing w:after="0"/>
        <w:rPr>
          <w:sz w:val="20"/>
          <w:szCs w:val="20"/>
          <w:color w:val="auto"/>
        </w:rPr>
      </w:pPr>
      <w:r>
        <w:rPr>
          <w:rFonts w:ascii="Arial" w:cs="Arial" w:eastAsia="Arial" w:hAnsi="Arial"/>
          <w:sz w:val="21"/>
          <w:szCs w:val="21"/>
          <w:color w:val="auto"/>
        </w:rPr>
        <w:t>By:</w:t>
      </w:r>
    </w:p>
    <w:p>
      <w:pPr>
        <w:ind w:left="5200"/>
        <w:spacing w:after="0" w:line="230" w:lineRule="auto"/>
        <w:rPr>
          <w:sz w:val="20"/>
          <w:szCs w:val="20"/>
          <w:color w:val="auto"/>
        </w:rPr>
      </w:pPr>
      <w:r>
        <w:rPr>
          <w:rFonts w:ascii="Arial" w:cs="Arial" w:eastAsia="Arial" w:hAnsi="Arial"/>
          <w:sz w:val="21"/>
          <w:szCs w:val="21"/>
          <w:color w:val="auto"/>
        </w:rPr>
        <w:t>Alexandre C. Gros, MD</w:t>
      </w:r>
    </w:p>
    <w:p>
      <w:pPr>
        <w:spacing w:after="0" w:line="1" w:lineRule="exact"/>
        <w:rPr>
          <w:sz w:val="20"/>
          <w:szCs w:val="20"/>
          <w:color w:val="auto"/>
        </w:rPr>
      </w:pPr>
    </w:p>
    <w:p>
      <w:pPr>
        <w:ind w:left="5180"/>
        <w:spacing w:after="0"/>
        <w:tabs>
          <w:tab w:leader="none" w:pos="60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David-</w:t>
      </w:r>
    </w:p>
    <w:p>
      <w:pPr>
        <w:spacing w:after="0" w:line="638" w:lineRule="exact"/>
        <w:rPr>
          <w:sz w:val="20"/>
          <w:szCs w:val="20"/>
          <w:color w:val="auto"/>
        </w:rPr>
      </w:pPr>
    </w:p>
    <w:p>
      <w:pPr>
        <w:sectPr>
          <w:pgSz w:w="11900" w:h="16838" w:orient="portrait"/>
          <w:cols w:equalWidth="0" w:num="2">
            <w:col w:w="9100" w:space="720"/>
            <w:col w:w="580"/>
          </w:cols>
          <w:pgMar w:left="320" w:top="776" w:right="117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80"/>
        <w:spacing w:after="0"/>
        <w:rPr>
          <w:sz w:val="20"/>
          <w:szCs w:val="20"/>
          <w:color w:val="auto"/>
        </w:rPr>
      </w:pPr>
      <w:r>
        <w:rPr>
          <w:rFonts w:ascii="Arial" w:cs="Arial" w:eastAsia="Arial" w:hAnsi="Arial"/>
          <w:sz w:val="21"/>
          <w:szCs w:val="21"/>
          <w:u w:val="single" w:color="auto"/>
          <w:color w:val="auto"/>
        </w:rPr>
        <w:t>/s/ Paul Little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color w:val="080808"/>
        </w:rPr>
        <w:t>Paul Little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400"/>
          </w:cols>
          <w:pgMar w:left="320" w:top="776" w:right="117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10.11</w:t>
      </w:r>
    </w:p>
    <w:p>
      <w:pPr>
        <w:spacing w:after="0" w:line="217"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ELEDON PHARMACEUTICALS, INC.</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2020 LONG TERM INCENTIVE PLAN</w:t>
      </w:r>
    </w:p>
    <w:p>
      <w:pPr>
        <w:spacing w:after="0" w:line="232" w:lineRule="exact"/>
        <w:rPr>
          <w:sz w:val="20"/>
          <w:szCs w:val="20"/>
          <w:color w:val="auto"/>
        </w:rPr>
      </w:pPr>
    </w:p>
    <w:p>
      <w:pPr>
        <w:ind w:left="560" w:hanging="557"/>
        <w:spacing w:after="0"/>
        <w:tabs>
          <w:tab w:leader="none" w:pos="560"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GENERAL.</w:t>
      </w:r>
    </w:p>
    <w:p>
      <w:pPr>
        <w:spacing w:after="0" w:line="217" w:lineRule="exact"/>
        <w:rPr>
          <w:rFonts w:ascii="Arial" w:cs="Arial" w:eastAsia="Arial" w:hAnsi="Arial"/>
          <w:sz w:val="17"/>
          <w:szCs w:val="17"/>
          <w:b w:val="1"/>
          <w:bCs w:val="1"/>
          <w:color w:val="auto"/>
        </w:rPr>
      </w:pPr>
    </w:p>
    <w:p>
      <w:pPr>
        <w:ind w:right="120" w:firstLine="592"/>
        <w:spacing w:after="0" w:line="279" w:lineRule="auto"/>
        <w:tabs>
          <w:tab w:leader="none" w:pos="82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Successor to Prior Plan. This Plan is the successor to the Novus Therapeutics, Inc. 2014 Stock Incentive Plan (the “Prior Plan”). From and after 12:01 a.m. Eastern time on the Effective Date, no additional stock awards will be granted under the Prior Plan.</w:t>
      </w:r>
    </w:p>
    <w:p>
      <w:pPr>
        <w:spacing w:after="0" w:line="164" w:lineRule="exact"/>
        <w:rPr>
          <w:rFonts w:ascii="Arial" w:cs="Arial" w:eastAsia="Arial" w:hAnsi="Arial"/>
          <w:sz w:val="17"/>
          <w:szCs w:val="17"/>
          <w:color w:val="auto"/>
        </w:rPr>
      </w:pPr>
    </w:p>
    <w:p>
      <w:pPr>
        <w:ind w:left="840" w:hanging="248"/>
        <w:spacing w:after="0"/>
        <w:tabs>
          <w:tab w:leader="none" w:pos="8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Eligible Award Recipients. Employees, Directors and Consultants are eligible to receive Awards.</w:t>
      </w:r>
    </w:p>
    <w:p>
      <w:pPr>
        <w:spacing w:after="0" w:line="217" w:lineRule="exact"/>
        <w:rPr>
          <w:rFonts w:ascii="Arial" w:cs="Arial" w:eastAsia="Arial" w:hAnsi="Arial"/>
          <w:sz w:val="17"/>
          <w:szCs w:val="17"/>
          <w:color w:val="auto"/>
        </w:rPr>
      </w:pPr>
    </w:p>
    <w:p>
      <w:pPr>
        <w:ind w:right="160" w:firstLine="592"/>
        <w:spacing w:after="0" w:line="312" w:lineRule="auto"/>
        <w:tabs>
          <w:tab w:leader="none" w:pos="82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Available Awards. This Plan provides for the grant of the following Awards: (i) Incentive Stock Options; (ii) Non-statutory Stock Options; (iii) Stock Appreciation Rights; (iv) Restricted Stock Awards; (v) Restricted Stock Unit Awards; (vi) Performance Stock Awards; and (vii) Performance Cash Awards.</w:t>
      </w:r>
    </w:p>
    <w:p>
      <w:pPr>
        <w:spacing w:after="0" w:line="140" w:lineRule="exact"/>
        <w:rPr>
          <w:rFonts w:ascii="Arial" w:cs="Arial" w:eastAsia="Arial" w:hAnsi="Arial"/>
          <w:sz w:val="16"/>
          <w:szCs w:val="16"/>
          <w:color w:val="auto"/>
        </w:rPr>
      </w:pPr>
    </w:p>
    <w:p>
      <w:pPr>
        <w:ind w:right="200" w:firstLine="592"/>
        <w:spacing w:after="0" w:line="266" w:lineRule="auto"/>
        <w:tabs>
          <w:tab w:leader="none" w:pos="83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Purpose. This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award recipients may benefit from increases in the value of the Stock.</w:t>
      </w:r>
    </w:p>
    <w:p>
      <w:pPr>
        <w:spacing w:after="0" w:line="316" w:lineRule="exact"/>
        <w:rPr>
          <w:rFonts w:ascii="Arial" w:cs="Arial" w:eastAsia="Arial" w:hAnsi="Arial"/>
          <w:sz w:val="17"/>
          <w:szCs w:val="17"/>
          <w:color w:val="auto"/>
        </w:rPr>
      </w:pPr>
    </w:p>
    <w:p>
      <w:pPr>
        <w:ind w:left="560" w:hanging="557"/>
        <w:spacing w:after="0"/>
        <w:tabs>
          <w:tab w:leader="none" w:pos="560"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ADMINISTRATION.</w:t>
      </w:r>
    </w:p>
    <w:p>
      <w:pPr>
        <w:spacing w:after="0" w:line="113" w:lineRule="exact"/>
        <w:rPr>
          <w:rFonts w:ascii="Arial" w:cs="Arial" w:eastAsia="Arial" w:hAnsi="Arial"/>
          <w:sz w:val="17"/>
          <w:szCs w:val="17"/>
          <w:b w:val="1"/>
          <w:bCs w:val="1"/>
          <w:color w:val="auto"/>
        </w:rPr>
      </w:pPr>
    </w:p>
    <w:p>
      <w:pPr>
        <w:ind w:right="140" w:firstLine="592"/>
        <w:spacing w:after="0" w:line="279" w:lineRule="auto"/>
        <w:tabs>
          <w:tab w:leader="none" w:pos="82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Administration by Board. The Board will administer this Plan. The Board may delegate administration of this Plan to a Committee or Committees, as provided in </w:t>
      </w:r>
      <w:r>
        <w:rPr>
          <w:rFonts w:ascii="Arial" w:cs="Arial" w:eastAsia="Arial" w:hAnsi="Arial"/>
          <w:sz w:val="17"/>
          <w:szCs w:val="17"/>
          <w:u w:val="single" w:color="auto"/>
          <w:color w:val="auto"/>
        </w:rPr>
        <w:t>Section 2(d)</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840" w:hanging="248"/>
        <w:spacing w:after="0"/>
        <w:tabs>
          <w:tab w:leader="none" w:pos="8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Powers of Board. The Board will have the power, subject to, and within the limitations of, the express provisions of this Plan:</w:t>
      </w:r>
    </w:p>
    <w:p>
      <w:pPr>
        <w:spacing w:after="0" w:line="217" w:lineRule="exact"/>
        <w:rPr>
          <w:sz w:val="20"/>
          <w:szCs w:val="20"/>
          <w:color w:val="auto"/>
        </w:rPr>
      </w:pPr>
    </w:p>
    <w:p>
      <w:pPr>
        <w:ind w:left="1540" w:hanging="214"/>
        <w:spacing w:after="0"/>
        <w:tabs>
          <w:tab w:leader="none" w:pos="15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To determine: (A) who will be granted Awards; (B) when and how each Award will be granted; (C) what type of Award will be granted;</w:t>
      </w:r>
    </w:p>
    <w:p>
      <w:pPr>
        <w:spacing w:after="0" w:line="33" w:lineRule="exact"/>
        <w:rPr>
          <w:rFonts w:ascii="Arial" w:cs="Arial" w:eastAsia="Arial" w:hAnsi="Arial"/>
          <w:sz w:val="16"/>
          <w:szCs w:val="16"/>
          <w:color w:val="auto"/>
        </w:rPr>
      </w:pPr>
    </w:p>
    <w:p>
      <w:pPr>
        <w:ind w:right="40" w:firstLine="3"/>
        <w:spacing w:after="0" w:line="298" w:lineRule="auto"/>
        <w:tabs>
          <w:tab w:leader="none" w:pos="28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provisions of each Award (which need not be identical), including when a person will be permitted to exercise or otherwise receive cash or Stock under the Award; (E) the number of shares of Stock subject to, or the cash value of, an Award; and (F) the Fair Market Value applicable to a Stock Award.</w:t>
      </w:r>
    </w:p>
    <w:p>
      <w:pPr>
        <w:spacing w:after="0" w:line="151" w:lineRule="exact"/>
        <w:rPr>
          <w:rFonts w:ascii="Arial" w:cs="Arial" w:eastAsia="Arial" w:hAnsi="Arial"/>
          <w:sz w:val="16"/>
          <w:szCs w:val="16"/>
          <w:color w:val="auto"/>
        </w:rPr>
      </w:pPr>
    </w:p>
    <w:p>
      <w:pPr>
        <w:ind w:right="60" w:firstLine="1326"/>
        <w:spacing w:after="0" w:line="318" w:lineRule="auto"/>
        <w:tabs>
          <w:tab w:leader="none" w:pos="1576"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To construe and interpret this Plan and Awards granted under it, and to establish, amend and revoke rules and regulations for administration of this Plan and Awards. The Board, in the exercise of these powers, may correct any defect, omission or inconsistency in this Plan or in any Award Document or in the written terms of a Performance Cash Award, in a manner and to the extent it will deem necessary or expedient to make this Plan or Award fully effective.</w:t>
      </w:r>
    </w:p>
    <w:p>
      <w:pPr>
        <w:spacing w:after="0" w:line="139" w:lineRule="exact"/>
        <w:rPr>
          <w:rFonts w:ascii="Arial" w:cs="Arial" w:eastAsia="Arial" w:hAnsi="Arial"/>
          <w:sz w:val="15"/>
          <w:szCs w:val="15"/>
          <w:color w:val="auto"/>
        </w:rPr>
      </w:pPr>
    </w:p>
    <w:p>
      <w:pPr>
        <w:ind w:left="1620" w:hanging="294"/>
        <w:spacing w:after="0"/>
        <w:tabs>
          <w:tab w:leader="none" w:pos="1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To settle all controversies regarding this Plan and Awards granted under it.</w:t>
      </w:r>
    </w:p>
    <w:p>
      <w:pPr>
        <w:spacing w:after="0" w:line="217" w:lineRule="exact"/>
        <w:rPr>
          <w:rFonts w:ascii="Arial" w:cs="Arial" w:eastAsia="Arial" w:hAnsi="Arial"/>
          <w:sz w:val="17"/>
          <w:szCs w:val="17"/>
          <w:color w:val="auto"/>
        </w:rPr>
      </w:pPr>
    </w:p>
    <w:p>
      <w:pPr>
        <w:ind w:right="200" w:firstLine="1326"/>
        <w:spacing w:after="0" w:line="279" w:lineRule="auto"/>
        <w:tabs>
          <w:tab w:leader="none" w:pos="1614"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To accelerate, in whole or in part, or to extend, in whole or in part, the time during which an Award may be exercised or vest, or at which cash or shares of Stock may be issued.</w:t>
      </w:r>
    </w:p>
    <w:p>
      <w:pPr>
        <w:spacing w:after="0" w:line="164" w:lineRule="exact"/>
        <w:rPr>
          <w:rFonts w:ascii="Arial" w:cs="Arial" w:eastAsia="Arial" w:hAnsi="Arial"/>
          <w:sz w:val="17"/>
          <w:szCs w:val="17"/>
          <w:color w:val="auto"/>
        </w:rPr>
      </w:pPr>
    </w:p>
    <w:p>
      <w:pPr>
        <w:ind w:right="140" w:firstLine="1326"/>
        <w:spacing w:after="0" w:line="266" w:lineRule="auto"/>
        <w:tabs>
          <w:tab w:leader="none" w:pos="156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To suspend or terminate this Plan at any time. Except as otherwise provided in this Plan or an Award Document, suspension or termination of this Plan will not materially impair a Participant’s rights under his or her then-outstanding Award without his or her written consent except as provided in subsection (viii) below.</w:t>
      </w:r>
    </w:p>
    <w:p>
      <w:pPr>
        <w:spacing w:after="0" w:line="110" w:lineRule="exact"/>
        <w:rPr>
          <w:rFonts w:ascii="Arial" w:cs="Arial" w:eastAsia="Arial" w:hAnsi="Arial"/>
          <w:sz w:val="17"/>
          <w:szCs w:val="17"/>
          <w:color w:val="auto"/>
        </w:rPr>
      </w:pPr>
    </w:p>
    <w:p>
      <w:pPr>
        <w:ind w:right="120" w:firstLine="1326"/>
        <w:spacing w:after="0" w:line="266" w:lineRule="auto"/>
        <w:tabs>
          <w:tab w:leader="none" w:pos="1614"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To amend this Plan in any respect the Board deems necessary or advisable, including, without limitation, adopting amendments relating to Incentive Stock Options and nonqualified deferred compensation under Section 409A of the Code and/or making this Plan or Awards granted under this Plan exempt from or compliant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058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74" w:name="page175"/>
    <w:bookmarkEnd w:id="174"/>
    <w:p>
      <w:pPr>
        <w:ind w:right="20"/>
        <w:spacing w:after="0" w:line="276" w:lineRule="auto"/>
        <w:rPr>
          <w:sz w:val="20"/>
          <w:szCs w:val="20"/>
          <w:color w:val="auto"/>
        </w:rPr>
      </w:pPr>
      <w:r>
        <w:rPr>
          <w:rFonts w:ascii="Arial" w:cs="Arial" w:eastAsia="Arial" w:hAnsi="Arial"/>
          <w:sz w:val="16"/>
          <w:szCs w:val="16"/>
          <w:color w:val="auto"/>
        </w:rPr>
        <w:t>with the requirements for Incentive Stock Options or exempt from or compliant with the requirements for nonqualified deferred compensation under Section 409A of the Code, subject to the limitations, if any, of applicable law. If required by applicable law or listing requirements, and except as provided</w:t>
      </w:r>
    </w:p>
    <w:p>
      <w:pPr>
        <w:spacing w:after="0" w:line="269"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relating to Capitalization Adjustments, the Company will seek stockholder approval of any amendment of this Plan that (A) materially increases the number of shares of Stock available for issuance under this Plan, (B) materially expands the class of individuals eligible to receive Awards under this Plan,</w:t>
      </w:r>
    </w:p>
    <w:p>
      <w:pPr>
        <w:ind w:right="60" w:firstLine="3"/>
        <w:spacing w:after="0" w:line="257" w:lineRule="auto"/>
        <w:tabs>
          <w:tab w:leader="none" w:pos="27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materially increases the benefits accruing to Participants under this Plan, (D) materially reduces the price at which shares of Stock may be issued or purchased under this Plan, (E) materially extends the term of this Plan, or (F) materially expands the types of Awards available for issuance under this Plan. Except as otherwise provided in this Plan (including subsection (viii) below) or an Award Document, no amendment of this Plan will materially impair a Participant’s rights under an outstanding Award without the Participant’s written consent.</w:t>
      </w:r>
    </w:p>
    <w:p>
      <w:pPr>
        <w:spacing w:after="0" w:line="183" w:lineRule="exact"/>
        <w:rPr>
          <w:rFonts w:ascii="Arial" w:cs="Arial" w:eastAsia="Arial" w:hAnsi="Arial"/>
          <w:sz w:val="17"/>
          <w:szCs w:val="17"/>
          <w:color w:val="auto"/>
        </w:rPr>
      </w:pPr>
    </w:p>
    <w:p>
      <w:pPr>
        <w:ind w:right="100" w:firstLine="1326"/>
        <w:spacing w:after="0" w:line="349" w:lineRule="auto"/>
        <w:tabs>
          <w:tab w:leader="none" w:pos="1662" w:val="left"/>
        </w:tabs>
        <w:numPr>
          <w:ilvl w:val="2"/>
          <w:numId w:val="125"/>
        </w:numPr>
        <w:rPr>
          <w:rFonts w:ascii="Arial" w:cs="Arial" w:eastAsia="Arial" w:hAnsi="Arial"/>
          <w:sz w:val="15"/>
          <w:szCs w:val="15"/>
          <w:color w:val="auto"/>
        </w:rPr>
      </w:pPr>
      <w:r>
        <w:rPr>
          <w:rFonts w:ascii="Arial" w:cs="Arial" w:eastAsia="Arial" w:hAnsi="Arial"/>
          <w:sz w:val="15"/>
          <w:szCs w:val="15"/>
          <w:color w:val="auto"/>
        </w:rPr>
        <w:t>To submit any amendment to this Plan for stockholder approval, including, but not limited to, amendments to this Plan intended to satisfy the requirements of (A) Section 422 of the Code regarding “incentive stock options” or (B) Rule 16b-3 of the Exchange Act or any successor rule, if applicable.</w:t>
      </w:r>
    </w:p>
    <w:p>
      <w:pPr>
        <w:spacing w:after="0" w:line="117" w:lineRule="exact"/>
        <w:rPr>
          <w:rFonts w:ascii="Arial" w:cs="Arial" w:eastAsia="Arial" w:hAnsi="Arial"/>
          <w:sz w:val="15"/>
          <w:szCs w:val="15"/>
          <w:color w:val="auto"/>
        </w:rPr>
      </w:pPr>
    </w:p>
    <w:p>
      <w:pPr>
        <w:ind w:right="20" w:firstLine="1326"/>
        <w:spacing w:after="0" w:line="273" w:lineRule="auto"/>
        <w:tabs>
          <w:tab w:leader="none" w:pos="1709"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To approve forms of Award Documents for use under this Plan and to amend the terms of any one or more outstanding Awards, including, but not limited to, amendments to provide terms more favorable to the Participant than previously provided in the Award Documents for such Awards, subject to any specified limits in this Plan that are not subject to Board discretion. A Participant’s rights under any Award will not be impaired by any such amendment unless the Company requests the consent of the affected Participant, and the Participant consents in writing. However, a Participant’s rights will not be deemed to have been impaired by any such amendment if the Board, in its sole discretion, determines that the amendment, taken as a whole, does not materially impair the Participant’s rights. In addition,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76" w:lineRule="exact"/>
        <w:rPr>
          <w:rFonts w:ascii="Arial" w:cs="Arial" w:eastAsia="Arial" w:hAnsi="Arial"/>
          <w:sz w:val="16"/>
          <w:szCs w:val="16"/>
          <w:color w:val="auto"/>
        </w:rPr>
      </w:pPr>
    </w:p>
    <w:p>
      <w:pPr>
        <w:ind w:right="80" w:firstLine="1326"/>
        <w:spacing w:after="0" w:line="279" w:lineRule="auto"/>
        <w:tabs>
          <w:tab w:leader="none" w:pos="1614" w:val="left"/>
        </w:tabs>
        <w:numPr>
          <w:ilvl w:val="2"/>
          <w:numId w:val="125"/>
        </w:numPr>
        <w:rPr>
          <w:rFonts w:ascii="Arial" w:cs="Arial" w:eastAsia="Arial" w:hAnsi="Arial"/>
          <w:sz w:val="17"/>
          <w:szCs w:val="17"/>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 and that are not in conflict with the provisions of this Plan and/or Award Documents.</w:t>
      </w:r>
    </w:p>
    <w:p>
      <w:pPr>
        <w:spacing w:after="0" w:line="164" w:lineRule="exact"/>
        <w:rPr>
          <w:rFonts w:ascii="Arial" w:cs="Arial" w:eastAsia="Arial" w:hAnsi="Arial"/>
          <w:sz w:val="17"/>
          <w:szCs w:val="17"/>
          <w:color w:val="auto"/>
        </w:rPr>
      </w:pPr>
    </w:p>
    <w:p>
      <w:pPr>
        <w:ind w:right="40" w:firstLine="1326"/>
        <w:spacing w:after="0" w:line="262" w:lineRule="auto"/>
        <w:tabs>
          <w:tab w:leader="none" w:pos="1566" w:val="left"/>
        </w:tabs>
        <w:numPr>
          <w:ilvl w:val="2"/>
          <w:numId w:val="125"/>
        </w:numPr>
        <w:rPr>
          <w:rFonts w:ascii="Arial" w:cs="Arial" w:eastAsia="Arial" w:hAnsi="Arial"/>
          <w:sz w:val="17"/>
          <w:szCs w:val="17"/>
          <w:color w:val="auto"/>
        </w:rPr>
      </w:pPr>
      <w:r>
        <w:rPr>
          <w:rFonts w:ascii="Arial" w:cs="Arial" w:eastAsia="Arial" w:hAnsi="Arial"/>
          <w:sz w:val="17"/>
          <w:szCs w:val="17"/>
          <w:color w:val="auto"/>
        </w:rPr>
        <w:t>To adopt such procedures and sub-plans as are necessary or appropriate (A) to permit or facilitate participation in this Plan by persons eligible to receive Awards under this Plan who are not citizens of, subject to taxation by, or employed outside, the United States or (B) to allow Awards to qualify for special tax treatment in a jurisdiction other than the United States. Board approval will not be necessary for immaterial modifications to this Plan or any Award Document that are required for compliance with the laws of the relevant jurisdiction.</w:t>
      </w:r>
    </w:p>
    <w:p>
      <w:pPr>
        <w:spacing w:after="0" w:line="177" w:lineRule="exact"/>
        <w:rPr>
          <w:rFonts w:ascii="Arial" w:cs="Arial" w:eastAsia="Arial" w:hAnsi="Arial"/>
          <w:sz w:val="17"/>
          <w:szCs w:val="17"/>
          <w:color w:val="auto"/>
        </w:rPr>
      </w:pPr>
    </w:p>
    <w:p>
      <w:pPr>
        <w:ind w:left="820" w:hanging="228"/>
        <w:spacing w:after="0"/>
        <w:tabs>
          <w:tab w:leader="none" w:pos="8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Delegation to Committee.</w:t>
      </w:r>
    </w:p>
    <w:p>
      <w:pPr>
        <w:spacing w:after="0" w:line="217" w:lineRule="exact"/>
        <w:rPr>
          <w:rFonts w:ascii="Arial" w:cs="Arial" w:eastAsia="Arial" w:hAnsi="Arial"/>
          <w:sz w:val="17"/>
          <w:szCs w:val="17"/>
          <w:color w:val="auto"/>
        </w:rPr>
      </w:pPr>
    </w:p>
    <w:p>
      <w:pPr>
        <w:ind w:firstLine="1326"/>
        <w:spacing w:after="0" w:line="289" w:lineRule="auto"/>
        <w:tabs>
          <w:tab w:leader="none" w:pos="1528" w:val="left"/>
        </w:tabs>
        <w:numPr>
          <w:ilvl w:val="2"/>
          <w:numId w:val="12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Board may delegate some or all of the administration of this Plan to a Committee or Committees. If administration of this Plan is delegated to a Committee, the Committee will have, in connection with the administration of this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Any delegation of administrative powers will be reflected in the charter of the Committee to which the delegation is made, or resolutions, not inconsistent with the provisions of this Plan, adopted from time to time by the Board or Committee (as applicable). The Committee may, at any time, abolish the subcommittee and/or revest in the Committee any powers delegated to any subcommittee. Unless otherwise provided by the Board, delegation of authority by the Board to a Committee, or to an Officer or employee pursuant</w:t>
      </w:r>
    </w:p>
    <w:p>
      <w:pPr>
        <w:ind w:right="300"/>
        <w:spacing w:after="0" w:line="266" w:lineRule="auto"/>
        <w:rPr>
          <w:rFonts w:ascii="Arial" w:cs="Arial" w:eastAsia="Arial" w:hAnsi="Arial"/>
          <w:sz w:val="15"/>
          <w:szCs w:val="15"/>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2(e)</w:t>
      </w:r>
      <w:r>
        <w:rPr>
          <w:rFonts w:ascii="Arial" w:cs="Arial" w:eastAsia="Arial" w:hAnsi="Arial"/>
          <w:sz w:val="17"/>
          <w:szCs w:val="17"/>
          <w:color w:val="auto"/>
        </w:rPr>
        <w:t>, does not limit the authority of the Board, which may continue to exercise any authority so delegated and may concurrently administer this Plan with the Committee and may, at any time, revest in the Board some or all of the powers previously delegated.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75" w:name="page176"/>
    <w:bookmarkEnd w:id="175"/>
    <w:p>
      <w:pPr>
        <w:ind w:left="1320"/>
        <w:spacing w:after="0"/>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Rule 16b-3 Compliance</w:t>
      </w:r>
      <w:r>
        <w:rPr>
          <w:rFonts w:ascii="Arial" w:cs="Arial" w:eastAsia="Arial" w:hAnsi="Arial"/>
          <w:sz w:val="15"/>
          <w:szCs w:val="15"/>
          <w:color w:val="auto"/>
        </w:rPr>
        <w:t>. The Committee may consist solely of two or more Non-Employee Directors, in accordance with Rule 16b-3 of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Exchange Act.</w:t>
      </w:r>
    </w:p>
    <w:p>
      <w:pPr>
        <w:spacing w:after="0" w:line="206" w:lineRule="exact"/>
        <w:rPr>
          <w:sz w:val="20"/>
          <w:szCs w:val="20"/>
          <w:color w:val="auto"/>
        </w:rPr>
      </w:pPr>
    </w:p>
    <w:p>
      <w:pPr>
        <w:ind w:firstLine="592"/>
        <w:spacing w:after="0" w:line="299" w:lineRule="auto"/>
        <w:tabs>
          <w:tab w:leader="none" w:pos="832" w:val="left"/>
        </w:tabs>
        <w:numPr>
          <w:ilvl w:val="1"/>
          <w:numId w:val="127"/>
        </w:numPr>
        <w:rPr>
          <w:rFonts w:ascii="Arial" w:cs="Arial" w:eastAsia="Arial" w:hAnsi="Arial"/>
          <w:sz w:val="15"/>
          <w:szCs w:val="15"/>
          <w:color w:val="auto"/>
        </w:rPr>
      </w:pPr>
      <w:r>
        <w:rPr>
          <w:rFonts w:ascii="Arial" w:cs="Arial" w:eastAsia="Arial" w:hAnsi="Arial"/>
          <w:sz w:val="15"/>
          <w:szCs w:val="15"/>
          <w:color w:val="auto"/>
        </w:rPr>
        <w:t>Delegation to an Officer. The Board may delegate to one (1) or more Officers the authority to do one or both of the following, to the maximum extent permitted by applicable law: (i) designate Employees who are not Officers to be recipients of Stock Awards and the terms of such Stock Awards; and (ii) determine the number of shares of Stock to be subject to such Stock Awards granted to such Employees; provided, however, that the Board resolutions regarding such delegation will specify the total number of shares of Stock that may be subject to the Stock Awards granted by such Officer and that such Officer may not grant a Stock Award to himself or herself. Any such Stock Awards will be granted on a form that is substantially the same as the form of Stock Award Document approved by the Committee or the Board for use in connection with such Stock Awards, unless otherwise provided for in the resolutions approving the delegation authority.</w:t>
      </w:r>
    </w:p>
    <w:p>
      <w:pPr>
        <w:spacing w:after="0" w:line="154" w:lineRule="exact"/>
        <w:rPr>
          <w:rFonts w:ascii="Arial" w:cs="Arial" w:eastAsia="Arial" w:hAnsi="Arial"/>
          <w:sz w:val="15"/>
          <w:szCs w:val="15"/>
          <w:color w:val="auto"/>
        </w:rPr>
      </w:pPr>
    </w:p>
    <w:p>
      <w:pPr>
        <w:ind w:right="20" w:firstLine="592"/>
        <w:spacing w:after="0" w:line="266" w:lineRule="auto"/>
        <w:tabs>
          <w:tab w:leader="none" w:pos="82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Effect of Board’s Decision. All determinations, interpretations and constructions made by the Board (or a duly authorized Committee, subcommittee or Officer exercising powers delegated by the Board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in good faith will not be subject to review by any person and will be final, binding and conclusive on all persons.</w:t>
      </w:r>
    </w:p>
    <w:p>
      <w:pPr>
        <w:spacing w:after="0" w:line="316" w:lineRule="exact"/>
        <w:rPr>
          <w:rFonts w:ascii="Arial" w:cs="Arial" w:eastAsia="Arial" w:hAnsi="Arial"/>
          <w:sz w:val="17"/>
          <w:szCs w:val="17"/>
          <w:color w:val="auto"/>
        </w:rPr>
      </w:pPr>
    </w:p>
    <w:p>
      <w:pPr>
        <w:ind w:left="560" w:hanging="557"/>
        <w:spacing w:after="0"/>
        <w:tabs>
          <w:tab w:leader="none" w:pos="56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SHARES SUBJECT TO THIS PLAN.</w:t>
      </w:r>
    </w:p>
    <w:p>
      <w:pPr>
        <w:spacing w:after="0" w:line="113" w:lineRule="exact"/>
        <w:rPr>
          <w:rFonts w:ascii="Arial" w:cs="Arial" w:eastAsia="Arial" w:hAnsi="Arial"/>
          <w:sz w:val="17"/>
          <w:szCs w:val="17"/>
          <w:b w:val="1"/>
          <w:bCs w:val="1"/>
          <w:color w:val="auto"/>
        </w:rPr>
      </w:pPr>
    </w:p>
    <w:p>
      <w:pPr>
        <w:ind w:left="820" w:hanging="228"/>
        <w:spacing w:after="0"/>
        <w:tabs>
          <w:tab w:leader="none" w:pos="82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Share Reserve.</w:t>
      </w:r>
    </w:p>
    <w:p>
      <w:pPr>
        <w:spacing w:after="0" w:line="217" w:lineRule="exact"/>
        <w:rPr>
          <w:rFonts w:ascii="Arial" w:cs="Arial" w:eastAsia="Arial" w:hAnsi="Arial"/>
          <w:sz w:val="17"/>
          <w:szCs w:val="17"/>
          <w:color w:val="auto"/>
        </w:rPr>
      </w:pPr>
    </w:p>
    <w:p>
      <w:pPr>
        <w:ind w:right="60" w:firstLine="1326"/>
        <w:spacing w:after="0" w:line="258" w:lineRule="auto"/>
        <w:tabs>
          <w:tab w:leader="none" w:pos="1528"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relating to Capitalization Adjustments, the aggregate initial maximum number of shares of Stock that may be issued pursuant to Stock Awards from and after the Effective Date will not exceed 4,860,000 shares of Common Stock, which includes 674,278 shares of Common Stock underlying options to purchase up to 12,137 shares of Preferred Stock that may be issued pursuant to Awards plus (A) any shares of Common Stock that remain available for grant under the Prior Plan as of the Effective Date and (B) any shares of Common Stock subject to outstanding awards under the Prior Plan as of the Effective Date that on or after the Effective Date are forfeited, terminated, expire or otherwise lapse without being exercised (to the extent applicable), or are settled in cash (the “Share Reserve”).</w:t>
      </w:r>
    </w:p>
    <w:p>
      <w:pPr>
        <w:spacing w:after="0" w:line="183" w:lineRule="exact"/>
        <w:rPr>
          <w:rFonts w:ascii="Arial" w:cs="Arial" w:eastAsia="Arial" w:hAnsi="Arial"/>
          <w:sz w:val="17"/>
          <w:szCs w:val="17"/>
          <w:color w:val="auto"/>
        </w:rPr>
      </w:pPr>
    </w:p>
    <w:p>
      <w:pPr>
        <w:jc w:val="both"/>
        <w:ind w:right="80" w:firstLine="1326"/>
        <w:spacing w:after="0" w:line="266" w:lineRule="auto"/>
        <w:tabs>
          <w:tab w:leader="none" w:pos="1576"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For clarity, the Share Reserve is a limitation on the number of shares of Stock that may be issued under this Plan. As a single share may be subject to grant more than once (e.g., if a share subject to a Stock Award is forfeited, it may be made subject to grant again as provided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below), the Share Reserve is not a limit on the number of Stock Awards that can be granted.</w:t>
      </w:r>
    </w:p>
    <w:p>
      <w:pPr>
        <w:spacing w:after="0" w:line="175" w:lineRule="exact"/>
        <w:rPr>
          <w:rFonts w:ascii="Arial" w:cs="Arial" w:eastAsia="Arial" w:hAnsi="Arial"/>
          <w:sz w:val="17"/>
          <w:szCs w:val="17"/>
          <w:color w:val="auto"/>
        </w:rPr>
      </w:pPr>
    </w:p>
    <w:p>
      <w:pPr>
        <w:ind w:right="320" w:firstLine="1326"/>
        <w:spacing w:after="0" w:line="266" w:lineRule="auto"/>
        <w:tabs>
          <w:tab w:leader="none" w:pos="1624" w:val="left"/>
        </w:tabs>
        <w:numPr>
          <w:ilvl w:val="2"/>
          <w:numId w:val="128"/>
        </w:numPr>
        <w:rPr>
          <w:rFonts w:ascii="Arial" w:cs="Arial" w:eastAsia="Arial" w:hAnsi="Arial"/>
          <w:sz w:val="17"/>
          <w:szCs w:val="17"/>
          <w:color w:val="auto"/>
        </w:rPr>
      </w:pPr>
      <w:r>
        <w:rPr>
          <w:rFonts w:ascii="Arial" w:cs="Arial" w:eastAsia="Arial" w:hAnsi="Arial"/>
          <w:sz w:val="17"/>
          <w:szCs w:val="17"/>
          <w:color w:val="auto"/>
        </w:rPr>
        <w:t>Shares may be issued under the terms of this Plan in connection with a merger or acquisition as permitted by NASDAQ Listing Rule 5635(c), NYSE Listed Company Manual Section 303A.08, AMEX Company Guide Section 711 or other applicable rule, and such issuance will not reduce the number of shares available for issuance under this Plan.</w:t>
      </w:r>
    </w:p>
    <w:p>
      <w:pPr>
        <w:spacing w:after="0" w:line="175" w:lineRule="exact"/>
        <w:rPr>
          <w:rFonts w:ascii="Arial" w:cs="Arial" w:eastAsia="Arial" w:hAnsi="Arial"/>
          <w:sz w:val="17"/>
          <w:szCs w:val="17"/>
          <w:color w:val="auto"/>
        </w:rPr>
      </w:pPr>
    </w:p>
    <w:p>
      <w:pPr>
        <w:ind w:right="20" w:firstLine="1326"/>
        <w:spacing w:after="0" w:line="256" w:lineRule="auto"/>
        <w:tabs>
          <w:tab w:leader="none" w:pos="1614" w:val="left"/>
        </w:tabs>
        <w:numPr>
          <w:ilvl w:val="2"/>
          <w:numId w:val="128"/>
        </w:numPr>
        <w:rPr>
          <w:rFonts w:ascii="Arial" w:cs="Arial" w:eastAsia="Arial" w:hAnsi="Arial"/>
          <w:sz w:val="17"/>
          <w:szCs w:val="17"/>
          <w:color w:val="auto"/>
        </w:rPr>
      </w:pPr>
      <w:r>
        <w:rPr>
          <w:rFonts w:ascii="Arial" w:cs="Arial" w:eastAsia="Arial" w:hAnsi="Arial"/>
          <w:sz w:val="17"/>
          <w:szCs w:val="17"/>
          <w:color w:val="auto"/>
        </w:rPr>
        <w:t>Reversion of Shares to the Share Reserve. If a Stock Award or any portion of a Stock Award expires, is cancelled or forfeited or otherwise terminates without all of the shares covered by the Stock Award having been issued, then the shares of Stock subject to the Stock Award (or portion thereof) that expire, are cancelled or forfeited or otherwise terminate shall revert and again be available for issuance under this Plan. In addition, the aggregate number of shares of Stock available for issuance under this Plan at any time shall not be reduced by (i) shares of Stock subject to Stock Awards that have been terminated, expired unexercised, forfeited or settled in cash, (ii) shares of Stock subject to Stock Awards that have been retained or withheld by the Company in payment or satisfaction of the exercise price, purchase price or tax withholding obligation of a Stock Award, or (iii) shares of Stock subject to Stock Awards that otherwise do not result in the issuance of shares in connection with payment or settlement thereof. In addition, shares of Stock that have been delivered (either actually or by attestation) to the Company in payment or satisfaction of the exercise price, purchase price or tax withholding obligation of a Stock Award shall be available for issuance under this Plan.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76" w:name="page177"/>
    <w:bookmarkEnd w:id="176"/>
    <w:p>
      <w:pPr>
        <w:ind w:right="180" w:firstLine="592"/>
        <w:spacing w:after="0" w:line="279" w:lineRule="auto"/>
        <w:tabs>
          <w:tab w:leader="none" w:pos="83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Incentive Stock Option Limit. Subject to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relating to Capitalization Adjustments, the aggregate maximum number of shares of Stock that may be issued on the exercise of Incentive Stock Options will be 4,860,000 shares of Common Stock.</w:t>
      </w:r>
    </w:p>
    <w:p>
      <w:pPr>
        <w:spacing w:after="0" w:line="164" w:lineRule="exact"/>
        <w:rPr>
          <w:rFonts w:ascii="Arial" w:cs="Arial" w:eastAsia="Arial" w:hAnsi="Arial"/>
          <w:sz w:val="17"/>
          <w:szCs w:val="17"/>
          <w:color w:val="auto"/>
        </w:rPr>
      </w:pPr>
    </w:p>
    <w:p>
      <w:pPr>
        <w:ind w:firstLine="592"/>
        <w:spacing w:after="0" w:line="279" w:lineRule="auto"/>
        <w:tabs>
          <w:tab w:leader="none" w:pos="82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Source of Shares. The Stock issuable under this Plan will be shares of authorized but unissued or reacquired Stock, including shares repurchased by the Company on the open market or otherwise or shares classified as treasury shares.</w:t>
      </w:r>
    </w:p>
    <w:p>
      <w:pPr>
        <w:spacing w:after="0" w:line="306" w:lineRule="exact"/>
        <w:rPr>
          <w:rFonts w:ascii="Arial" w:cs="Arial" w:eastAsia="Arial" w:hAnsi="Arial"/>
          <w:sz w:val="17"/>
          <w:szCs w:val="17"/>
          <w:color w:val="auto"/>
        </w:rPr>
      </w:pPr>
    </w:p>
    <w:p>
      <w:pPr>
        <w:ind w:left="560" w:hanging="557"/>
        <w:spacing w:after="0"/>
        <w:tabs>
          <w:tab w:leader="none" w:pos="560"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ELIGIBILITY.</w:t>
      </w:r>
    </w:p>
    <w:p>
      <w:pPr>
        <w:spacing w:after="0" w:line="113" w:lineRule="exact"/>
        <w:rPr>
          <w:rFonts w:ascii="Arial" w:cs="Arial" w:eastAsia="Arial" w:hAnsi="Arial"/>
          <w:sz w:val="17"/>
          <w:szCs w:val="17"/>
          <w:b w:val="1"/>
          <w:bCs w:val="1"/>
          <w:color w:val="auto"/>
        </w:rPr>
      </w:pPr>
    </w:p>
    <w:p>
      <w:pPr>
        <w:ind w:right="200" w:firstLine="592"/>
        <w:spacing w:after="0" w:line="266" w:lineRule="auto"/>
        <w:tabs>
          <w:tab w:leader="none" w:pos="82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Eligibility for Specific Stock Awards.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w:t>
      </w:r>
    </w:p>
    <w:p>
      <w:pPr>
        <w:spacing w:after="0" w:line="175" w:lineRule="exact"/>
        <w:rPr>
          <w:rFonts w:ascii="Arial" w:cs="Arial" w:eastAsia="Arial" w:hAnsi="Arial"/>
          <w:sz w:val="17"/>
          <w:szCs w:val="17"/>
          <w:color w:val="auto"/>
        </w:rPr>
      </w:pPr>
    </w:p>
    <w:p>
      <w:pPr>
        <w:ind w:right="60" w:firstLine="592"/>
        <w:spacing w:after="0" w:line="312" w:lineRule="auto"/>
        <w:tabs>
          <w:tab w:leader="none" w:pos="83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Ten Percent Stockholders. A Ten Percent Stockholder will not be granted an Incentive Stock Option unless the exercise price of such Option is at least 110% of the Fair Market Value on the date of grant and the Option is not exercisable after the expiration of five (5) years from the date of grant.</w:t>
      </w:r>
    </w:p>
    <w:p>
      <w:pPr>
        <w:spacing w:after="0" w:line="282" w:lineRule="exact"/>
        <w:rPr>
          <w:rFonts w:ascii="Arial" w:cs="Arial" w:eastAsia="Arial" w:hAnsi="Arial"/>
          <w:sz w:val="16"/>
          <w:szCs w:val="16"/>
          <w:color w:val="auto"/>
        </w:rPr>
      </w:pPr>
    </w:p>
    <w:p>
      <w:pPr>
        <w:ind w:left="560" w:hanging="557"/>
        <w:spacing w:after="0"/>
        <w:tabs>
          <w:tab w:leader="none" w:pos="560"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PROVISIONS RELATING TO OPTIONS AND STOCK APPRECIATION RIGHTS.</w:t>
      </w:r>
    </w:p>
    <w:p>
      <w:pPr>
        <w:spacing w:after="0" w:line="114" w:lineRule="exact"/>
        <w:rPr>
          <w:sz w:val="20"/>
          <w:szCs w:val="20"/>
          <w:color w:val="auto"/>
        </w:rPr>
      </w:pPr>
    </w:p>
    <w:p>
      <w:pPr>
        <w:ind w:right="80" w:firstLine="589"/>
        <w:spacing w:after="0" w:line="257" w:lineRule="auto"/>
        <w:rPr>
          <w:sz w:val="20"/>
          <w:szCs w:val="20"/>
          <w:color w:val="auto"/>
        </w:rPr>
      </w:pPr>
      <w:r>
        <w:rPr>
          <w:rFonts w:ascii="Arial" w:cs="Arial" w:eastAsia="Arial" w:hAnsi="Arial"/>
          <w:sz w:val="17"/>
          <w:szCs w:val="17"/>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provided, however, that each Award Document will conform to (through incorporation of provisions hereof by reference in the applicable Award Document or otherwise) the substance of each of the following provisions:</w:t>
      </w:r>
    </w:p>
    <w:p>
      <w:pPr>
        <w:spacing w:after="0" w:line="185" w:lineRule="exact"/>
        <w:rPr>
          <w:sz w:val="20"/>
          <w:szCs w:val="20"/>
          <w:color w:val="auto"/>
        </w:rPr>
      </w:pPr>
    </w:p>
    <w:p>
      <w:pPr>
        <w:ind w:right="100" w:firstLine="592"/>
        <w:spacing w:after="0" w:line="279" w:lineRule="auto"/>
        <w:tabs>
          <w:tab w:leader="none" w:pos="82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Term. Subject to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regarding Ten Percent Stockholders, no Option or SAR will be exercisable after the expiration of 10 years from the date of its grant or such shorter period specified in the Award Document.</w:t>
      </w:r>
    </w:p>
    <w:p>
      <w:pPr>
        <w:spacing w:after="0" w:line="164" w:lineRule="exact"/>
        <w:rPr>
          <w:rFonts w:ascii="Arial" w:cs="Arial" w:eastAsia="Arial" w:hAnsi="Arial"/>
          <w:sz w:val="17"/>
          <w:szCs w:val="17"/>
          <w:color w:val="auto"/>
        </w:rPr>
      </w:pPr>
    </w:p>
    <w:p>
      <w:pPr>
        <w:ind w:right="60" w:firstLine="592"/>
        <w:spacing w:after="0" w:line="279" w:lineRule="auto"/>
        <w:tabs>
          <w:tab w:leader="none" w:pos="8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Exercise Price. Subject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regarding Ten Percent Stockholders, the exercise or strike price of each Option or SAR will be not less than 100% of the Fair Market Value of the Stock subject to the Option or SAR on the date the Award is granted. Notwithstanding the foregoing, an Option or SAR may be granted with an exercise or strike price lower than 100% of the Fair Market Value of the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Stock equivalents.</w:t>
      </w:r>
    </w:p>
    <w:p>
      <w:pPr>
        <w:spacing w:after="0" w:line="168" w:lineRule="exact"/>
        <w:rPr>
          <w:rFonts w:ascii="Arial" w:cs="Arial" w:eastAsia="Arial" w:hAnsi="Arial"/>
          <w:sz w:val="16"/>
          <w:szCs w:val="16"/>
          <w:color w:val="auto"/>
        </w:rPr>
      </w:pPr>
    </w:p>
    <w:p>
      <w:pPr>
        <w:ind w:right="360" w:firstLine="592"/>
        <w:spacing w:after="0" w:line="307" w:lineRule="auto"/>
        <w:tabs>
          <w:tab w:leader="none" w:pos="823"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Purchase Price for Options. The purchase price of Stock acquired pursuant to the exercise of an Option may be paid, to the extent permitted by applicable law,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purchase price shall be denominated in U.S. dollars. The permitted methods of payment are as follows:</w:t>
      </w:r>
    </w:p>
    <w:p>
      <w:pPr>
        <w:spacing w:after="0" w:line="148" w:lineRule="exact"/>
        <w:rPr>
          <w:rFonts w:ascii="Arial" w:cs="Arial" w:eastAsia="Arial" w:hAnsi="Arial"/>
          <w:sz w:val="15"/>
          <w:szCs w:val="15"/>
          <w:color w:val="auto"/>
        </w:rPr>
      </w:pPr>
    </w:p>
    <w:p>
      <w:pPr>
        <w:ind w:left="1540" w:hanging="214"/>
        <w:spacing w:after="0"/>
        <w:tabs>
          <w:tab w:leader="none" w:pos="154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by cash, check, bank draft or money order payable to the Company;</w:t>
      </w:r>
    </w:p>
    <w:p>
      <w:pPr>
        <w:spacing w:after="0" w:line="152" w:lineRule="exact"/>
        <w:rPr>
          <w:rFonts w:ascii="Arial" w:cs="Arial" w:eastAsia="Arial" w:hAnsi="Arial"/>
          <w:sz w:val="17"/>
          <w:szCs w:val="17"/>
          <w:color w:val="auto"/>
        </w:rPr>
      </w:pPr>
    </w:p>
    <w:p>
      <w:pPr>
        <w:ind w:right="80" w:firstLine="1326"/>
        <w:spacing w:after="0" w:line="266" w:lineRule="auto"/>
        <w:tabs>
          <w:tab w:leader="none" w:pos="157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pursuant to a program developed under Regulation T as promulgated by the United States Federal Reserve Board or a successor regulation, or a similar rule in a foreign jurisdiction of domicile of a Participant, that, prior to or contemporaneously with the issuance of the stock subject to the Option, results in either the receipt of</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77" w:name="page178"/>
    <w:bookmarkEnd w:id="177"/>
    <w:p>
      <w:pPr>
        <w:ind w:right="320"/>
        <w:spacing w:after="0" w:line="279" w:lineRule="auto"/>
        <w:rPr>
          <w:sz w:val="20"/>
          <w:szCs w:val="20"/>
          <w:color w:val="auto"/>
        </w:rPr>
      </w:pPr>
      <w:r>
        <w:rPr>
          <w:rFonts w:ascii="Arial" w:cs="Arial" w:eastAsia="Arial" w:hAnsi="Arial"/>
          <w:sz w:val="17"/>
          <w:szCs w:val="17"/>
          <w:color w:val="auto"/>
        </w:rPr>
        <w:t>cash (or check) by the Company or the receipt of irrevocable instructions to pay the aggregate exercise price to the Company from the proceeds of sale of such stock;</w:t>
      </w:r>
    </w:p>
    <w:p>
      <w:pPr>
        <w:spacing w:after="0" w:line="164" w:lineRule="exact"/>
        <w:rPr>
          <w:sz w:val="20"/>
          <w:szCs w:val="20"/>
          <w:color w:val="auto"/>
        </w:rPr>
      </w:pPr>
    </w:p>
    <w:p>
      <w:pPr>
        <w:ind w:left="1620" w:hanging="294"/>
        <w:spacing w:after="0"/>
        <w:tabs>
          <w:tab w:leader="none" w:pos="162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by delivery to the Company (either by actual delivery or attestation) of shares of Stock;</w:t>
      </w:r>
    </w:p>
    <w:p>
      <w:pPr>
        <w:spacing w:after="0" w:line="217" w:lineRule="exact"/>
        <w:rPr>
          <w:rFonts w:ascii="Arial" w:cs="Arial" w:eastAsia="Arial" w:hAnsi="Arial"/>
          <w:sz w:val="17"/>
          <w:szCs w:val="17"/>
          <w:color w:val="auto"/>
        </w:rPr>
      </w:pPr>
    </w:p>
    <w:p>
      <w:pPr>
        <w:ind w:right="20" w:firstLine="1326"/>
        <w:spacing w:after="0" w:line="258" w:lineRule="auto"/>
        <w:tabs>
          <w:tab w:leader="none" w:pos="161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by a “net exercise” arrangement pursuant to which the Company will reduce the number of shares of Stock issuable upon exercise by the largest whole number of shares with a Fair Market Value that does not exceed the aggregate exercise price; provided, however, that the Company will accept cash or other payment from the Participant to the extent of any remaining balance of the aggregate exercise price not satisfied by such reduction in the number of whole shares to be issued. Shares of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3" w:lineRule="exact"/>
        <w:rPr>
          <w:rFonts w:ascii="Arial" w:cs="Arial" w:eastAsia="Arial" w:hAnsi="Arial"/>
          <w:sz w:val="17"/>
          <w:szCs w:val="17"/>
          <w:color w:val="auto"/>
        </w:rPr>
      </w:pPr>
    </w:p>
    <w:p>
      <w:pPr>
        <w:ind w:left="1560" w:hanging="234"/>
        <w:spacing w:after="0"/>
        <w:tabs>
          <w:tab w:leader="none" w:pos="15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 any other form of legal consideration that may be acceptable to the Board and specified in the applicable Award Document.</w:t>
      </w:r>
    </w:p>
    <w:p>
      <w:pPr>
        <w:spacing w:after="0" w:line="217" w:lineRule="exact"/>
        <w:rPr>
          <w:rFonts w:ascii="Arial" w:cs="Arial" w:eastAsia="Arial" w:hAnsi="Arial"/>
          <w:sz w:val="17"/>
          <w:szCs w:val="17"/>
          <w:color w:val="auto"/>
        </w:rPr>
      </w:pPr>
    </w:p>
    <w:p>
      <w:pPr>
        <w:ind w:right="20" w:firstLine="592"/>
        <w:spacing w:after="0" w:line="257" w:lineRule="auto"/>
        <w:tabs>
          <w:tab w:leader="none" w:pos="83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Exercise and Payment of a SAR. To exercise any outstanding SAR, the Participant must provide written notice of exercise to the Company in compliance with the provisions of the Stock Appreciation Right Award Document evidencing such SAR. The appreciation distribution payable on the exercise of a SAR will be not greater than an amount equal to the excess of (A) the aggregate Fair Market Value (on the date of the exercise of the SAR) of a number of shares of Stock equal to the number of Stock equivalents in which the Participant is vested under such SAR (with respect to which the Participant is exercising the SAR on such date), over (B) the aggregate strike price of the number of Stock equivalents with respect to which the Participant is exercising the SAR on such date. The appreciation distribution may be paid in Stock, in cash, in any combination of the two or in any other form of consideration, as determined by the Board and contained in the Award Document evidencing such SAR.</w:t>
      </w:r>
    </w:p>
    <w:p>
      <w:pPr>
        <w:spacing w:after="0" w:line="184" w:lineRule="exact"/>
        <w:rPr>
          <w:rFonts w:ascii="Arial" w:cs="Arial" w:eastAsia="Arial" w:hAnsi="Arial"/>
          <w:sz w:val="17"/>
          <w:szCs w:val="17"/>
          <w:color w:val="auto"/>
        </w:rPr>
      </w:pPr>
    </w:p>
    <w:p>
      <w:pPr>
        <w:ind w:right="140" w:firstLine="592"/>
        <w:spacing w:after="0" w:line="266" w:lineRule="auto"/>
        <w:tabs>
          <w:tab w:leader="none" w:pos="82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Transferability of Options and SARs. The Board may, in its sole discretion, impose such limitations on the transferability of Options and SARs as the Board determines. In the absence of such a determination by the Board to the contrary, the following restrictions on the transferability of Options and SARs will apply:</w:t>
      </w:r>
    </w:p>
    <w:p>
      <w:pPr>
        <w:spacing w:after="0" w:line="175" w:lineRule="exact"/>
        <w:rPr>
          <w:rFonts w:ascii="Arial" w:cs="Arial" w:eastAsia="Arial" w:hAnsi="Arial"/>
          <w:sz w:val="17"/>
          <w:szCs w:val="17"/>
          <w:color w:val="auto"/>
        </w:rPr>
      </w:pPr>
    </w:p>
    <w:p>
      <w:pPr>
        <w:jc w:val="both"/>
        <w:ind w:right="80" w:firstLine="1326"/>
        <w:spacing w:after="0" w:line="262" w:lineRule="auto"/>
        <w:tabs>
          <w:tab w:leader="none" w:pos="1528"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7" w:lineRule="exact"/>
        <w:rPr>
          <w:rFonts w:ascii="Arial" w:cs="Arial" w:eastAsia="Arial" w:hAnsi="Arial"/>
          <w:sz w:val="17"/>
          <w:szCs w:val="17"/>
          <w:color w:val="auto"/>
        </w:rPr>
      </w:pPr>
    </w:p>
    <w:p>
      <w:pPr>
        <w:ind w:right="220" w:firstLine="1326"/>
        <w:spacing w:after="0" w:line="262" w:lineRule="auto"/>
        <w:tabs>
          <w:tab w:leader="none" w:pos="1576"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Domestic Relations Orders</w:t>
      </w:r>
      <w:r>
        <w:rPr>
          <w:rFonts w:ascii="Arial" w:cs="Arial" w:eastAsia="Arial" w:hAnsi="Arial"/>
          <w:sz w:val="17"/>
          <w:szCs w:val="17"/>
          <w:color w:val="auto"/>
        </w:rPr>
        <w:t>. Subject to the approval of the Board or a duly authorized Officer, an Option or SAR may be transferred pursuant to the terms of a domestic relations order, official marital settlement agreement or other divorce or separation instrument as permitted by U.S. Treasury Regulation 1.421-1(b)(2) or other applicable law. If an Option is an Incentive Stock Option, such Option may be deemed to be a Nonstatutory Stock Option as a result of such transfer.</w:t>
      </w:r>
    </w:p>
    <w:p>
      <w:pPr>
        <w:spacing w:after="0" w:line="177" w:lineRule="exact"/>
        <w:rPr>
          <w:rFonts w:ascii="Arial" w:cs="Arial" w:eastAsia="Arial" w:hAnsi="Arial"/>
          <w:sz w:val="17"/>
          <w:szCs w:val="17"/>
          <w:color w:val="auto"/>
        </w:rPr>
      </w:pPr>
    </w:p>
    <w:p>
      <w:pPr>
        <w:ind w:right="60" w:firstLine="1326"/>
        <w:spacing w:after="0" w:line="258" w:lineRule="auto"/>
        <w:tabs>
          <w:tab w:leader="none" w:pos="1624"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Stock or other consideration resulting from such exercise. In the absence of such a designation, the executor or administrator of the Participant’s estate will be entitled to exercise the Option or SAR and receive the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18" w:lineRule="exact"/>
        <w:rPr>
          <w:rFonts w:ascii="Arial" w:cs="Arial" w:eastAsia="Arial" w:hAnsi="Arial"/>
          <w:sz w:val="17"/>
          <w:szCs w:val="17"/>
          <w:color w:val="auto"/>
        </w:rPr>
      </w:pPr>
    </w:p>
    <w:p>
      <w:pPr>
        <w:ind w:firstLine="592"/>
        <w:spacing w:after="0" w:line="290" w:lineRule="auto"/>
        <w:tabs>
          <w:tab w:leader="none" w:pos="80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Vesting Generally. The total number of shares of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8" w:name="page179"/>
    <w:bookmarkEnd w:id="178"/>
    <w:p>
      <w:pPr>
        <w:ind w:right="460"/>
        <w:spacing w:after="0" w:line="279" w:lineRule="auto"/>
        <w:rPr>
          <w:sz w:val="20"/>
          <w:szCs w:val="20"/>
          <w:color w:val="auto"/>
        </w:rPr>
      </w:pPr>
      <w:r>
        <w:rPr>
          <w:rFonts w:ascii="Arial" w:cs="Arial" w:eastAsia="Arial" w:hAnsi="Arial"/>
          <w:sz w:val="17"/>
          <w:szCs w:val="17"/>
          <w:color w:val="auto"/>
        </w:rPr>
        <w:t xml:space="preserve">provisions of individual Options or SARs may vary. The provisions of this </w:t>
      </w:r>
      <w:r>
        <w:rPr>
          <w:rFonts w:ascii="Arial" w:cs="Arial" w:eastAsia="Arial" w:hAnsi="Arial"/>
          <w:sz w:val="17"/>
          <w:szCs w:val="17"/>
          <w:u w:val="single" w:color="auto"/>
          <w:color w:val="auto"/>
        </w:rPr>
        <w:t>Section 5(f)</w:t>
      </w:r>
      <w:r>
        <w:rPr>
          <w:rFonts w:ascii="Arial" w:cs="Arial" w:eastAsia="Arial" w:hAnsi="Arial"/>
          <w:sz w:val="17"/>
          <w:szCs w:val="17"/>
          <w:color w:val="auto"/>
        </w:rPr>
        <w:t xml:space="preserve"> are subject to any Option or SAR provisions governing the minimum number of shares of Stock as to which an Option or SAR may be exercised.</w:t>
      </w:r>
    </w:p>
    <w:p>
      <w:pPr>
        <w:spacing w:after="0" w:line="164" w:lineRule="exact"/>
        <w:rPr>
          <w:sz w:val="20"/>
          <w:szCs w:val="20"/>
          <w:color w:val="auto"/>
        </w:rPr>
      </w:pPr>
    </w:p>
    <w:p>
      <w:pPr>
        <w:ind w:right="20" w:firstLine="592"/>
        <w:spacing w:after="0" w:line="277" w:lineRule="auto"/>
        <w:tabs>
          <w:tab w:leader="none" w:pos="83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Termination of Continuous Service. Except as otherwise provided in the applicable Award Document,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and (ii) the expiration of the term of the Option or SAR as set forth in the applicable Award Document. If, after termination of Continuous Service, the Participant does not exercise his or her Option or SAR within the applicable time frame, the Option or SAR will terminate.</w:t>
      </w:r>
    </w:p>
    <w:p>
      <w:pPr>
        <w:spacing w:after="0" w:line="169" w:lineRule="exact"/>
        <w:rPr>
          <w:rFonts w:ascii="Arial" w:cs="Arial" w:eastAsia="Arial" w:hAnsi="Arial"/>
          <w:sz w:val="16"/>
          <w:szCs w:val="16"/>
          <w:color w:val="auto"/>
        </w:rPr>
      </w:pPr>
    </w:p>
    <w:p>
      <w:pPr>
        <w:ind w:firstLine="592"/>
        <w:spacing w:after="0" w:line="288" w:lineRule="auto"/>
        <w:tabs>
          <w:tab w:leader="none" w:pos="832" w:val="left"/>
        </w:tabs>
        <w:numPr>
          <w:ilvl w:val="1"/>
          <w:numId w:val="134"/>
        </w:numPr>
        <w:rPr>
          <w:rFonts w:ascii="Arial" w:cs="Arial" w:eastAsia="Arial" w:hAnsi="Arial"/>
          <w:sz w:val="15"/>
          <w:szCs w:val="15"/>
          <w:color w:val="auto"/>
        </w:rPr>
      </w:pPr>
      <w:r>
        <w:rPr>
          <w:rFonts w:ascii="Arial" w:cs="Arial" w:eastAsia="Arial" w:hAnsi="Arial"/>
          <w:sz w:val="15"/>
          <w:szCs w:val="15"/>
          <w:color w:val="auto"/>
        </w:rPr>
        <w:t xml:space="preserve">Extension of Termination Date. Except as otherwise provided in the applicable Award Document, or other agreement 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Stock would violate the registration requirements under the Securities Act, then the Option or SAR will terminate on the earlier of (i) the expiration of a total period of three (3) months (that need not be consecutive) after the termination of the Participant’s Continuous Service during which the exercise of the Option or SAR would not be in violation of such registration requirements, and (ii) the expiration of the term of the Option or SAR as set forth in the applicable Award Document. In addition, unless otherwise provided in a Participant’s applicable Award Document, or other agreement between the Participant and the Company, if the sale of any Stock received upon exercise of an Option or SAR following the termination of the Participant’s Continuous Service (other than for Cause) would violate the Company’s insider trading policy, and the Company does not waive the potential violation of the policy or otherwise permit the sale, or allow the Participant to surrender shares of Stock to the Company in satisfaction of any exercise price and/or any withholding obligations under </w:t>
      </w:r>
      <w:r>
        <w:rPr>
          <w:rFonts w:ascii="Arial" w:cs="Arial" w:eastAsia="Arial" w:hAnsi="Arial"/>
          <w:sz w:val="15"/>
          <w:szCs w:val="15"/>
          <w:u w:val="single" w:color="auto"/>
          <w:color w:val="auto"/>
        </w:rPr>
        <w:t>Section 8(g)</w:t>
      </w:r>
      <w:r>
        <w:rPr>
          <w:rFonts w:ascii="Arial" w:cs="Arial" w:eastAsia="Arial" w:hAnsi="Arial"/>
          <w:sz w:val="15"/>
          <w:szCs w:val="15"/>
          <w:color w:val="auto"/>
        </w:rPr>
        <w:t>, then the Option or SAR will terminate on the earlier of (i) the expiration of a period of months (that need not be consecutive) equal to the applicable post-termination exercise period after the termination of the Participant’s Continuous Service during which the sale of the Stock received upon exercise of the Option or SAR would not be in violation of the Company’s insider trading policy, or</w:t>
      </w:r>
    </w:p>
    <w:p>
      <w:pPr>
        <w:spacing w:after="0" w:line="2" w:lineRule="exact"/>
        <w:rPr>
          <w:rFonts w:ascii="Arial" w:cs="Arial" w:eastAsia="Arial" w:hAnsi="Arial"/>
          <w:sz w:val="15"/>
          <w:szCs w:val="15"/>
          <w:color w:val="auto"/>
        </w:rPr>
      </w:pPr>
    </w:p>
    <w:p>
      <w:pPr>
        <w:ind w:left="260" w:hanging="257"/>
        <w:spacing w:after="0"/>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expiration of the term of the Option or SAR as set forth in the applicable Award Document.</w:t>
      </w:r>
    </w:p>
    <w:p>
      <w:pPr>
        <w:spacing w:after="0" w:line="206" w:lineRule="exact"/>
        <w:rPr>
          <w:rFonts w:ascii="Arial" w:cs="Arial" w:eastAsia="Arial" w:hAnsi="Arial"/>
          <w:sz w:val="17"/>
          <w:szCs w:val="17"/>
          <w:color w:val="auto"/>
        </w:rPr>
      </w:pPr>
    </w:p>
    <w:p>
      <w:pPr>
        <w:ind w:right="140" w:firstLine="592"/>
        <w:spacing w:after="0" w:line="258" w:lineRule="auto"/>
        <w:tabs>
          <w:tab w:leader="none" w:pos="7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Disability of Participant. Except as otherwise provided in the applicable Award Document,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and (ii) the expiration of the term of the Option or SAR as set forth in the applicable Award Document. If, after termination of Continuous Service, the Participant does not exercise his or her Option or SAR within the applicable time frame, the Option or SAR (as applicable) will terminate.</w:t>
      </w:r>
    </w:p>
    <w:p>
      <w:pPr>
        <w:spacing w:after="0" w:line="183" w:lineRule="exact"/>
        <w:rPr>
          <w:rFonts w:ascii="Arial" w:cs="Arial" w:eastAsia="Arial" w:hAnsi="Arial"/>
          <w:sz w:val="17"/>
          <w:szCs w:val="17"/>
          <w:color w:val="auto"/>
        </w:rPr>
      </w:pPr>
    </w:p>
    <w:p>
      <w:pPr>
        <w:ind w:left="800" w:hanging="208"/>
        <w:spacing w:after="0"/>
        <w:tabs>
          <w:tab w:leader="none" w:pos="80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Death of Participant. Except as otherwise provided in the applicable Award Document, or other agreement between the Participant and the Company, if</w:t>
      </w:r>
    </w:p>
    <w:p>
      <w:pPr>
        <w:spacing w:after="0" w:line="44" w:lineRule="exact"/>
        <w:rPr>
          <w:rFonts w:ascii="Arial" w:cs="Arial" w:eastAsia="Arial" w:hAnsi="Arial"/>
          <w:sz w:val="15"/>
          <w:szCs w:val="15"/>
          <w:color w:val="auto"/>
        </w:rPr>
      </w:pPr>
    </w:p>
    <w:p>
      <w:pPr>
        <w:ind w:right="60" w:firstLine="3"/>
        <w:spacing w:after="0" w:line="273" w:lineRule="auto"/>
        <w:tabs>
          <w:tab w:leader="none" w:pos="2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Participant’s Continuous Service terminates as a result of the Participant’s death, or (ii) the Participant dies within the period (if any) specified in this Plan or the applicable Award Document, or other agreement between the Participant and the Company,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and (ii) the expiration of the term of such Option or SAR as set forth in the applicable Award Document. If, after the Participant’s death, the Option or SAR is not exercised within the applicable time frame, the Option or SAR will terminate.</w:t>
      </w:r>
    </w:p>
    <w:p>
      <w:pPr>
        <w:spacing w:after="0" w:line="174" w:lineRule="exact"/>
        <w:rPr>
          <w:rFonts w:ascii="Arial" w:cs="Arial" w:eastAsia="Arial" w:hAnsi="Arial"/>
          <w:sz w:val="16"/>
          <w:szCs w:val="16"/>
          <w:color w:val="auto"/>
        </w:rPr>
      </w:pPr>
    </w:p>
    <w:p>
      <w:pPr>
        <w:ind w:right="120" w:firstLine="592"/>
        <w:spacing w:after="0" w:line="290" w:lineRule="auto"/>
        <w:tabs>
          <w:tab w:leader="none" w:pos="83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Termination for Cause. Except as explicitly provided otherwise in a Participant’s Award Document or other individual written agreement between the Company or any Affiliate and the Participant, if a Participant’s Continuous Service is terminated for Cause, the Option or SAR will terminate upon the date on which the event giving rise to the termination for Cause first occurred, and the Participant will be prohibited from exercising his or</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9" w:name="page180"/>
    <w:bookmarkEnd w:id="179"/>
    <w:p>
      <w:pPr>
        <w:jc w:val="both"/>
        <w:ind w:right="80"/>
        <w:spacing w:after="0" w:line="266" w:lineRule="auto"/>
        <w:rPr>
          <w:sz w:val="20"/>
          <w:szCs w:val="20"/>
          <w:color w:val="auto"/>
        </w:rPr>
      </w:pPr>
      <w:r>
        <w:rPr>
          <w:rFonts w:ascii="Arial" w:cs="Arial" w:eastAsia="Arial" w:hAnsi="Arial"/>
          <w:sz w:val="17"/>
          <w:szCs w:val="17"/>
          <w:color w:val="auto"/>
        </w:rPr>
        <w:t>her Option or SAR from and after the date on which the event giving rise to the termination for Cause first occurred (or, if required by law, the date of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175" w:lineRule="exact"/>
        <w:rPr>
          <w:sz w:val="20"/>
          <w:szCs w:val="20"/>
          <w:color w:val="auto"/>
        </w:rPr>
      </w:pPr>
    </w:p>
    <w:p>
      <w:pPr>
        <w:jc w:val="both"/>
        <w:ind w:right="20" w:firstLine="592"/>
        <w:spacing w:after="0" w:line="292" w:lineRule="auto"/>
        <w:tabs>
          <w:tab w:leader="none" w:pos="794" w:val="left"/>
        </w:tabs>
        <w:numPr>
          <w:ilvl w:val="1"/>
          <w:numId w:val="137"/>
        </w:numPr>
        <w:rPr>
          <w:rFonts w:ascii="Arial" w:cs="Arial" w:eastAsia="Arial" w:hAnsi="Arial"/>
          <w:sz w:val="15"/>
          <w:szCs w:val="15"/>
          <w:color w:val="auto"/>
        </w:rPr>
      </w:pPr>
      <w:r>
        <w:rPr>
          <w:rFonts w:ascii="Arial" w:cs="Arial" w:eastAsia="Arial" w:hAnsi="Arial"/>
          <w:sz w:val="15"/>
          <w:szCs w:val="15"/>
          <w:color w:val="auto"/>
        </w:rPr>
        <w:t>Non-Exempt Employees. If an Option or SAR is granted to an Employee who is a non-exempt employee for purposes of the U.S. Fair Labor Standards Act of 1938, as amended, the Option or SAR will not be first exercisable for any shares of Stock until at least 6 months following the date of grant of the Option or SAR (although the Award may vest prior to such date). Consistent with the provisions of the U.S. Worker Economic Opportunity Act, (i) if such non-</w:t>
      </w:r>
    </w:p>
    <w:p>
      <w:pPr>
        <w:ind w:right="80"/>
        <w:spacing w:after="0" w:line="287" w:lineRule="auto"/>
        <w:rPr>
          <w:rFonts w:ascii="Arial" w:cs="Arial" w:eastAsia="Arial" w:hAnsi="Arial"/>
          <w:sz w:val="15"/>
          <w:szCs w:val="15"/>
          <w:color w:val="auto"/>
        </w:rPr>
      </w:pPr>
      <w:r>
        <w:rPr>
          <w:rFonts w:ascii="Arial" w:cs="Arial" w:eastAsia="Arial" w:hAnsi="Arial"/>
          <w:sz w:val="15"/>
          <w:szCs w:val="15"/>
          <w:color w:val="auto"/>
        </w:rPr>
        <w:t>exempt Employee dies or suffers a Disability, (ii) upon a Change in Control in which such Option or SAR is not assumed, continued, or substituted, or (iii) upon the non-exempt Employee’s retirement (as such term may be defined in the non-exempt Employee’s applicable Award Document, in another agreement between the non-exempt Employee and the Company, or, if no such definition, in accordance with the Company’s then current employment policies and guidelines), the vested portion of any Options and SARs may be exercised earlier than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U.S. Worker Economic Opportunity Act to ensure that any income derived by a non-</w:t>
      </w:r>
    </w:p>
    <w:p>
      <w:pPr>
        <w:ind w:right="260"/>
        <w:spacing w:after="0" w:line="334" w:lineRule="auto"/>
        <w:rPr>
          <w:rFonts w:ascii="Arial" w:cs="Arial" w:eastAsia="Arial" w:hAnsi="Arial"/>
          <w:sz w:val="15"/>
          <w:szCs w:val="15"/>
          <w:color w:val="auto"/>
        </w:rPr>
      </w:pPr>
      <w:r>
        <w:rPr>
          <w:rFonts w:ascii="Arial" w:cs="Arial" w:eastAsia="Arial" w:hAnsi="Arial"/>
          <w:sz w:val="15"/>
          <w:szCs w:val="15"/>
          <w:color w:val="auto"/>
        </w:rPr>
        <w:t>exempt Employee in connection with the exercise, vesting or issuance of any shares under any other Stock Award will be exempt from such employee’s regular rate of pay, the provisions of this paragraph will apply to all Stock Awards and are hereby incorporated by reference into such Stock Award Documents.</w:t>
      </w:r>
    </w:p>
    <w:p>
      <w:pPr>
        <w:spacing w:after="0" w:line="127" w:lineRule="exact"/>
        <w:rPr>
          <w:rFonts w:ascii="Arial" w:cs="Arial" w:eastAsia="Arial" w:hAnsi="Arial"/>
          <w:sz w:val="15"/>
          <w:szCs w:val="15"/>
          <w:color w:val="auto"/>
        </w:rPr>
      </w:pPr>
    </w:p>
    <w:p>
      <w:pPr>
        <w:jc w:val="both"/>
        <w:ind w:right="420" w:firstLine="592"/>
        <w:spacing w:after="0" w:line="266" w:lineRule="auto"/>
        <w:tabs>
          <w:tab w:leader="none" w:pos="88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No Repricing. Neither an Option nor SAR may be modified to reduce the exercise price thereof nor may a new Option, SAR or other Award at a lower price be substituted or exchanged for a surrendered Option or SAR (other than adjustments or substitutions in accordance with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relating to Capitalization Adjustments), unless such action is approved by the stockholders of the Company.</w:t>
      </w:r>
    </w:p>
    <w:p>
      <w:pPr>
        <w:spacing w:after="0" w:line="316" w:lineRule="exact"/>
        <w:rPr>
          <w:rFonts w:ascii="Arial" w:cs="Arial" w:eastAsia="Arial" w:hAnsi="Arial"/>
          <w:sz w:val="17"/>
          <w:szCs w:val="17"/>
          <w:color w:val="auto"/>
        </w:rPr>
      </w:pPr>
    </w:p>
    <w:p>
      <w:pPr>
        <w:ind w:left="560" w:hanging="557"/>
        <w:spacing w:after="0"/>
        <w:tabs>
          <w:tab w:leader="none" w:pos="560"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PROVISIONS OF STOCK AWARDS OTHER THAN OPTIONS AND SARS.</w:t>
      </w:r>
    </w:p>
    <w:p>
      <w:pPr>
        <w:spacing w:after="0" w:line="113" w:lineRule="exact"/>
        <w:rPr>
          <w:rFonts w:ascii="Arial" w:cs="Arial" w:eastAsia="Arial" w:hAnsi="Arial"/>
          <w:sz w:val="17"/>
          <w:szCs w:val="17"/>
          <w:b w:val="1"/>
          <w:bCs w:val="1"/>
          <w:color w:val="auto"/>
        </w:rPr>
      </w:pPr>
    </w:p>
    <w:p>
      <w:pPr>
        <w:ind w:firstLine="592"/>
        <w:spacing w:after="0" w:line="277" w:lineRule="auto"/>
        <w:tabs>
          <w:tab w:leader="none" w:pos="82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Restricted Stock Awards. Each Restricted Stock Award Document will be in such form and will contain such terms and conditions as the Board deems appropriate. To the extent consistent with the Company’s bylaws, at the Board’s election, shares of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Documents may change from time to time, and the terms and conditions of separate Restricted Stock Award Documents need not be identical. Each Restricted Stock Award Document will conform to (through incorporation of the provisions hereof by reference in the agreement or otherwise) the substance of each of the following provisions:</w:t>
      </w:r>
    </w:p>
    <w:p>
      <w:pPr>
        <w:spacing w:after="0" w:line="169" w:lineRule="exact"/>
        <w:rPr>
          <w:rFonts w:ascii="Arial" w:cs="Arial" w:eastAsia="Arial" w:hAnsi="Arial"/>
          <w:sz w:val="16"/>
          <w:szCs w:val="16"/>
          <w:color w:val="auto"/>
        </w:rPr>
      </w:pPr>
    </w:p>
    <w:p>
      <w:pPr>
        <w:ind w:right="200" w:firstLine="1326"/>
        <w:spacing w:after="0" w:line="266" w:lineRule="auto"/>
        <w:tabs>
          <w:tab w:leader="none" w:pos="1528" w:val="left"/>
        </w:tabs>
        <w:numPr>
          <w:ilvl w:val="2"/>
          <w:numId w:val="138"/>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75" w:lineRule="exact"/>
        <w:rPr>
          <w:rFonts w:ascii="Arial" w:cs="Arial" w:eastAsia="Arial" w:hAnsi="Arial"/>
          <w:sz w:val="17"/>
          <w:szCs w:val="17"/>
          <w:color w:val="auto"/>
        </w:rPr>
      </w:pPr>
    </w:p>
    <w:p>
      <w:pPr>
        <w:ind w:right="160" w:firstLine="1326"/>
        <w:spacing w:after="0" w:line="279" w:lineRule="auto"/>
        <w:tabs>
          <w:tab w:leader="none" w:pos="1576" w:val="left"/>
        </w:tabs>
        <w:numPr>
          <w:ilvl w:val="2"/>
          <w:numId w:val="138"/>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Shares of Stock awarded under the Restricted Stock Award Document may be subject to forfeiture to the Company in accordance with a vesting schedule and subject to such conditions as may be determined by the Board.</w:t>
      </w:r>
    </w:p>
    <w:p>
      <w:pPr>
        <w:spacing w:after="0" w:line="99" w:lineRule="exact"/>
        <w:rPr>
          <w:rFonts w:ascii="Arial" w:cs="Arial" w:eastAsia="Arial" w:hAnsi="Arial"/>
          <w:sz w:val="17"/>
          <w:szCs w:val="17"/>
          <w:color w:val="auto"/>
        </w:rPr>
      </w:pPr>
    </w:p>
    <w:p>
      <w:pPr>
        <w:ind w:right="160" w:firstLine="1326"/>
        <w:spacing w:after="0" w:line="266" w:lineRule="auto"/>
        <w:tabs>
          <w:tab w:leader="none" w:pos="1624" w:val="left"/>
        </w:tabs>
        <w:numPr>
          <w:ilvl w:val="2"/>
          <w:numId w:val="138"/>
        </w:numPr>
        <w:rPr>
          <w:rFonts w:ascii="Arial" w:cs="Arial" w:eastAsia="Arial" w:hAnsi="Arial"/>
          <w:sz w:val="17"/>
          <w:szCs w:val="17"/>
          <w:color w:val="auto"/>
        </w:rPr>
      </w:pPr>
      <w:r>
        <w:rPr>
          <w:rFonts w:ascii="Arial" w:cs="Arial" w:eastAsia="Arial" w:hAnsi="Arial"/>
          <w:sz w:val="17"/>
          <w:szCs w:val="17"/>
          <w:u w:val="single" w:color="auto"/>
          <w:color w:val="auto"/>
        </w:rPr>
        <w:t>Termination of Participant’s Continuous Service</w:t>
      </w:r>
      <w:r>
        <w:rPr>
          <w:rFonts w:ascii="Arial" w:cs="Arial" w:eastAsia="Arial" w:hAnsi="Arial"/>
          <w:sz w:val="17"/>
          <w:szCs w:val="17"/>
          <w:color w:val="auto"/>
        </w:rPr>
        <w:t>. If a Participant’s Continuous Service terminates, the Company may receive through a forfeiture condition or a repurchase right, any or all of the shares of Stock held by the Participant that have not vested as of the date of termination of Continuous Service under the terms of the Restricted Stock Award Document.</w:t>
      </w:r>
    </w:p>
    <w:p>
      <w:pPr>
        <w:spacing w:after="0" w:line="175" w:lineRule="exact"/>
        <w:rPr>
          <w:rFonts w:ascii="Arial" w:cs="Arial" w:eastAsia="Arial" w:hAnsi="Arial"/>
          <w:sz w:val="17"/>
          <w:szCs w:val="17"/>
          <w:color w:val="auto"/>
        </w:rPr>
      </w:pPr>
    </w:p>
    <w:p>
      <w:pPr>
        <w:jc w:val="both"/>
        <w:ind w:right="40" w:firstLine="1326"/>
        <w:spacing w:after="0" w:line="266" w:lineRule="auto"/>
        <w:tabs>
          <w:tab w:leader="none" w:pos="1614" w:val="left"/>
        </w:tabs>
        <w:numPr>
          <w:ilvl w:val="2"/>
          <w:numId w:val="13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Stock issued pursuant to an Award, and rights to acquire shares of Stock under the Restricted Stock Award Document, will be transferable by the Participant only upon such terms and conditions as are set forth in the Restricted Stock Award Document, as the Board determines in its sole discretion, so long as such Stock remains subject to the terms of the Restricted Stock Award Document.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80" w:name="page181"/>
    <w:bookmarkEnd w:id="180"/>
    <w:p>
      <w:pPr>
        <w:ind w:right="440" w:firstLine="1326"/>
        <w:spacing w:after="0" w:line="279" w:lineRule="auto"/>
        <w:tabs>
          <w:tab w:leader="none" w:pos="1566"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Any dividends paid on Restricted Stock will be subject to the same vesting and forfeiture restrictions as apply to the shares subject to the Restricted Stock Award to which they relate.</w:t>
      </w:r>
    </w:p>
    <w:p>
      <w:pPr>
        <w:spacing w:after="0" w:line="164" w:lineRule="exact"/>
        <w:rPr>
          <w:rFonts w:ascii="Arial" w:cs="Arial" w:eastAsia="Arial" w:hAnsi="Arial"/>
          <w:sz w:val="17"/>
          <w:szCs w:val="17"/>
          <w:color w:val="auto"/>
        </w:rPr>
      </w:pPr>
    </w:p>
    <w:p>
      <w:pPr>
        <w:jc w:val="both"/>
        <w:ind w:firstLine="592"/>
        <w:spacing w:after="0" w:line="262" w:lineRule="auto"/>
        <w:tabs>
          <w:tab w:leader="none" w:pos="83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Restricted Stock Unit Awards. Each Restricted Stock Unit Award Document will be in such form and will contain such terms and conditions as the Board deems appropriate. The terms and conditions of Restricted Stock Unit Award Documents may change from time to time, and the terms and conditions of separate Restricted Stock Unit Award Documents need not be identical. Each Restricted Stock Unit Award Document will conform to (through incorporation of the provisions hereof by reference in the Agreement or otherwise) the substance of each of the following provisions:</w:t>
      </w:r>
    </w:p>
    <w:p>
      <w:pPr>
        <w:spacing w:after="0" w:line="177" w:lineRule="exact"/>
        <w:rPr>
          <w:rFonts w:ascii="Arial" w:cs="Arial" w:eastAsia="Arial" w:hAnsi="Arial"/>
          <w:sz w:val="17"/>
          <w:szCs w:val="17"/>
          <w:color w:val="auto"/>
        </w:rPr>
      </w:pPr>
    </w:p>
    <w:p>
      <w:pPr>
        <w:ind w:right="100" w:firstLine="1326"/>
        <w:spacing w:after="0" w:line="262" w:lineRule="auto"/>
        <w:tabs>
          <w:tab w:leader="none" w:pos="1528"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At the time of grant of a Restricted Stock Unit Award, the Board will determine the consideration, if any, to be paid by the Participant upon delivery of each share of Stock subject to the Restricted Stock Unit Award. The consideration to be paid (if any) by the Participant for each share of Stock subject to a Restricted Stock Unit Award may be paid in any form of legal consideration that may be acceptable to the Board, in its sole discretion, and permissible under applicable law.</w:t>
      </w:r>
    </w:p>
    <w:p>
      <w:pPr>
        <w:spacing w:after="0" w:line="178" w:lineRule="exact"/>
        <w:rPr>
          <w:sz w:val="20"/>
          <w:szCs w:val="20"/>
          <w:color w:val="auto"/>
        </w:rPr>
      </w:pPr>
    </w:p>
    <w:p>
      <w:pPr>
        <w:ind w:right="20" w:firstLine="1326"/>
        <w:spacing w:after="0" w:line="279" w:lineRule="auto"/>
        <w:tabs>
          <w:tab w:leader="none" w:pos="1576"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At the time of the grant of a Restricted Stock Unit Award, the Board may impose such restrictions on or conditions to the vesting of the Restricted Stock Unit Award as it, in its sole discretion, deems appropriate.</w:t>
      </w:r>
    </w:p>
    <w:p>
      <w:pPr>
        <w:spacing w:after="0" w:line="164" w:lineRule="exact"/>
        <w:rPr>
          <w:rFonts w:ascii="Arial" w:cs="Arial" w:eastAsia="Arial" w:hAnsi="Arial"/>
          <w:sz w:val="17"/>
          <w:szCs w:val="17"/>
          <w:color w:val="auto"/>
        </w:rPr>
      </w:pPr>
    </w:p>
    <w:p>
      <w:pPr>
        <w:ind w:right="120" w:firstLine="1326"/>
        <w:spacing w:after="0" w:line="279" w:lineRule="auto"/>
        <w:tabs>
          <w:tab w:leader="none" w:pos="1624"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A Restricted Stock Unit Award may be settled by the delivery of shares of Stock, their cash equivalent, any combination thereof or in any other form of consideration, as determined by the Board and contained in the Restricted Stock Unit Award Document.</w:t>
      </w:r>
    </w:p>
    <w:p>
      <w:pPr>
        <w:spacing w:after="0" w:line="164" w:lineRule="exact"/>
        <w:rPr>
          <w:rFonts w:ascii="Arial" w:cs="Arial" w:eastAsia="Arial" w:hAnsi="Arial"/>
          <w:sz w:val="17"/>
          <w:szCs w:val="17"/>
          <w:color w:val="auto"/>
        </w:rPr>
      </w:pPr>
    </w:p>
    <w:p>
      <w:pPr>
        <w:ind w:right="20" w:firstLine="1326"/>
        <w:spacing w:after="0" w:line="266" w:lineRule="auto"/>
        <w:tabs>
          <w:tab w:leader="none" w:pos="1614"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Additional Restrictions</w:t>
      </w:r>
      <w:r>
        <w:rPr>
          <w:rFonts w:ascii="Arial" w:cs="Arial" w:eastAsia="Arial" w:hAnsi="Arial"/>
          <w:sz w:val="17"/>
          <w:szCs w:val="17"/>
          <w:color w:val="auto"/>
        </w:rPr>
        <w:t>. At the time of the grant of a Restricted Stock Unit Award, the Board, as it deems appropriate, may impose such restrictions or conditions that delay the delivery of the shares of Stock (or their cash equivalent) subject to a Restricted Stock Unit Award to a time after the vesting of such Restricted Stock Unit Award.</w:t>
      </w:r>
    </w:p>
    <w:p>
      <w:pPr>
        <w:spacing w:after="0" w:line="175" w:lineRule="exact"/>
        <w:rPr>
          <w:rFonts w:ascii="Arial" w:cs="Arial" w:eastAsia="Arial" w:hAnsi="Arial"/>
          <w:sz w:val="17"/>
          <w:szCs w:val="17"/>
          <w:color w:val="auto"/>
        </w:rPr>
      </w:pPr>
    </w:p>
    <w:p>
      <w:pPr>
        <w:ind w:right="220" w:firstLine="1326"/>
        <w:spacing w:after="0" w:line="259" w:lineRule="auto"/>
        <w:tabs>
          <w:tab w:leader="none" w:pos="1566"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credited in respect of shares of Stock covered by a Restricted Stock Unit Award, as determined by the Board and contained in the Restricted Stock Unit Award Document. At the sole discretion of the Board, such dividend equivalents may be converted into additional shares of Stock covered by the Restricted Stock Unit Award in such a manner as determined by the Board. Any dividend equivalents and/or additional shares covered by the Restricted Stock Unit Award credited by reason of such dividend equivalents will be subject to all of the same terms and conditions of the underlying Restricted Stock Unit Award Document to which they relate.</w:t>
      </w:r>
    </w:p>
    <w:p>
      <w:pPr>
        <w:spacing w:after="0" w:line="182" w:lineRule="exact"/>
        <w:rPr>
          <w:rFonts w:ascii="Arial" w:cs="Arial" w:eastAsia="Arial" w:hAnsi="Arial"/>
          <w:sz w:val="17"/>
          <w:szCs w:val="17"/>
          <w:color w:val="auto"/>
        </w:rPr>
      </w:pPr>
    </w:p>
    <w:p>
      <w:pPr>
        <w:ind w:firstLine="1326"/>
        <w:spacing w:after="0" w:line="266" w:lineRule="auto"/>
        <w:tabs>
          <w:tab w:leader="none" w:pos="1614"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Termination of Participant’s Continuous Service</w:t>
      </w:r>
      <w:r>
        <w:rPr>
          <w:rFonts w:ascii="Arial" w:cs="Arial" w:eastAsia="Arial" w:hAnsi="Arial"/>
          <w:sz w:val="17"/>
          <w:szCs w:val="17"/>
          <w:color w:val="auto"/>
        </w:rPr>
        <w:t>. Except as otherwise provided in the applicable Restricted Stock Unit Award Document, or other agreement between the Participant and the Company, such portion of the Restricted Stock Unit Award that has not vested will be forfeited upon the Participant’s termination of Continuous Service.</w:t>
      </w:r>
    </w:p>
    <w:p>
      <w:pPr>
        <w:spacing w:after="0" w:line="175" w:lineRule="exact"/>
        <w:rPr>
          <w:rFonts w:ascii="Arial" w:cs="Arial" w:eastAsia="Arial" w:hAnsi="Arial"/>
          <w:sz w:val="17"/>
          <w:szCs w:val="17"/>
          <w:color w:val="auto"/>
        </w:rPr>
      </w:pPr>
    </w:p>
    <w:p>
      <w:pPr>
        <w:ind w:left="820" w:hanging="228"/>
        <w:spacing w:after="0"/>
        <w:tabs>
          <w:tab w:leader="none" w:pos="8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Performance Awards.</w:t>
      </w:r>
    </w:p>
    <w:p>
      <w:pPr>
        <w:spacing w:after="0" w:line="152" w:lineRule="exact"/>
        <w:rPr>
          <w:rFonts w:ascii="Arial" w:cs="Arial" w:eastAsia="Arial" w:hAnsi="Arial"/>
          <w:sz w:val="17"/>
          <w:szCs w:val="17"/>
          <w:color w:val="auto"/>
        </w:rPr>
      </w:pPr>
    </w:p>
    <w:p>
      <w:pPr>
        <w:ind w:right="80" w:firstLine="1326"/>
        <w:spacing w:after="0" w:line="277" w:lineRule="auto"/>
        <w:tabs>
          <w:tab w:leader="none" w:pos="1528"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Performance Stock Awards</w:t>
      </w:r>
      <w:r>
        <w:rPr>
          <w:rFonts w:ascii="Arial" w:cs="Arial" w:eastAsia="Arial" w:hAnsi="Arial"/>
          <w:sz w:val="16"/>
          <w:szCs w:val="16"/>
          <w:color w:val="auto"/>
        </w:rPr>
        <w:t>. A Performance Stock Award is a Stock Award that is payable (including that may be granted, vest or exercised) contingent upon the attainment during a Performance Period of the achievement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the Board, or an authorized Officer, in its sole discretion. In addition, to the extent permitted by applicable law and the applicable Award Document, the Board may determine that cash may be used in payment of Performance Stock Awards.</w:t>
      </w:r>
    </w:p>
    <w:p>
      <w:pPr>
        <w:spacing w:after="0" w:line="169" w:lineRule="exact"/>
        <w:rPr>
          <w:rFonts w:ascii="Arial" w:cs="Arial" w:eastAsia="Arial" w:hAnsi="Arial"/>
          <w:sz w:val="16"/>
          <w:szCs w:val="16"/>
          <w:color w:val="auto"/>
        </w:rPr>
      </w:pPr>
    </w:p>
    <w:p>
      <w:pPr>
        <w:jc w:val="both"/>
        <w:ind w:right="560" w:firstLine="1326"/>
        <w:spacing w:after="0" w:line="266" w:lineRule="auto"/>
        <w:tabs>
          <w:tab w:leader="none" w:pos="1576"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Performance Cash Awards</w:t>
      </w:r>
      <w:r>
        <w:rPr>
          <w:rFonts w:ascii="Arial" w:cs="Arial" w:eastAsia="Arial" w:hAnsi="Arial"/>
          <w:sz w:val="17"/>
          <w:szCs w:val="17"/>
          <w:color w:val="auto"/>
        </w:rPr>
        <w:t>. A Performance Cash Award is a cash award that is granted and/or becomes payable contingent upon the attainment during a Performance Period of the achievement of certain performance goals. A Performance Cash Award may also require the completion of a specified period of Continuous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81" w:name="page182"/>
    <w:bookmarkEnd w:id="181"/>
    <w:p>
      <w:pPr>
        <w:jc w:val="both"/>
        <w:spacing w:after="0" w:line="259" w:lineRule="auto"/>
        <w:rPr>
          <w:sz w:val="20"/>
          <w:szCs w:val="20"/>
          <w:color w:val="auto"/>
        </w:rPr>
      </w:pPr>
      <w:r>
        <w:rPr>
          <w:rFonts w:ascii="Arial" w:cs="Arial" w:eastAsia="Arial" w:hAnsi="Arial"/>
          <w:sz w:val="17"/>
          <w:szCs w:val="17"/>
          <w:color w:val="auto"/>
        </w:rPr>
        <w:t>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the Board, or an authorized Officer,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83" w:lineRule="exact"/>
        <w:rPr>
          <w:sz w:val="20"/>
          <w:szCs w:val="20"/>
          <w:color w:val="auto"/>
        </w:rPr>
      </w:pPr>
    </w:p>
    <w:p>
      <w:pPr>
        <w:ind w:right="240" w:firstLine="1326"/>
        <w:spacing w:after="0" w:line="279" w:lineRule="auto"/>
        <w:tabs>
          <w:tab w:leader="none" w:pos="1624" w:val="left"/>
        </w:tabs>
        <w:numPr>
          <w:ilvl w:val="2"/>
          <w:numId w:val="143"/>
        </w:numPr>
        <w:rPr>
          <w:rFonts w:ascii="Arial" w:cs="Arial" w:eastAsia="Arial" w:hAnsi="Arial"/>
          <w:sz w:val="17"/>
          <w:szCs w:val="17"/>
          <w:color w:val="auto"/>
        </w:rPr>
      </w:pPr>
      <w:r>
        <w:rPr>
          <w:rFonts w:ascii="Arial" w:cs="Arial" w:eastAsia="Arial" w:hAnsi="Arial"/>
          <w:sz w:val="17"/>
          <w:szCs w:val="17"/>
          <w:u w:val="single" w:color="auto"/>
          <w:color w:val="auto"/>
        </w:rPr>
        <w:t>Board Discretion</w:t>
      </w:r>
      <w:r>
        <w:rPr>
          <w:rFonts w:ascii="Arial" w:cs="Arial" w:eastAsia="Arial" w:hAnsi="Arial"/>
          <w:sz w:val="17"/>
          <w:szCs w:val="17"/>
          <w:color w:val="auto"/>
        </w:rPr>
        <w:t>. The Committee, the Board, or an authorized Officer, as the case may be, retains the discretion to define the manner of calculating the performance criteria it selects to use for a Performance Period.</w:t>
      </w:r>
    </w:p>
    <w:p>
      <w:pPr>
        <w:spacing w:after="0" w:line="306" w:lineRule="exact"/>
        <w:rPr>
          <w:rFonts w:ascii="Arial" w:cs="Arial" w:eastAsia="Arial" w:hAnsi="Arial"/>
          <w:sz w:val="17"/>
          <w:szCs w:val="17"/>
          <w:color w:val="auto"/>
        </w:rPr>
      </w:pPr>
    </w:p>
    <w:p>
      <w:pPr>
        <w:ind w:left="560" w:hanging="557"/>
        <w:spacing w:after="0"/>
        <w:tabs>
          <w:tab w:leader="none" w:pos="560"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COVENANTS OF THE COMPANY.</w:t>
      </w:r>
    </w:p>
    <w:p>
      <w:pPr>
        <w:spacing w:after="0" w:line="113" w:lineRule="exact"/>
        <w:rPr>
          <w:rFonts w:ascii="Arial" w:cs="Arial" w:eastAsia="Arial" w:hAnsi="Arial"/>
          <w:sz w:val="17"/>
          <w:szCs w:val="17"/>
          <w:b w:val="1"/>
          <w:bCs w:val="1"/>
          <w:color w:val="auto"/>
        </w:rPr>
      </w:pPr>
    </w:p>
    <w:p>
      <w:pPr>
        <w:ind w:right="260" w:firstLine="592"/>
        <w:spacing w:after="0" w:line="262" w:lineRule="auto"/>
        <w:tabs>
          <w:tab w:leader="none" w:pos="82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Obligation to Notify or Minimize Taxes. 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and does not undertake to, provide tax advice or to minimize the tax consequences of an Award to the holder of such Award.</w:t>
      </w:r>
    </w:p>
    <w:p>
      <w:pPr>
        <w:spacing w:after="0" w:line="177" w:lineRule="exact"/>
        <w:rPr>
          <w:rFonts w:ascii="Arial" w:cs="Arial" w:eastAsia="Arial" w:hAnsi="Arial"/>
          <w:sz w:val="17"/>
          <w:szCs w:val="17"/>
          <w:color w:val="auto"/>
        </w:rPr>
      </w:pPr>
    </w:p>
    <w:p>
      <w:pPr>
        <w:ind w:firstLine="592"/>
        <w:spacing w:after="0" w:line="297" w:lineRule="auto"/>
        <w:tabs>
          <w:tab w:leader="none" w:pos="832" w:val="left"/>
        </w:tabs>
        <w:numPr>
          <w:ilvl w:val="1"/>
          <w:numId w:val="144"/>
        </w:numPr>
        <w:rPr>
          <w:rFonts w:ascii="Arial" w:cs="Arial" w:eastAsia="Arial" w:hAnsi="Arial"/>
          <w:sz w:val="15"/>
          <w:szCs w:val="15"/>
          <w:color w:val="auto"/>
        </w:rPr>
      </w:pPr>
      <w:r>
        <w:rPr>
          <w:rFonts w:ascii="Arial" w:cs="Arial" w:eastAsia="Arial" w:hAnsi="Arial"/>
          <w:sz w:val="15"/>
          <w:szCs w:val="15"/>
          <w:color w:val="auto"/>
        </w:rPr>
        <w:t>Securities Law Compliance. The Company will seek to obtain from each regulatory commission or agency having jurisdiction over this Plan such authority as may be required to grant Stock Awards and to issue and sell shares of Stock upon exercise of the Stock Awards; provided, however, that this undertaking will not require the Company to register under the Securities Act this Plan, any Stock Award or any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Stock under this Plan, the Company will be relieved from any liability for failure to issue and sell Stock upon exercise of such Stock Awards unless and until such authority is obtained. A Participant will not be eligible for the grant of an Award or the subsequent issuance of cash or Stock pursuant to the Award if such grant or issuance would be in violation of any applicable securities law.</w:t>
      </w:r>
    </w:p>
    <w:p>
      <w:pPr>
        <w:spacing w:after="0" w:line="297" w:lineRule="exact"/>
        <w:rPr>
          <w:rFonts w:ascii="Arial" w:cs="Arial" w:eastAsia="Arial" w:hAnsi="Arial"/>
          <w:sz w:val="15"/>
          <w:szCs w:val="15"/>
          <w:color w:val="auto"/>
        </w:rPr>
      </w:pPr>
    </w:p>
    <w:p>
      <w:pPr>
        <w:ind w:left="560" w:hanging="557"/>
        <w:spacing w:after="0"/>
        <w:tabs>
          <w:tab w:leader="none" w:pos="560"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MISCELLANEOUS.</w:t>
      </w:r>
    </w:p>
    <w:p>
      <w:pPr>
        <w:spacing w:after="0" w:line="113" w:lineRule="exact"/>
        <w:rPr>
          <w:rFonts w:ascii="Arial" w:cs="Arial" w:eastAsia="Arial" w:hAnsi="Arial"/>
          <w:sz w:val="17"/>
          <w:szCs w:val="17"/>
          <w:b w:val="1"/>
          <w:bCs w:val="1"/>
          <w:color w:val="auto"/>
        </w:rPr>
      </w:pPr>
    </w:p>
    <w:p>
      <w:pPr>
        <w:ind w:left="820" w:hanging="228"/>
        <w:spacing w:after="0"/>
        <w:tabs>
          <w:tab w:leader="none" w:pos="8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Use of Proceeds from Sales of Stock. Proceeds from the sale of shares of Stock pursuant to Stock Awards will constitute general funds of the</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06" w:lineRule="exact"/>
        <w:rPr>
          <w:rFonts w:ascii="Arial" w:cs="Arial" w:eastAsia="Arial" w:hAnsi="Arial"/>
          <w:sz w:val="16"/>
          <w:szCs w:val="16"/>
          <w:color w:val="auto"/>
        </w:rPr>
      </w:pPr>
    </w:p>
    <w:p>
      <w:pPr>
        <w:ind w:right="80" w:firstLine="592"/>
        <w:spacing w:after="0" w:line="257" w:lineRule="auto"/>
        <w:tabs>
          <w:tab w:leader="none" w:pos="83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Corporate Action Constituting Grant of Awards. Corporate action constituting a grant by the Company of an Award to any Participant will be deemed completed as of the latest date that all necessary corporate action has occurred and all material terms of the Award (including, in the case of stock options, the exercise price thereof) are fixed, unless otherwise determined by the Board, regardless of when the documentation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Document as a result of a clerical error in the papering of the Award Document, the corporate records will control and the Participant will have no legally binding right to the incorrect term in the Award Document.</w:t>
      </w:r>
    </w:p>
    <w:p>
      <w:pPr>
        <w:spacing w:after="0" w:line="184" w:lineRule="exact"/>
        <w:rPr>
          <w:rFonts w:ascii="Arial" w:cs="Arial" w:eastAsia="Arial" w:hAnsi="Arial"/>
          <w:sz w:val="17"/>
          <w:szCs w:val="17"/>
          <w:color w:val="auto"/>
        </w:rPr>
      </w:pPr>
    </w:p>
    <w:p>
      <w:pPr>
        <w:jc w:val="both"/>
        <w:ind w:right="380" w:firstLine="592"/>
        <w:spacing w:after="0" w:line="318" w:lineRule="auto"/>
        <w:tabs>
          <w:tab w:leader="none" w:pos="823" w:val="left"/>
        </w:tabs>
        <w:numPr>
          <w:ilvl w:val="1"/>
          <w:numId w:val="144"/>
        </w:numPr>
        <w:rPr>
          <w:rFonts w:ascii="Arial" w:cs="Arial" w:eastAsia="Arial" w:hAnsi="Arial"/>
          <w:sz w:val="15"/>
          <w:szCs w:val="15"/>
          <w:color w:val="auto"/>
        </w:rPr>
      </w:pPr>
      <w:r>
        <w:rPr>
          <w:rFonts w:ascii="Arial" w:cs="Arial" w:eastAsia="Arial" w:hAnsi="Arial"/>
          <w:sz w:val="15"/>
          <w:szCs w:val="15"/>
          <w:color w:val="auto"/>
        </w:rPr>
        <w:t>Stockholder Rights. No Participant will be deemed to be the holder of, or to have any of the rights of a holder with respect to, any shares of Stock subject to a Stock Award unless and until (i) such Participant has satisfied all requirements for exercise of, or the issuance of shares of Stock under, the Stock Award pursuant to its terms, and (ii) the issuance of the Stock subject to such Stock Award has been entered into the books and records of the Company.</w:t>
      </w:r>
    </w:p>
    <w:p>
      <w:pPr>
        <w:spacing w:after="0" w:line="139" w:lineRule="exact"/>
        <w:rPr>
          <w:rFonts w:ascii="Arial" w:cs="Arial" w:eastAsia="Arial" w:hAnsi="Arial"/>
          <w:sz w:val="15"/>
          <w:szCs w:val="15"/>
          <w:color w:val="auto"/>
        </w:rPr>
      </w:pPr>
    </w:p>
    <w:p>
      <w:pPr>
        <w:ind w:right="60" w:firstLine="592"/>
        <w:spacing w:after="0" w:line="266" w:lineRule="auto"/>
        <w:tabs>
          <w:tab w:leader="none" w:pos="83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Employment or Other Service Rights. Nothing in this Plan, any Award Document or any other instrument executed thereunder or in connection with any Award granted pursuant thereto will confer upon any Participant any right to continue to serve the Company or an Affiliate in the capacity in effect at the time the Award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182" w:name="page183"/>
    <w:bookmarkEnd w:id="182"/>
    <w:p>
      <w:pPr>
        <w:spacing w:after="0" w:line="307" w:lineRule="auto"/>
        <w:rPr>
          <w:sz w:val="20"/>
          <w:szCs w:val="20"/>
          <w:color w:val="auto"/>
        </w:rPr>
      </w:pPr>
      <w:r>
        <w:rPr>
          <w:rFonts w:ascii="Arial" w:cs="Arial" w:eastAsia="Arial" w:hAnsi="Arial"/>
          <w:sz w:val="15"/>
          <w:szCs w:val="15"/>
          <w:color w:val="auto"/>
        </w:rPr>
        <w:t>was granted or any other capacity or will affect the right of the Company or an Affiliate to terminate (i) the employment of an Employee with or without notice and with or without cause, including, but not limited to, Cause, (ii) the service of a Consultant pursuant to the terms of such Consultant’s agreement with the Company or an Affiliate, or (iii) the service of a Director pursuant to the organizational documents of the Company or an Affiliate (including articles of incorporation and bylaws), and any applicable provisions of the corporate law of the state in which the Company or the Affiliate is incorporated, as the case may be.</w:t>
      </w:r>
    </w:p>
    <w:p>
      <w:pPr>
        <w:spacing w:after="0" w:line="149" w:lineRule="exact"/>
        <w:rPr>
          <w:sz w:val="20"/>
          <w:szCs w:val="20"/>
          <w:color w:val="auto"/>
        </w:rPr>
      </w:pPr>
    </w:p>
    <w:p>
      <w:pPr>
        <w:ind w:right="60" w:firstLine="592"/>
        <w:spacing w:after="0" w:line="275" w:lineRule="auto"/>
        <w:tabs>
          <w:tab w:leader="none" w:pos="82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Change in Time Commitment.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or the Participant’s role or primary responsibilities are changed to a level that, in the Board’s determination does not justify the Participant’s unvested Awards, and such reduction or change occurs after the date of grant of any Award to the Participant, the Board has the right in its sole discretion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9" w:lineRule="exact"/>
        <w:rPr>
          <w:rFonts w:ascii="Arial" w:cs="Arial" w:eastAsia="Arial" w:hAnsi="Arial"/>
          <w:sz w:val="16"/>
          <w:szCs w:val="16"/>
          <w:color w:val="auto"/>
        </w:rPr>
      </w:pPr>
    </w:p>
    <w:p>
      <w:pPr>
        <w:ind w:right="40" w:firstLine="592"/>
        <w:spacing w:after="0" w:line="279" w:lineRule="auto"/>
        <w:tabs>
          <w:tab w:leader="none" w:pos="80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Incentive Stock Option Limitations. To the extent that the aggregate Fair Market Value (determined at the time of grant) of Stock with respect to which Incentive Stock Options are exercisable for the first time by any Optionholder during any calendar year (under all plans of the Company and any Affiliates) exceeds USD$100,000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8" w:lineRule="exact"/>
        <w:rPr>
          <w:rFonts w:ascii="Arial" w:cs="Arial" w:eastAsia="Arial" w:hAnsi="Arial"/>
          <w:sz w:val="16"/>
          <w:szCs w:val="16"/>
          <w:color w:val="auto"/>
        </w:rPr>
      </w:pPr>
    </w:p>
    <w:p>
      <w:pPr>
        <w:ind w:right="140" w:firstLine="592"/>
        <w:spacing w:after="0" w:line="302" w:lineRule="auto"/>
        <w:tabs>
          <w:tab w:leader="none" w:pos="832" w:val="left"/>
        </w:tabs>
        <w:numPr>
          <w:ilvl w:val="0"/>
          <w:numId w:val="145"/>
        </w:numPr>
        <w:rPr>
          <w:rFonts w:ascii="Arial" w:cs="Arial" w:eastAsia="Arial" w:hAnsi="Arial"/>
          <w:sz w:val="15"/>
          <w:szCs w:val="15"/>
          <w:color w:val="auto"/>
        </w:rPr>
      </w:pPr>
      <w:r>
        <w:rPr>
          <w:rFonts w:ascii="Arial" w:cs="Arial" w:eastAsia="Arial" w:hAnsi="Arial"/>
          <w:sz w:val="15"/>
          <w:szCs w:val="15"/>
          <w:color w:val="auto"/>
        </w:rPr>
        <w:t>Withholding Obligations. Unless prohibited by the terms of an Award Document, the Participant may satisfy any national, state, local or other tax withholding obligation relating to an Award by any of the following means or by a combination of such means: (i) cash payment; (ii) withholding shares of Stock from the shares of Stock issued or otherwise issuable in connection with the Award (only up to the amount permitted that will not cause an adverse accounting consequence or cost); (iii) withholding cash from an Award settled in cash; (iv) withholding payment from any amounts otherwise payable to the Participant, including proceeds from the sale of shares of Stock issued pursuant to a Stock Award; or (v) by such other method as may be set forth in the Award Document.</w:t>
      </w:r>
    </w:p>
    <w:p>
      <w:pPr>
        <w:spacing w:after="0" w:line="152" w:lineRule="exact"/>
        <w:rPr>
          <w:rFonts w:ascii="Arial" w:cs="Arial" w:eastAsia="Arial" w:hAnsi="Arial"/>
          <w:sz w:val="15"/>
          <w:szCs w:val="15"/>
          <w:color w:val="auto"/>
        </w:rPr>
      </w:pPr>
    </w:p>
    <w:p>
      <w:pPr>
        <w:jc w:val="both"/>
        <w:ind w:right="20" w:firstLine="592"/>
        <w:spacing w:after="0" w:line="266" w:lineRule="auto"/>
        <w:tabs>
          <w:tab w:leader="none" w:pos="83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Electronic Delivery.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spacing w:after="0" w:line="110" w:lineRule="exact"/>
        <w:rPr>
          <w:rFonts w:ascii="Arial" w:cs="Arial" w:eastAsia="Arial" w:hAnsi="Arial"/>
          <w:sz w:val="17"/>
          <w:szCs w:val="17"/>
          <w:color w:val="auto"/>
        </w:rPr>
      </w:pPr>
    </w:p>
    <w:p>
      <w:pPr>
        <w:ind w:right="20" w:firstLine="592"/>
        <w:spacing w:after="0" w:line="257" w:lineRule="auto"/>
        <w:tabs>
          <w:tab w:leader="none" w:pos="79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Deferrals. To the extent permitted by applicable law, the Board, in its sole discretion, may determine that the delivery of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(to the extent applicable to a Participant).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this Plan and in accordance with applicable law.</w:t>
      </w:r>
    </w:p>
    <w:p>
      <w:pPr>
        <w:spacing w:after="0" w:line="184" w:lineRule="exact"/>
        <w:rPr>
          <w:rFonts w:ascii="Arial" w:cs="Arial" w:eastAsia="Arial" w:hAnsi="Arial"/>
          <w:sz w:val="17"/>
          <w:szCs w:val="17"/>
          <w:color w:val="auto"/>
        </w:rPr>
      </w:pPr>
    </w:p>
    <w:p>
      <w:pPr>
        <w:jc w:val="both"/>
        <w:ind w:firstLine="592"/>
        <w:spacing w:after="0" w:line="262" w:lineRule="auto"/>
        <w:tabs>
          <w:tab w:leader="none" w:pos="79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Compliance with Section 409A. Unless otherwise expressly provided for in an Award Document, or other agreement between the Participant and the Company, this Plan and Award Documents will be interpreted to the greatest extent possible in a manner that makes this Plan and the Awards granted hereunder exempt from Section 409A of the Code, to the extent that Section 409A of the Code is applicable to an Award, and, to the extent not so exempt, in compliance with Section 409A of the Code. If the Board determines that any Award granted</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83" w:name="page184"/>
    <w:bookmarkEnd w:id="183"/>
    <w:p>
      <w:pPr>
        <w:ind w:right="60"/>
        <w:spacing w:after="0" w:line="294" w:lineRule="auto"/>
        <w:rPr>
          <w:sz w:val="20"/>
          <w:szCs w:val="20"/>
          <w:color w:val="auto"/>
        </w:rPr>
      </w:pPr>
      <w:r>
        <w:rPr>
          <w:rFonts w:ascii="Arial" w:cs="Arial" w:eastAsia="Arial" w:hAnsi="Arial"/>
          <w:sz w:val="15"/>
          <w:szCs w:val="15"/>
          <w:color w:val="auto"/>
        </w:rPr>
        <w:t>hereunder is subject to Section 409A of the Code, the Award Document evidencing such Award will incorporate the terms and conditions necessary to avoid the consequences specified in Section 409A(a)(1) of the Code, and to the extent an Award Document is silent on terms necessary for compliance, such terms are hereby incorporated by reference into the Award Document. Notwithstanding anything to the contrary in this Plan (and unless the Award Document specifically provides otherwise), if the shares of Stock are publicly traded, and if a Participant holding an Award that constitutes “deferred compensation” under Section 409A of the Code is a “specified employee” for purposes of Section 409A of the Code and the Participant is otherwise subject to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w:t>
      </w:r>
    </w:p>
    <w:p>
      <w:pPr>
        <w:spacing w:after="0" w:line="161" w:lineRule="exact"/>
        <w:rPr>
          <w:sz w:val="20"/>
          <w:szCs w:val="20"/>
          <w:color w:val="auto"/>
        </w:rPr>
      </w:pPr>
    </w:p>
    <w:p>
      <w:pPr>
        <w:ind w:firstLine="1326"/>
        <w:spacing w:after="0" w:line="257" w:lineRule="auto"/>
        <w:tabs>
          <w:tab w:leader="none" w:pos="1528" w:val="left"/>
        </w:tabs>
        <w:numPr>
          <w:ilvl w:val="2"/>
          <w:numId w:val="146"/>
        </w:numPr>
        <w:rPr>
          <w:rFonts w:ascii="Arial" w:cs="Arial" w:eastAsia="Arial" w:hAnsi="Arial"/>
          <w:sz w:val="17"/>
          <w:szCs w:val="17"/>
          <w:color w:val="auto"/>
        </w:rPr>
      </w:pPr>
      <w:r>
        <w:rPr>
          <w:rFonts w:ascii="Arial" w:cs="Arial" w:eastAsia="Arial" w:hAnsi="Arial"/>
          <w:sz w:val="17"/>
          <w:szCs w:val="17"/>
          <w:color w:val="auto"/>
        </w:rPr>
        <w:t>Clawback/Recovery. All Awards granted under this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Document as the Board determines necessary or appropriate, including, but not limited to, a reacquisition right in respect of previously acquired shares of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326" w:lineRule="exact"/>
        <w:rPr>
          <w:rFonts w:ascii="Arial" w:cs="Arial" w:eastAsia="Arial" w:hAnsi="Arial"/>
          <w:sz w:val="17"/>
          <w:szCs w:val="17"/>
          <w:color w:val="auto"/>
        </w:rPr>
      </w:pPr>
    </w:p>
    <w:p>
      <w:pPr>
        <w:ind w:left="560" w:hanging="557"/>
        <w:spacing w:after="0"/>
        <w:tabs>
          <w:tab w:leader="none" w:pos="560"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ADJUSTMENTS UPON CHANGES IN COMMON STOCK; OTHER CORPORATE EVENTS.</w:t>
      </w:r>
    </w:p>
    <w:p>
      <w:pPr>
        <w:spacing w:after="0" w:line="113" w:lineRule="exact"/>
        <w:rPr>
          <w:rFonts w:ascii="Arial" w:cs="Arial" w:eastAsia="Arial" w:hAnsi="Arial"/>
          <w:sz w:val="17"/>
          <w:szCs w:val="17"/>
          <w:b w:val="1"/>
          <w:bCs w:val="1"/>
          <w:color w:val="auto"/>
        </w:rPr>
      </w:pPr>
    </w:p>
    <w:p>
      <w:pPr>
        <w:ind w:firstLine="592"/>
        <w:spacing w:after="0" w:line="283" w:lineRule="auto"/>
        <w:tabs>
          <w:tab w:leader="none" w:pos="82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Capitalization Adjustments. In the event of a Capitalization Adjustment, the Board will appropriately and proportionately adjust: (i) the class(es) and maximum number of securities subject to this Plan pursuant to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(ii) the class(es) and maximum number of securities that may be issued pursuant to the exercise of Incentive Stock Options pursuant to </w:t>
      </w:r>
      <w:r>
        <w:rPr>
          <w:rFonts w:ascii="Arial" w:cs="Arial" w:eastAsia="Arial" w:hAnsi="Arial"/>
          <w:sz w:val="16"/>
          <w:szCs w:val="16"/>
          <w:u w:val="single" w:color="auto"/>
          <w:color w:val="auto"/>
        </w:rPr>
        <w:t>Section 3(c)</w:t>
      </w:r>
      <w:r>
        <w:rPr>
          <w:rFonts w:ascii="Arial" w:cs="Arial" w:eastAsia="Arial" w:hAnsi="Arial"/>
          <w:sz w:val="16"/>
          <w:szCs w:val="16"/>
          <w:color w:val="auto"/>
        </w:rPr>
        <w:t>; and (iii) the class(es) and number of securities or other property and value (including price per share of stock) subject to outstanding Stock Awards. The Board will make such adjustments, and its determination will be final, binding and conclusive.</w:t>
      </w:r>
    </w:p>
    <w:p>
      <w:pPr>
        <w:spacing w:after="0" w:line="163" w:lineRule="exact"/>
        <w:rPr>
          <w:rFonts w:ascii="Arial" w:cs="Arial" w:eastAsia="Arial" w:hAnsi="Arial"/>
          <w:sz w:val="16"/>
          <w:szCs w:val="16"/>
          <w:color w:val="auto"/>
        </w:rPr>
      </w:pPr>
    </w:p>
    <w:p>
      <w:pPr>
        <w:ind w:firstLine="592"/>
        <w:spacing w:after="0" w:line="276" w:lineRule="auto"/>
        <w:tabs>
          <w:tab w:leader="none" w:pos="83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Dissolution or Liquidation. Except as otherwise provided in the Stock Award Document, or other agreement between the Participant and the Company, in the event of a dissolution or liquidation of the Company, all outstanding Stock Awards (other than Stock Awards consisting of vested and outstanding shares of Stock not subject to a forfeiture condition or the Company’s right of repurchase) will terminate immediately prior to the completion of such dissolution or liquidation, and the shares of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69" w:lineRule="exact"/>
        <w:rPr>
          <w:rFonts w:ascii="Arial" w:cs="Arial" w:eastAsia="Arial" w:hAnsi="Arial"/>
          <w:sz w:val="16"/>
          <w:szCs w:val="16"/>
          <w:color w:val="auto"/>
        </w:rPr>
      </w:pPr>
    </w:p>
    <w:p>
      <w:pPr>
        <w:jc w:val="both"/>
        <w:ind w:firstLine="592"/>
        <w:spacing w:after="0" w:line="283" w:lineRule="auto"/>
        <w:tabs>
          <w:tab w:leader="none" w:pos="82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Change in Control. The following provisions will apply to Awards in the event of a Change in Control unless otherwise provided in the instrument evidencing the Award or any other written agreement between the Company or any Affiliate and the Participant or unless otherwise expressly provided by the Board at the time of grant of an Award. In the event of a Change in Control, then, notwithstanding any other provision of this Plan, the Board will take one or more of the following actions with respect to each outstanding Award, contingent upon the closing or completion of the Change in Control:</w:t>
      </w:r>
    </w:p>
    <w:p>
      <w:pPr>
        <w:spacing w:after="0" w:line="163" w:lineRule="exact"/>
        <w:rPr>
          <w:rFonts w:ascii="Arial" w:cs="Arial" w:eastAsia="Arial" w:hAnsi="Arial"/>
          <w:sz w:val="16"/>
          <w:szCs w:val="16"/>
          <w:color w:val="auto"/>
        </w:rPr>
      </w:pPr>
    </w:p>
    <w:p>
      <w:pPr>
        <w:ind w:right="200" w:firstLine="1326"/>
        <w:spacing w:after="0" w:line="266" w:lineRule="auto"/>
        <w:tabs>
          <w:tab w:leader="none" w:pos="1528" w:val="left"/>
        </w:tabs>
        <w:numPr>
          <w:ilvl w:val="2"/>
          <w:numId w:val="147"/>
        </w:numPr>
        <w:rPr>
          <w:rFonts w:ascii="Arial" w:cs="Arial" w:eastAsia="Arial" w:hAnsi="Arial"/>
          <w:sz w:val="17"/>
          <w:szCs w:val="17"/>
          <w:color w:val="auto"/>
        </w:rPr>
      </w:pPr>
      <w:r>
        <w:rPr>
          <w:rFonts w:ascii="Arial" w:cs="Arial" w:eastAsia="Arial" w:hAnsi="Arial"/>
          <w:sz w:val="17"/>
          <w:szCs w:val="17"/>
          <w:color w:val="auto"/>
        </w:rPr>
        <w:t>arrange for the surviving corporation or acquiring corporation (or the surviving or acquiring corporation’s parent company) to assume or continue the Award or to substitute a similar award for the Award (including, but not limited to, an award to acquire the same consideration per share paid to the stockholders of the Company pursuant to the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184" w:name="page185"/>
    <w:bookmarkEnd w:id="184"/>
    <w:p>
      <w:pPr>
        <w:ind w:right="120" w:firstLine="1326"/>
        <w:spacing w:after="0" w:line="279" w:lineRule="auto"/>
        <w:tabs>
          <w:tab w:leader="none" w:pos="157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the Company in respect of Stock issued pursuant to the Award to the surviving corporation or acquiring corporation (or the surviving or acquiring corporation’s parent company);</w:t>
      </w:r>
    </w:p>
    <w:p>
      <w:pPr>
        <w:spacing w:after="0" w:line="164" w:lineRule="exact"/>
        <w:rPr>
          <w:rFonts w:ascii="Arial" w:cs="Arial" w:eastAsia="Arial" w:hAnsi="Arial"/>
          <w:sz w:val="17"/>
          <w:szCs w:val="17"/>
          <w:color w:val="auto"/>
        </w:rPr>
      </w:pPr>
    </w:p>
    <w:p>
      <w:pPr>
        <w:ind w:firstLine="1326"/>
        <w:spacing w:after="0" w:line="262" w:lineRule="auto"/>
        <w:tabs>
          <w:tab w:leader="none" w:pos="162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accelerate the vesting, in whole or in part, of the Award (and, if applicable, the time at which the Award may be exercised) to a date prior to the effective time of such Change in Control as the Board will determine (or, if the Board will not determine such a date, to the date that is 5 days prior to the effective date of the Change in Control), with such Award terminating if not exercised (if applicable) at or prior to the effective time of the Change in Control, and with such exercise reversed if the Change in Control does not become effective;</w:t>
      </w:r>
    </w:p>
    <w:p>
      <w:pPr>
        <w:spacing w:after="0" w:line="177" w:lineRule="exact"/>
        <w:rPr>
          <w:rFonts w:ascii="Arial" w:cs="Arial" w:eastAsia="Arial" w:hAnsi="Arial"/>
          <w:sz w:val="17"/>
          <w:szCs w:val="17"/>
          <w:color w:val="auto"/>
        </w:rPr>
      </w:pPr>
    </w:p>
    <w:p>
      <w:pPr>
        <w:ind w:left="1620" w:hanging="294"/>
        <w:spacing w:after="0"/>
        <w:tabs>
          <w:tab w:leader="none" w:pos="1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arrange for the lapse, in whole or in part, of any reacquisition or repurchase rights held by the Company with respect to the Award;</w:t>
      </w:r>
    </w:p>
    <w:p>
      <w:pPr>
        <w:spacing w:after="0" w:line="228" w:lineRule="exact"/>
        <w:rPr>
          <w:rFonts w:ascii="Arial" w:cs="Arial" w:eastAsia="Arial" w:hAnsi="Arial"/>
          <w:sz w:val="16"/>
          <w:szCs w:val="16"/>
          <w:color w:val="auto"/>
        </w:rPr>
      </w:pPr>
    </w:p>
    <w:p>
      <w:pPr>
        <w:ind w:firstLine="1326"/>
        <w:spacing w:after="0" w:line="262" w:lineRule="auto"/>
        <w:tabs>
          <w:tab w:leader="none" w:pos="156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cancel or arrange for the cancellation of the Award, to the extent not vested or not exercised prior to the effective time of the Change in Control, in exchange for such cash consideration, if any, as the Board, in its reasonable determination, may consider appropriate as an approximation of the value of the canceled Award, taking into account the value of the Stock subject to the canceled Award, the possibility that the Award might not otherwise vest in full, and such other factors as the Board deems relevant; and</w:t>
      </w:r>
    </w:p>
    <w:p>
      <w:pPr>
        <w:spacing w:after="0" w:line="177" w:lineRule="exact"/>
        <w:rPr>
          <w:rFonts w:ascii="Arial" w:cs="Arial" w:eastAsia="Arial" w:hAnsi="Arial"/>
          <w:sz w:val="17"/>
          <w:szCs w:val="17"/>
          <w:color w:val="auto"/>
        </w:rPr>
      </w:pPr>
    </w:p>
    <w:p>
      <w:pPr>
        <w:ind w:right="180" w:firstLine="1326"/>
        <w:spacing w:after="0" w:line="262" w:lineRule="auto"/>
        <w:tabs>
          <w:tab w:leader="none" w:pos="161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cancel or arrange for the cancellation of the Award, to the extent not vested or not exercised prior to the effective time of the Change in Control, in exchange for a payment, in such form as may be determined by the Board equal to the excess, if any, of (A) the value in the Change in Control of the property the Participant would have received upon the exercise of the Award immediately prior to the effective time of the Change in Control, over (B) any exercise price payable by such holder in connection with such exercise.</w:t>
      </w:r>
    </w:p>
    <w:p>
      <w:pPr>
        <w:spacing w:after="0" w:line="178"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The Board need not take the same action or actions with respect to all Awards or portions thereof or with respect to all Participants. The Board may take different actions with respect to the vested and unvested portions of an Award.</w:t>
      </w:r>
    </w:p>
    <w:p>
      <w:pPr>
        <w:spacing w:after="0" w:line="164" w:lineRule="exact"/>
        <w:rPr>
          <w:sz w:val="20"/>
          <w:szCs w:val="20"/>
          <w:color w:val="auto"/>
        </w:rPr>
      </w:pPr>
    </w:p>
    <w:p>
      <w:pPr>
        <w:ind w:right="20" w:firstLine="589"/>
        <w:spacing w:after="0" w:line="257" w:lineRule="auto"/>
        <w:rPr>
          <w:sz w:val="20"/>
          <w:szCs w:val="20"/>
          <w:color w:val="auto"/>
        </w:rPr>
      </w:pPr>
      <w:r>
        <w:rPr>
          <w:rFonts w:ascii="Arial" w:cs="Arial" w:eastAsia="Arial" w:hAnsi="Arial"/>
          <w:sz w:val="17"/>
          <w:szCs w:val="17"/>
          <w:color w:val="auto"/>
        </w:rPr>
        <w:t>In the absence of any affirmative determination by the Board at the time of a Change in Control, each outstanding Award will be assumed or an equivalent Award will be substituted by such successor corporation or a parent or subsidiary of such successor corporation (the “Successor Corporation”), unless the Successor Corporation does not agree to assume the Award or to substitute an equivalent Award, in which case the vesting of such Award will accelerate in its entirety (along with, if applicable, the time at which the Award may be exercised) to a date prior to the effective time of such Change in Control as the Board will determine (or, if the Board will not determine such a date, to the date that is 5 days prior to the effective date of the Change in Control), with such Award terminating if not exercised (if applicable) at or prior to the effective time of the Change in Control, and with such exercise reversed if the Change in Control does not become effective.</w:t>
      </w:r>
    </w:p>
    <w:p>
      <w:pPr>
        <w:spacing w:after="0" w:line="185" w:lineRule="exact"/>
        <w:rPr>
          <w:sz w:val="20"/>
          <w:szCs w:val="20"/>
          <w:color w:val="auto"/>
        </w:rPr>
      </w:pPr>
    </w:p>
    <w:p>
      <w:pPr>
        <w:ind w:firstLine="592"/>
        <w:spacing w:after="0" w:line="266" w:lineRule="auto"/>
        <w:tabs>
          <w:tab w:leader="none" w:pos="83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Acceleration of Awards upon a Change in Control. An Award may be subject to additional acceleration of vesting and exercisability upon or after a Change in Control as may be provided in the Award Document for such Award or as may be provided in any other written agreement between the Company or any Affiliate and the Participant, but in the absence of such provision, no such acceleration will occur.</w:t>
      </w:r>
    </w:p>
    <w:p>
      <w:pPr>
        <w:spacing w:after="0" w:line="316" w:lineRule="exact"/>
        <w:rPr>
          <w:rFonts w:ascii="Arial" w:cs="Arial" w:eastAsia="Arial" w:hAnsi="Arial"/>
          <w:sz w:val="17"/>
          <w:szCs w:val="17"/>
          <w:color w:val="auto"/>
        </w:rPr>
      </w:pPr>
    </w:p>
    <w:p>
      <w:pPr>
        <w:ind w:left="560" w:hanging="557"/>
        <w:spacing w:after="0"/>
        <w:tabs>
          <w:tab w:leader="none" w:pos="560" w:val="left"/>
        </w:tabs>
        <w:numPr>
          <w:ilvl w:val="0"/>
          <w:numId w:val="150"/>
        </w:numPr>
        <w:rPr>
          <w:rFonts w:ascii="Arial" w:cs="Arial" w:eastAsia="Arial" w:hAnsi="Arial"/>
          <w:sz w:val="17"/>
          <w:szCs w:val="17"/>
          <w:b w:val="1"/>
          <w:bCs w:val="1"/>
          <w:color w:val="auto"/>
        </w:rPr>
      </w:pPr>
      <w:r>
        <w:rPr>
          <w:rFonts w:ascii="Arial" w:cs="Arial" w:eastAsia="Arial" w:hAnsi="Arial"/>
          <w:sz w:val="17"/>
          <w:szCs w:val="17"/>
          <w:color w:val="auto"/>
        </w:rPr>
        <w:t>TERMINATION OR SUSPENSION OF THIS PLAN.</w:t>
      </w:r>
    </w:p>
    <w:p>
      <w:pPr>
        <w:spacing w:after="0" w:line="114" w:lineRule="exact"/>
        <w:rPr>
          <w:sz w:val="20"/>
          <w:szCs w:val="20"/>
          <w:color w:val="auto"/>
        </w:rPr>
      </w:pPr>
    </w:p>
    <w:p>
      <w:pPr>
        <w:ind w:right="120" w:firstLine="589"/>
        <w:spacing w:after="0" w:line="262" w:lineRule="auto"/>
        <w:rPr>
          <w:sz w:val="20"/>
          <w:szCs w:val="20"/>
          <w:color w:val="auto"/>
        </w:rPr>
      </w:pPr>
      <w:r>
        <w:rPr>
          <w:rFonts w:ascii="Arial" w:cs="Arial" w:eastAsia="Arial" w:hAnsi="Arial"/>
          <w:sz w:val="17"/>
          <w:szCs w:val="17"/>
          <w:color w:val="auto"/>
        </w:rPr>
        <w:t>The Board or the Compensation Committee may suspend or terminate this Plan at any time. This Plan will have no fixed expiration date; provided, however, that no Incentive Stock Option may be granted more than 10 years after the later of (i) the Adoption Date and (ii) the adoption by the Board of any amendment to this Plan that constitutes the adoption of a new plan for purposes of Section 422 of the Code. No Awards may be granted under this Plan while this Plan is suspended or after it is terminated.</w:t>
      </w:r>
    </w:p>
    <w:p>
      <w:pPr>
        <w:spacing w:after="0" w:line="320" w:lineRule="exact"/>
        <w:rPr>
          <w:sz w:val="20"/>
          <w:szCs w:val="20"/>
          <w:color w:val="auto"/>
        </w:rPr>
      </w:pPr>
    </w:p>
    <w:p>
      <w:pPr>
        <w:ind w:left="560" w:hanging="557"/>
        <w:spacing w:after="0"/>
        <w:tabs>
          <w:tab w:leader="none" w:pos="560"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EFFECTIVE DATE OF PLAN; TIMING OF FIRST GRANT OR EXERCISE.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185" w:name="page186"/>
    <w:bookmarkEnd w:id="185"/>
    <w:p>
      <w:pPr>
        <w:ind w:right="40" w:firstLine="589"/>
        <w:spacing w:after="0" w:line="258" w:lineRule="auto"/>
        <w:rPr>
          <w:sz w:val="20"/>
          <w:szCs w:val="20"/>
          <w:color w:val="auto"/>
        </w:rPr>
      </w:pPr>
      <w:r>
        <w:rPr>
          <w:rFonts w:ascii="Arial" w:cs="Arial" w:eastAsia="Arial" w:hAnsi="Arial"/>
          <w:sz w:val="17"/>
          <w:szCs w:val="17"/>
          <w:color w:val="auto"/>
        </w:rPr>
        <w:t xml:space="preserve">No Stock Award may be exercised (or, in the case of a Restricted Stock Award, Restricted Stock Unit Award, or Performance Stock Award, may be granted) and no Performance Cash Award may be settled unless and until this Plan has been approved by the stockholders of the Company, which approval will be within 12 months before or after the Adoption Date. The Plan was approved by the Board on the Adoption Date and shall become effective on the Effective Date, subject to stockholder approval on such date. Subject to earlier termination as provided in </w:t>
      </w:r>
      <w:r>
        <w:rPr>
          <w:rFonts w:ascii="Arial" w:cs="Arial" w:eastAsia="Arial" w:hAnsi="Arial"/>
          <w:sz w:val="17"/>
          <w:szCs w:val="17"/>
          <w:u w:val="single" w:color="auto"/>
          <w:color w:val="auto"/>
        </w:rPr>
        <w:t>Section 10</w:t>
      </w:r>
      <w:r>
        <w:rPr>
          <w:rFonts w:ascii="Arial" w:cs="Arial" w:eastAsia="Arial" w:hAnsi="Arial"/>
          <w:sz w:val="17"/>
          <w:szCs w:val="17"/>
          <w:color w:val="auto"/>
        </w:rPr>
        <w:t>, no new Stock Awards may be granted under this Plan on or after December 18, 2030; provided, however, that Stock Awards outstanding on such date shall remain subject to the terms of the Plan and any applicable Award Document.</w:t>
      </w:r>
    </w:p>
    <w:p>
      <w:pPr>
        <w:spacing w:after="0" w:line="325" w:lineRule="exact"/>
        <w:rPr>
          <w:sz w:val="20"/>
          <w:szCs w:val="20"/>
          <w:color w:val="auto"/>
        </w:rPr>
      </w:pPr>
    </w:p>
    <w:p>
      <w:pPr>
        <w:ind w:left="560" w:hanging="557"/>
        <w:spacing w:after="0"/>
        <w:tabs>
          <w:tab w:leader="none" w:pos="560"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CHOICE OF LAW.</w:t>
      </w:r>
    </w:p>
    <w:p>
      <w:pPr>
        <w:spacing w:after="0" w:line="114" w:lineRule="exact"/>
        <w:rPr>
          <w:sz w:val="20"/>
          <w:szCs w:val="20"/>
          <w:color w:val="auto"/>
        </w:rPr>
      </w:pPr>
    </w:p>
    <w:p>
      <w:pPr>
        <w:ind w:right="340" w:firstLine="589"/>
        <w:spacing w:after="0" w:line="279" w:lineRule="auto"/>
        <w:rPr>
          <w:sz w:val="20"/>
          <w:szCs w:val="20"/>
          <w:color w:val="auto"/>
        </w:rPr>
      </w:pPr>
      <w:r>
        <w:rPr>
          <w:rFonts w:ascii="Arial" w:cs="Arial" w:eastAsia="Arial" w:hAnsi="Arial"/>
          <w:sz w:val="17"/>
          <w:szCs w:val="17"/>
          <w:color w:val="auto"/>
        </w:rPr>
        <w:t>The laws of the State of Delaware will govern all questions concerning the construction, validity and interpretation of this Plan, without regard to that state’s conflict of laws rules.</w:t>
      </w:r>
    </w:p>
    <w:p>
      <w:pPr>
        <w:spacing w:after="0" w:line="306" w:lineRule="exact"/>
        <w:rPr>
          <w:sz w:val="20"/>
          <w:szCs w:val="20"/>
          <w:color w:val="auto"/>
        </w:rPr>
      </w:pPr>
    </w:p>
    <w:p>
      <w:pPr>
        <w:ind w:left="560" w:hanging="557"/>
        <w:spacing w:after="0"/>
        <w:tabs>
          <w:tab w:leader="none" w:pos="560"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DEFINITIONS.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used in this Plan, the following definitions will apply to the capitalized terms indicated below:</w:t>
      </w:r>
    </w:p>
    <w:p>
      <w:pPr>
        <w:spacing w:after="0" w:line="217" w:lineRule="exact"/>
        <w:rPr>
          <w:sz w:val="20"/>
          <w:szCs w:val="20"/>
          <w:color w:val="auto"/>
        </w:rPr>
      </w:pPr>
    </w:p>
    <w:p>
      <w:pPr>
        <w:ind w:left="820" w:hanging="228"/>
        <w:spacing w:after="0"/>
        <w:tabs>
          <w:tab w:leader="none" w:pos="8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“Adoption Date” means November 16, 2020, which is the date of adoption of this Plan by the Board.</w:t>
      </w:r>
    </w:p>
    <w:p>
      <w:pPr>
        <w:spacing w:after="0" w:line="217" w:lineRule="exact"/>
        <w:rPr>
          <w:rFonts w:ascii="Arial" w:cs="Arial" w:eastAsia="Arial" w:hAnsi="Arial"/>
          <w:sz w:val="17"/>
          <w:szCs w:val="17"/>
          <w:color w:val="auto"/>
        </w:rPr>
      </w:pPr>
    </w:p>
    <w:p>
      <w:pPr>
        <w:ind w:right="160" w:firstLine="592"/>
        <w:spacing w:after="0" w:line="349" w:lineRule="auto"/>
        <w:tabs>
          <w:tab w:leader="none" w:pos="832" w:val="left"/>
        </w:tabs>
        <w:numPr>
          <w:ilvl w:val="1"/>
          <w:numId w:val="154"/>
        </w:numPr>
        <w:rPr>
          <w:rFonts w:ascii="Arial" w:cs="Arial" w:eastAsia="Arial" w:hAnsi="Arial"/>
          <w:sz w:val="15"/>
          <w:szCs w:val="15"/>
          <w:color w:val="auto"/>
        </w:rPr>
      </w:pPr>
      <w:r>
        <w:rPr>
          <w:rFonts w:ascii="Arial" w:cs="Arial" w:eastAsia="Arial" w:hAnsi="Arial"/>
          <w:sz w:val="15"/>
          <w:szCs w:val="15"/>
          <w:color w:val="auto"/>
        </w:rPr>
        <w:t>“Affiliate”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17" w:lineRule="exact"/>
        <w:rPr>
          <w:rFonts w:ascii="Arial" w:cs="Arial" w:eastAsia="Arial" w:hAnsi="Arial"/>
          <w:sz w:val="15"/>
          <w:szCs w:val="15"/>
          <w:color w:val="auto"/>
        </w:rPr>
      </w:pPr>
    </w:p>
    <w:p>
      <w:pPr>
        <w:ind w:left="820" w:hanging="228"/>
        <w:spacing w:after="0"/>
        <w:tabs>
          <w:tab w:leader="none" w:pos="8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“Award” means a Stock Award or a Performance Cash Award.</w:t>
      </w:r>
    </w:p>
    <w:p>
      <w:pPr>
        <w:spacing w:after="0" w:line="217" w:lineRule="exact"/>
        <w:rPr>
          <w:rFonts w:ascii="Arial" w:cs="Arial" w:eastAsia="Arial" w:hAnsi="Arial"/>
          <w:sz w:val="17"/>
          <w:szCs w:val="17"/>
          <w:color w:val="auto"/>
        </w:rPr>
      </w:pPr>
    </w:p>
    <w:p>
      <w:pPr>
        <w:ind w:right="240" w:firstLine="592"/>
        <w:spacing w:after="0" w:line="279" w:lineRule="auto"/>
        <w:tabs>
          <w:tab w:leader="none" w:pos="83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“Award Document” means a written agreement between the Company and a Participant, or a written notice issued by the Company to a Participant, evidencing the terms and conditions of an Award.</w:t>
      </w:r>
    </w:p>
    <w:p>
      <w:pPr>
        <w:spacing w:after="0" w:line="164" w:lineRule="exact"/>
        <w:rPr>
          <w:rFonts w:ascii="Arial" w:cs="Arial" w:eastAsia="Arial" w:hAnsi="Arial"/>
          <w:sz w:val="17"/>
          <w:szCs w:val="17"/>
          <w:color w:val="auto"/>
        </w:rPr>
      </w:pPr>
    </w:p>
    <w:p>
      <w:pPr>
        <w:ind w:left="820" w:hanging="228"/>
        <w:spacing w:after="0"/>
        <w:tabs>
          <w:tab w:leader="none" w:pos="8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“Board” means the Board of Directors of the Company.</w:t>
      </w:r>
    </w:p>
    <w:p>
      <w:pPr>
        <w:spacing w:after="0" w:line="217" w:lineRule="exact"/>
        <w:rPr>
          <w:rFonts w:ascii="Arial" w:cs="Arial" w:eastAsia="Arial" w:hAnsi="Arial"/>
          <w:sz w:val="17"/>
          <w:szCs w:val="17"/>
          <w:color w:val="auto"/>
        </w:rPr>
      </w:pPr>
    </w:p>
    <w:p>
      <w:pPr>
        <w:ind w:right="240" w:firstLine="592"/>
        <w:spacing w:after="0" w:line="277" w:lineRule="auto"/>
        <w:tabs>
          <w:tab w:leader="none" w:pos="804" w:val="left"/>
        </w:tabs>
        <w:numPr>
          <w:ilvl w:val="1"/>
          <w:numId w:val="154"/>
        </w:numPr>
        <w:rPr>
          <w:rFonts w:ascii="Arial" w:cs="Arial" w:eastAsia="Arial" w:hAnsi="Arial"/>
          <w:sz w:val="16"/>
          <w:szCs w:val="16"/>
          <w:color w:val="auto"/>
        </w:rPr>
      </w:pPr>
      <w:r>
        <w:rPr>
          <w:rFonts w:ascii="Arial" w:cs="Arial" w:eastAsia="Arial" w:hAnsi="Arial"/>
          <w:sz w:val="16"/>
          <w:szCs w:val="16"/>
          <w:color w:val="auto"/>
        </w:rPr>
        <w:t>“Capitalization Adjustment” means any change that is made in, or other events that occur with respect to, the Stock subject to this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9" w:lineRule="exact"/>
        <w:rPr>
          <w:rFonts w:ascii="Arial" w:cs="Arial" w:eastAsia="Arial" w:hAnsi="Arial"/>
          <w:sz w:val="16"/>
          <w:szCs w:val="16"/>
          <w:color w:val="auto"/>
        </w:rPr>
      </w:pPr>
    </w:p>
    <w:p>
      <w:pPr>
        <w:ind w:firstLine="592"/>
        <w:spacing w:after="0" w:line="292" w:lineRule="auto"/>
        <w:tabs>
          <w:tab w:leader="none" w:pos="832" w:val="left"/>
        </w:tabs>
        <w:numPr>
          <w:ilvl w:val="1"/>
          <w:numId w:val="154"/>
        </w:numPr>
        <w:rPr>
          <w:rFonts w:ascii="Arial" w:cs="Arial" w:eastAsia="Arial" w:hAnsi="Arial"/>
          <w:sz w:val="15"/>
          <w:szCs w:val="15"/>
          <w:color w:val="auto"/>
        </w:rPr>
      </w:pPr>
      <w:r>
        <w:rPr>
          <w:rFonts w:ascii="Arial" w:cs="Arial" w:eastAsia="Arial" w:hAnsi="Arial"/>
          <w:sz w:val="15"/>
          <w:szCs w:val="15"/>
          <w:color w:val="auto"/>
        </w:rPr>
        <w:t>“Cause” will have the meaning ascribed to such term in any written agreement between the Participant and the Company or any Affiliate defining such term and, in the absence of such agreement, such term means, with respect to a Participant, the occurrence of any of the following events: (i) Participant’s failure substantially to perform his or her duties and responsibilities to the Company or any Affiliate or violation of a policy of the Company or any Affiliate;</w:t>
      </w:r>
    </w:p>
    <w:p>
      <w:pPr>
        <w:ind w:right="40" w:firstLine="3"/>
        <w:spacing w:after="0" w:line="294" w:lineRule="auto"/>
        <w:tabs>
          <w:tab w:leader="none" w:pos="253" w:val="left"/>
        </w:tabs>
        <w:numPr>
          <w:ilvl w:val="0"/>
          <w:numId w:val="155"/>
        </w:numPr>
        <w:rPr>
          <w:rFonts w:ascii="Arial" w:cs="Arial" w:eastAsia="Arial" w:hAnsi="Arial"/>
          <w:sz w:val="15"/>
          <w:szCs w:val="15"/>
          <w:color w:val="auto"/>
        </w:rPr>
      </w:pPr>
      <w:r>
        <w:rPr>
          <w:rFonts w:ascii="Arial" w:cs="Arial" w:eastAsia="Arial" w:hAnsi="Arial"/>
          <w:sz w:val="15"/>
          <w:szCs w:val="15"/>
          <w:color w:val="auto"/>
        </w:rPr>
        <w:t>Participant’s commission of any act of fraud, embezzlement, dishonesty or any other misconduct that has caused or is reasonably expected to result in injury to the Company or any Affiliate; (iii) unauthorized use or disclosure by Participant of any proprietary information or trade secrets of the Company or any other party to whom the Participant owes an obligation of nondisclosure as a result of his or her relationship with the Company or any Affiliate; or (iv) Participant’s breach of any of his or her obligations under any written agreement or covenant with the Company or any Affiliate. The determination as to whether a Participant is being terminated for Cause will be made in good faith by the Company and will be final and binding on the Participant.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694" w:right="359" w:bottom="1440" w:gutter="0" w:footer="0" w:header="0"/>
        </w:sectPr>
      </w:pPr>
    </w:p>
    <w:bookmarkStart w:id="186" w:name="page187"/>
    <w:bookmarkEnd w:id="186"/>
    <w:p>
      <w:pPr>
        <w:ind w:left="840" w:hanging="248"/>
        <w:spacing w:after="0"/>
        <w:tabs>
          <w:tab w:leader="none" w:pos="8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“Change in Control” means the occurrence, in a single transaction or in a series of related transactions, of any one or more of the following events:</w:t>
      </w:r>
    </w:p>
    <w:p>
      <w:pPr>
        <w:spacing w:after="0" w:line="228" w:lineRule="exact"/>
        <w:rPr>
          <w:rFonts w:ascii="Arial" w:cs="Arial" w:eastAsia="Arial" w:hAnsi="Arial"/>
          <w:sz w:val="16"/>
          <w:szCs w:val="16"/>
          <w:color w:val="auto"/>
        </w:rPr>
      </w:pPr>
    </w:p>
    <w:p>
      <w:pPr>
        <w:ind w:right="540" w:firstLine="1326"/>
        <w:spacing w:after="0" w:line="312" w:lineRule="auto"/>
        <w:tabs>
          <w:tab w:leader="none" w:pos="152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w:t>
      </w:r>
    </w:p>
    <w:p>
      <w:pPr>
        <w:spacing w:after="0" w:line="140" w:lineRule="exact"/>
        <w:rPr>
          <w:rFonts w:ascii="Arial" w:cs="Arial" w:eastAsia="Arial" w:hAnsi="Arial"/>
          <w:sz w:val="16"/>
          <w:szCs w:val="16"/>
          <w:color w:val="auto"/>
        </w:rPr>
      </w:pPr>
    </w:p>
    <w:p>
      <w:pPr>
        <w:ind w:right="160" w:firstLine="1326"/>
        <w:spacing w:after="0" w:line="258" w:lineRule="auto"/>
        <w:tabs>
          <w:tab w:leader="none" w:pos="157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50% or more of the combined outstanding voting power of the surviving Entity in such merger, consolidation or similar transaction or (B) 50% or more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3" w:lineRule="exact"/>
        <w:rPr>
          <w:rFonts w:ascii="Arial" w:cs="Arial" w:eastAsia="Arial" w:hAnsi="Arial"/>
          <w:sz w:val="17"/>
          <w:szCs w:val="17"/>
          <w:color w:val="auto"/>
        </w:rPr>
      </w:pPr>
    </w:p>
    <w:p>
      <w:pPr>
        <w:ind w:right="140" w:firstLine="1326"/>
        <w:spacing w:after="0" w:line="307" w:lineRule="auto"/>
        <w:tabs>
          <w:tab w:leader="none" w:pos="1624"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48" w:lineRule="exact"/>
        <w:rPr>
          <w:rFonts w:ascii="Arial" w:cs="Arial" w:eastAsia="Arial" w:hAnsi="Arial"/>
          <w:sz w:val="15"/>
          <w:szCs w:val="15"/>
          <w:color w:val="auto"/>
        </w:rPr>
      </w:pPr>
    </w:p>
    <w:p>
      <w:pPr>
        <w:ind w:firstLine="1326"/>
        <w:spacing w:after="0" w:line="262" w:lineRule="auto"/>
        <w:tabs>
          <w:tab w:leader="none" w:pos="1614"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individuals who, on the Adoption Date,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8" w:lineRule="exact"/>
        <w:rPr>
          <w:sz w:val="20"/>
          <w:szCs w:val="20"/>
          <w:color w:val="auto"/>
        </w:rPr>
      </w:pPr>
    </w:p>
    <w:p>
      <w:pPr>
        <w:ind w:firstLine="589"/>
        <w:spacing w:after="0" w:line="259" w:lineRule="auto"/>
        <w:rPr>
          <w:sz w:val="20"/>
          <w:szCs w:val="20"/>
          <w:color w:val="auto"/>
        </w:rPr>
      </w:pPr>
      <w:r>
        <w:rPr>
          <w:rFonts w:ascii="Arial" w:cs="Arial" w:eastAsia="Arial" w:hAnsi="Arial"/>
          <w:sz w:val="17"/>
          <w:szCs w:val="17"/>
          <w:color w:val="auto"/>
        </w:rPr>
        <w:t>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83" w:lineRule="exact"/>
        <w:rPr>
          <w:sz w:val="20"/>
          <w:szCs w:val="20"/>
          <w:color w:val="auto"/>
        </w:rPr>
      </w:pPr>
    </w:p>
    <w:p>
      <w:pPr>
        <w:ind w:right="40" w:firstLine="589"/>
        <w:spacing w:after="0" w:line="259" w:lineRule="auto"/>
        <w:rPr>
          <w:sz w:val="20"/>
          <w:szCs w:val="20"/>
          <w:color w:val="auto"/>
        </w:rPr>
      </w:pPr>
      <w:r>
        <w:rPr>
          <w:rFonts w:ascii="Arial" w:cs="Arial" w:eastAsia="Arial" w:hAnsi="Arial"/>
          <w:sz w:val="17"/>
          <w:szCs w:val="17"/>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83" w:lineRule="exact"/>
        <w:rPr>
          <w:sz w:val="20"/>
          <w:szCs w:val="20"/>
          <w:color w:val="auto"/>
        </w:rPr>
      </w:pPr>
    </w:p>
    <w:p>
      <w:pPr>
        <w:ind w:left="800" w:hanging="208"/>
        <w:spacing w:after="0"/>
        <w:tabs>
          <w:tab w:leader="none" w:pos="8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“Code” means the U.S. Internal Revenue Code of 1986, as amended, including any applicable regulations and guidance thereunder.</w:t>
      </w:r>
    </w:p>
    <w:p>
      <w:pPr>
        <w:spacing w:after="0" w:line="217" w:lineRule="exact"/>
        <w:rPr>
          <w:rFonts w:ascii="Arial" w:cs="Arial" w:eastAsia="Arial" w:hAnsi="Arial"/>
          <w:sz w:val="17"/>
          <w:szCs w:val="17"/>
          <w:color w:val="auto"/>
        </w:rPr>
      </w:pPr>
    </w:p>
    <w:p>
      <w:pPr>
        <w:ind w:left="800" w:hanging="208"/>
        <w:spacing w:after="0"/>
        <w:tabs>
          <w:tab w:leader="none" w:pos="8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“Committee” means a committee of one (1) or more Directors to whom authority has been delegated by the Board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ind w:left="840" w:hanging="248"/>
        <w:spacing w:after="0"/>
        <w:tabs>
          <w:tab w:leader="none" w:pos="8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“Compensation Committee” means the Compensation Committee of the Board.</w:t>
      </w:r>
    </w:p>
    <w:p>
      <w:pPr>
        <w:spacing w:after="0" w:line="217" w:lineRule="exact"/>
        <w:rPr>
          <w:rFonts w:ascii="Arial" w:cs="Arial" w:eastAsia="Arial" w:hAnsi="Arial"/>
          <w:sz w:val="17"/>
          <w:szCs w:val="17"/>
          <w:color w:val="auto"/>
        </w:rPr>
      </w:pPr>
    </w:p>
    <w:p>
      <w:pPr>
        <w:ind w:left="800" w:hanging="208"/>
        <w:spacing w:after="0"/>
        <w:tabs>
          <w:tab w:leader="none" w:pos="8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“Common Stock” means common stock, $0.001 par value per share, of the Company.</w:t>
      </w:r>
    </w:p>
    <w:p>
      <w:pPr>
        <w:spacing w:after="0" w:line="217" w:lineRule="exact"/>
        <w:rPr>
          <w:rFonts w:ascii="Arial" w:cs="Arial" w:eastAsia="Arial" w:hAnsi="Arial"/>
          <w:sz w:val="17"/>
          <w:szCs w:val="17"/>
          <w:color w:val="auto"/>
        </w:rPr>
      </w:pPr>
    </w:p>
    <w:p>
      <w:pPr>
        <w:ind w:left="880" w:hanging="288"/>
        <w:spacing w:after="0"/>
        <w:tabs>
          <w:tab w:leader="none" w:pos="8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“Company” Eledon Pharmaceuticals, Inc., a Delaware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187" w:name="page188"/>
    <w:bookmarkEnd w:id="187"/>
    <w:p>
      <w:pPr>
        <w:ind w:firstLine="592"/>
        <w:spacing w:after="0" w:line="259" w:lineRule="auto"/>
        <w:tabs>
          <w:tab w:leader="none" w:pos="83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“Consultant”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this Plan. Notwithstanding the foregoing, a person is treated as a Consultant under this Plan only if a Form Registration Statement on Form S-8 or a successor form under the Securities Act is available to register either the offer or the sale of the Company’s securities to such person.</w:t>
      </w:r>
    </w:p>
    <w:p>
      <w:pPr>
        <w:spacing w:after="0" w:line="182" w:lineRule="exact"/>
        <w:rPr>
          <w:rFonts w:ascii="Arial" w:cs="Arial" w:eastAsia="Arial" w:hAnsi="Arial"/>
          <w:sz w:val="17"/>
          <w:szCs w:val="17"/>
          <w:color w:val="auto"/>
        </w:rPr>
      </w:pPr>
    </w:p>
    <w:p>
      <w:pPr>
        <w:ind w:right="20" w:firstLine="592"/>
        <w:spacing w:after="0" w:line="288" w:lineRule="auto"/>
        <w:tabs>
          <w:tab w:leader="none" w:pos="83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“Continuous Service”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For example, a change in status from an Employee of the Company to a Consultant of an Affiliate or to a Director will not constitute an interruption of Continuous Service.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w:t>
      </w:r>
    </w:p>
    <w:p>
      <w:pPr>
        <w:spacing w:after="0" w:line="3" w:lineRule="exact"/>
        <w:rPr>
          <w:rFonts w:ascii="Arial" w:cs="Arial" w:eastAsia="Arial" w:hAnsi="Arial"/>
          <w:sz w:val="15"/>
          <w:szCs w:val="15"/>
          <w:color w:val="auto"/>
        </w:rPr>
      </w:pPr>
    </w:p>
    <w:p>
      <w:pPr>
        <w:ind w:right="60"/>
        <w:spacing w:after="0" w:line="259" w:lineRule="auto"/>
        <w:rPr>
          <w:rFonts w:ascii="Arial" w:cs="Arial" w:eastAsia="Arial" w:hAnsi="Arial"/>
          <w:sz w:val="15"/>
          <w:szCs w:val="15"/>
          <w:color w:val="auto"/>
        </w:rPr>
      </w:pPr>
      <w:r>
        <w:rPr>
          <w:rFonts w:ascii="Arial" w:cs="Arial" w:eastAsia="Arial" w:hAnsi="Arial"/>
          <w:sz w:val="17"/>
          <w:szCs w:val="17"/>
          <w:color w:val="auto"/>
        </w:rPr>
        <w:t>Regulation Section 1.409A-1(h) (without regard to any alternative definition thereunder). A leave of absence will be treated as Continuous Service for purposes of vesting in a Stock Award only to such extent as may be provided in the applicable Award Document, the Company’s leave of absence policy, in the written terms of any leave of absence agreement or policy applicable to the Participant, or as otherwise required by law.</w:t>
      </w:r>
    </w:p>
    <w:p>
      <w:pPr>
        <w:spacing w:after="0" w:line="181" w:lineRule="exact"/>
        <w:rPr>
          <w:rFonts w:ascii="Arial" w:cs="Arial" w:eastAsia="Arial" w:hAnsi="Arial"/>
          <w:sz w:val="15"/>
          <w:szCs w:val="15"/>
          <w:color w:val="auto"/>
        </w:rPr>
      </w:pPr>
    </w:p>
    <w:p>
      <w:pPr>
        <w:ind w:left="840" w:hanging="248"/>
        <w:spacing w:after="0"/>
        <w:tabs>
          <w:tab w:leader="none" w:pos="8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“Director” means a member of the Board.</w:t>
      </w:r>
    </w:p>
    <w:p>
      <w:pPr>
        <w:spacing w:after="0" w:line="152" w:lineRule="exact"/>
        <w:rPr>
          <w:rFonts w:ascii="Arial" w:cs="Arial" w:eastAsia="Arial" w:hAnsi="Arial"/>
          <w:sz w:val="17"/>
          <w:szCs w:val="17"/>
          <w:color w:val="auto"/>
        </w:rPr>
      </w:pPr>
    </w:p>
    <w:p>
      <w:pPr>
        <w:ind w:right="20" w:firstLine="592"/>
        <w:spacing w:after="0" w:line="262" w:lineRule="auto"/>
        <w:tabs>
          <w:tab w:leader="none" w:pos="83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“Disability”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7" w:lineRule="exact"/>
        <w:rPr>
          <w:rFonts w:ascii="Arial" w:cs="Arial" w:eastAsia="Arial" w:hAnsi="Arial"/>
          <w:sz w:val="17"/>
          <w:szCs w:val="17"/>
          <w:color w:val="auto"/>
        </w:rPr>
      </w:pPr>
    </w:p>
    <w:p>
      <w:pPr>
        <w:ind w:left="800" w:hanging="208"/>
        <w:spacing w:after="0"/>
        <w:tabs>
          <w:tab w:leader="none" w:pos="8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“Effective Date” means December 18, 2020.</w:t>
      </w:r>
    </w:p>
    <w:p>
      <w:pPr>
        <w:spacing w:after="0" w:line="217" w:lineRule="exact"/>
        <w:rPr>
          <w:rFonts w:ascii="Arial" w:cs="Arial" w:eastAsia="Arial" w:hAnsi="Arial"/>
          <w:sz w:val="17"/>
          <w:szCs w:val="17"/>
          <w:color w:val="auto"/>
        </w:rPr>
      </w:pPr>
    </w:p>
    <w:p>
      <w:pPr>
        <w:ind w:right="20" w:firstLine="592"/>
        <w:spacing w:after="0" w:line="279" w:lineRule="auto"/>
        <w:tabs>
          <w:tab w:leader="none" w:pos="81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“Employee” means any person providing services as an employee of the Company or an Affiliate. However, service solely as a Director, or payment of a fee for such services, will not cause a Director to be considered an “Employee” for purposes of this Plan.</w:t>
      </w:r>
    </w:p>
    <w:p>
      <w:pPr>
        <w:spacing w:after="0" w:line="164" w:lineRule="exact"/>
        <w:rPr>
          <w:rFonts w:ascii="Arial" w:cs="Arial" w:eastAsia="Arial" w:hAnsi="Arial"/>
          <w:sz w:val="17"/>
          <w:szCs w:val="17"/>
          <w:color w:val="auto"/>
        </w:rPr>
      </w:pPr>
    </w:p>
    <w:p>
      <w:pPr>
        <w:ind w:left="800" w:hanging="208"/>
        <w:spacing w:after="0"/>
        <w:tabs>
          <w:tab w:leader="none" w:pos="8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“Entity” means a corporation, partnership, limited liability company or other entity.</w:t>
      </w:r>
    </w:p>
    <w:p>
      <w:pPr>
        <w:spacing w:after="0" w:line="217" w:lineRule="exact"/>
        <w:rPr>
          <w:rFonts w:ascii="Arial" w:cs="Arial" w:eastAsia="Arial" w:hAnsi="Arial"/>
          <w:sz w:val="17"/>
          <w:szCs w:val="17"/>
          <w:color w:val="auto"/>
        </w:rPr>
      </w:pPr>
    </w:p>
    <w:p>
      <w:pPr>
        <w:ind w:left="840" w:hanging="248"/>
        <w:spacing w:after="0"/>
        <w:tabs>
          <w:tab w:leader="none" w:pos="8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“Exchange Act” means the U.S. Securities Exchange Act of 1934, as amended, and the rules and regulations promulgated thereunder.</w:t>
      </w:r>
    </w:p>
    <w:p>
      <w:pPr>
        <w:spacing w:after="0" w:line="217" w:lineRule="exact"/>
        <w:rPr>
          <w:rFonts w:ascii="Arial" w:cs="Arial" w:eastAsia="Arial" w:hAnsi="Arial"/>
          <w:sz w:val="17"/>
          <w:szCs w:val="17"/>
          <w:color w:val="auto"/>
        </w:rPr>
      </w:pPr>
    </w:p>
    <w:p>
      <w:pPr>
        <w:ind w:right="160" w:firstLine="592"/>
        <w:spacing w:after="0" w:line="277" w:lineRule="auto"/>
        <w:tabs>
          <w:tab w:leader="none" w:pos="83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“Exchange Act Person”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color w:val="auto"/>
        </w:rPr>
        <w:t>indirectly, of securities of the Company representing more than 50% of the combined voting power of the Company’s then outstanding securities.</w:t>
      </w:r>
    </w:p>
    <w:p>
      <w:pPr>
        <w:spacing w:after="0" w:line="217" w:lineRule="exact"/>
        <w:rPr>
          <w:sz w:val="20"/>
          <w:szCs w:val="20"/>
          <w:color w:val="auto"/>
        </w:rPr>
      </w:pPr>
    </w:p>
    <w:p>
      <w:pPr>
        <w:ind w:left="880" w:hanging="288"/>
        <w:spacing w:after="0"/>
        <w:tabs>
          <w:tab w:leader="none" w:pos="8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“Fair Market Value” means, as of any date, the value of the Stock determined as follows:</w:t>
      </w:r>
    </w:p>
    <w:p>
      <w:pPr>
        <w:spacing w:after="0" w:line="217" w:lineRule="exact"/>
        <w:rPr>
          <w:rFonts w:ascii="Arial" w:cs="Arial" w:eastAsia="Arial" w:hAnsi="Arial"/>
          <w:sz w:val="17"/>
          <w:szCs w:val="17"/>
          <w:color w:val="auto"/>
        </w:rPr>
      </w:pPr>
    </w:p>
    <w:p>
      <w:pPr>
        <w:ind w:right="80" w:firstLine="1326"/>
        <w:spacing w:after="0" w:line="318" w:lineRule="auto"/>
        <w:tabs>
          <w:tab w:leader="none" w:pos="1528" w:val="left"/>
        </w:tabs>
        <w:numPr>
          <w:ilvl w:val="1"/>
          <w:numId w:val="159"/>
        </w:numPr>
        <w:rPr>
          <w:rFonts w:ascii="Arial" w:cs="Arial" w:eastAsia="Arial" w:hAnsi="Arial"/>
          <w:sz w:val="15"/>
          <w:szCs w:val="15"/>
          <w:color w:val="auto"/>
        </w:rPr>
      </w:pPr>
      <w:r>
        <w:rPr>
          <w:rFonts w:ascii="Arial" w:cs="Arial" w:eastAsia="Arial" w:hAnsi="Arial"/>
          <w:sz w:val="15"/>
          <w:szCs w:val="15"/>
          <w:color w:val="auto"/>
        </w:rPr>
        <w:t>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w:t>
      </w:r>
    </w:p>
    <w:p>
      <w:pPr>
        <w:spacing w:after="0" w:line="139" w:lineRule="exact"/>
        <w:rPr>
          <w:rFonts w:ascii="Arial" w:cs="Arial" w:eastAsia="Arial" w:hAnsi="Arial"/>
          <w:sz w:val="15"/>
          <w:szCs w:val="15"/>
          <w:color w:val="auto"/>
        </w:rPr>
      </w:pPr>
    </w:p>
    <w:p>
      <w:pPr>
        <w:ind w:right="180" w:firstLine="1326"/>
        <w:spacing w:after="0" w:line="279" w:lineRule="auto"/>
        <w:tabs>
          <w:tab w:leader="none" w:pos="1576" w:val="left"/>
        </w:tabs>
        <w:numPr>
          <w:ilvl w:val="1"/>
          <w:numId w:val="159"/>
        </w:numPr>
        <w:rPr>
          <w:rFonts w:ascii="Arial" w:cs="Arial" w:eastAsia="Arial" w:hAnsi="Arial"/>
          <w:sz w:val="17"/>
          <w:szCs w:val="17"/>
          <w:color w:val="auto"/>
        </w:rPr>
      </w:pPr>
      <w:r>
        <w:rPr>
          <w:rFonts w:ascii="Arial" w:cs="Arial" w:eastAsia="Arial" w:hAnsi="Arial"/>
          <w:sz w:val="17"/>
          <w:szCs w:val="17"/>
          <w:color w:val="auto"/>
        </w:rPr>
        <w:t>Unless otherwise provided by the Board, if there is no closing sales price for the Stock on the date of determination, then the Fair Market Value will be the closing selling price on the last preceding date for which such quotation exists.</w:t>
      </w:r>
    </w:p>
    <w:p>
      <w:pPr>
        <w:spacing w:after="0" w:line="164" w:lineRule="exact"/>
        <w:rPr>
          <w:rFonts w:ascii="Arial" w:cs="Arial" w:eastAsia="Arial" w:hAnsi="Arial"/>
          <w:sz w:val="17"/>
          <w:szCs w:val="17"/>
          <w:color w:val="auto"/>
        </w:rPr>
      </w:pPr>
    </w:p>
    <w:p>
      <w:pPr>
        <w:ind w:right="300" w:firstLine="1326"/>
        <w:spacing w:after="0" w:line="279" w:lineRule="auto"/>
        <w:tabs>
          <w:tab w:leader="none" w:pos="162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In the absence of such markets for the Stock, the Fair Market Value will be determined by the Board in good faith and in a manner that complies with Sections 409A and 422 of the Code.</w:t>
      </w:r>
    </w:p>
    <w:p>
      <w:pPr>
        <w:spacing w:after="0" w:line="164" w:lineRule="exact"/>
        <w:rPr>
          <w:rFonts w:ascii="Arial" w:cs="Arial" w:eastAsia="Arial" w:hAnsi="Arial"/>
          <w:sz w:val="17"/>
          <w:szCs w:val="17"/>
          <w:color w:val="auto"/>
        </w:rPr>
      </w:pPr>
    </w:p>
    <w:p>
      <w:pPr>
        <w:ind w:right="220" w:firstLine="592"/>
        <w:spacing w:after="0" w:line="279" w:lineRule="auto"/>
        <w:tabs>
          <w:tab w:leader="none" w:pos="83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“Incentive Stock Option” means an option granted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Plan that is intended to be, and that qualifies as, an “incentive stock option” within the meaning of Section 422 of the Code.</w:t>
      </w:r>
    </w:p>
    <w:p>
      <w:pPr>
        <w:spacing w:after="0" w:line="164" w:lineRule="exact"/>
        <w:rPr>
          <w:rFonts w:ascii="Arial" w:cs="Arial" w:eastAsia="Arial" w:hAnsi="Arial"/>
          <w:sz w:val="17"/>
          <w:szCs w:val="17"/>
          <w:color w:val="auto"/>
        </w:rPr>
      </w:pPr>
    </w:p>
    <w:p>
      <w:pPr>
        <w:ind w:right="60" w:firstLine="592"/>
        <w:spacing w:after="0" w:line="258" w:lineRule="auto"/>
        <w:tabs>
          <w:tab w:leader="none" w:pos="83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“Non-Employee Director”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of the Exchange Act.</w:t>
      </w:r>
    </w:p>
    <w:p>
      <w:pPr>
        <w:spacing w:after="0" w:line="118" w:lineRule="exact"/>
        <w:rPr>
          <w:rFonts w:ascii="Arial" w:cs="Arial" w:eastAsia="Arial" w:hAnsi="Arial"/>
          <w:sz w:val="17"/>
          <w:szCs w:val="17"/>
          <w:color w:val="auto"/>
        </w:rPr>
      </w:pPr>
    </w:p>
    <w:p>
      <w:pPr>
        <w:ind w:left="820" w:hanging="228"/>
        <w:spacing w:after="0"/>
        <w:tabs>
          <w:tab w:leader="none" w:pos="8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“Nonstatutory Stock Option” means any option granted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Plan that does not qualify as an Incentive Stock Option.</w:t>
      </w:r>
    </w:p>
    <w:p>
      <w:pPr>
        <w:spacing w:after="0" w:line="229" w:lineRule="exact"/>
        <w:rPr>
          <w:sz w:val="20"/>
          <w:szCs w:val="20"/>
          <w:color w:val="auto"/>
        </w:rPr>
      </w:pPr>
    </w:p>
    <w:p>
      <w:pPr>
        <w:ind w:left="900" w:hanging="308"/>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“Officer” means a person who is an officer of the Company within the meaning of Section 16 of the Exchange Act.</w:t>
      </w:r>
    </w:p>
    <w:p>
      <w:pPr>
        <w:spacing w:after="0" w:line="217" w:lineRule="exact"/>
        <w:rPr>
          <w:rFonts w:ascii="Arial" w:cs="Arial" w:eastAsia="Arial" w:hAnsi="Arial"/>
          <w:sz w:val="17"/>
          <w:szCs w:val="17"/>
          <w:color w:val="auto"/>
        </w:rPr>
      </w:pPr>
    </w:p>
    <w:p>
      <w:pPr>
        <w:ind w:left="920" w:hanging="328"/>
        <w:spacing w:after="0"/>
        <w:tabs>
          <w:tab w:leader="none" w:pos="9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“Option” means an Incentive Stock Option or a Nonstatutory Stock Option to purchase shares of Stock granted pursuant to this Plan.</w:t>
      </w:r>
    </w:p>
    <w:p>
      <w:pPr>
        <w:spacing w:after="0" w:line="217" w:lineRule="exact"/>
        <w:rPr>
          <w:rFonts w:ascii="Arial" w:cs="Arial" w:eastAsia="Arial" w:hAnsi="Arial"/>
          <w:sz w:val="17"/>
          <w:szCs w:val="17"/>
          <w:color w:val="auto"/>
        </w:rPr>
      </w:pPr>
    </w:p>
    <w:p>
      <w:pPr>
        <w:ind w:right="100" w:firstLine="592"/>
        <w:spacing w:after="0" w:line="279" w:lineRule="auto"/>
        <w:tabs>
          <w:tab w:leader="none" w:pos="89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“Option Agreement” means an Award Document evidencing the terms and conditions of an Option grant. Each Option Agreement will be subject to the terms and conditions of this Plan.</w:t>
      </w:r>
    </w:p>
    <w:p>
      <w:pPr>
        <w:spacing w:after="0" w:line="164" w:lineRule="exact"/>
        <w:rPr>
          <w:rFonts w:ascii="Arial" w:cs="Arial" w:eastAsia="Arial" w:hAnsi="Arial"/>
          <w:sz w:val="17"/>
          <w:szCs w:val="17"/>
          <w:color w:val="auto"/>
        </w:rPr>
      </w:pPr>
    </w:p>
    <w:p>
      <w:pPr>
        <w:ind w:left="920" w:hanging="328"/>
        <w:spacing w:after="0"/>
        <w:tabs>
          <w:tab w:leader="none" w:pos="9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“Optionholder” means a person to whom an Option is granted pursuant to this Plan or, if applicable, such other person who holds an outstanding</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206" w:lineRule="exact"/>
        <w:rPr>
          <w:rFonts w:ascii="Arial" w:cs="Arial" w:eastAsia="Arial" w:hAnsi="Arial"/>
          <w:sz w:val="16"/>
          <w:szCs w:val="16"/>
          <w:color w:val="auto"/>
        </w:rPr>
      </w:pPr>
    </w:p>
    <w:p>
      <w:pPr>
        <w:ind w:firstLine="592"/>
        <w:spacing w:after="0" w:line="266" w:lineRule="auto"/>
        <w:tabs>
          <w:tab w:leader="none" w:pos="89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“Own,” “Owned,” “Owner,” “Ownership”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5" w:lineRule="exact"/>
        <w:rPr>
          <w:rFonts w:ascii="Arial" w:cs="Arial" w:eastAsia="Arial" w:hAnsi="Arial"/>
          <w:sz w:val="17"/>
          <w:szCs w:val="17"/>
          <w:color w:val="auto"/>
        </w:rPr>
      </w:pPr>
    </w:p>
    <w:p>
      <w:pPr>
        <w:ind w:left="860" w:hanging="268"/>
        <w:spacing w:after="0"/>
        <w:tabs>
          <w:tab w:leader="none" w:pos="8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“Participant” means a person to whom an Award is granted pursuant to this Plan or, if applicable, such other person who holds an outstanding Stock</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Award.</w:t>
      </w:r>
    </w:p>
    <w:p>
      <w:pPr>
        <w:spacing w:after="0" w:line="206" w:lineRule="exact"/>
        <w:rPr>
          <w:rFonts w:ascii="Arial" w:cs="Arial" w:eastAsia="Arial" w:hAnsi="Arial"/>
          <w:sz w:val="15"/>
          <w:szCs w:val="15"/>
          <w:color w:val="auto"/>
        </w:rPr>
      </w:pPr>
    </w:p>
    <w:p>
      <w:pPr>
        <w:ind w:left="920" w:hanging="328"/>
        <w:spacing w:after="0"/>
        <w:tabs>
          <w:tab w:leader="none" w:pos="9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“Performance Cash Award” means an award of cash granted pursuant to the terms and conditions of </w:t>
      </w:r>
      <w:r>
        <w:rPr>
          <w:rFonts w:ascii="Arial" w:cs="Arial" w:eastAsia="Arial" w:hAnsi="Arial"/>
          <w:sz w:val="17"/>
          <w:szCs w:val="17"/>
          <w:u w:val="single" w:color="auto"/>
          <w:color w:val="auto"/>
        </w:rPr>
        <w:t>Section 6(c)(ii)</w:t>
      </w:r>
      <w:r>
        <w:rPr>
          <w:rFonts w:ascii="Arial" w:cs="Arial" w:eastAsia="Arial" w:hAnsi="Arial"/>
          <w:sz w:val="17"/>
          <w:szCs w:val="17"/>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565" w:right="399" w:bottom="1440" w:gutter="0" w:footer="0" w:header="0"/>
        </w:sectPr>
      </w:pPr>
    </w:p>
    <w:bookmarkStart w:id="189" w:name="page190"/>
    <w:bookmarkEnd w:id="189"/>
    <w:p>
      <w:pPr>
        <w:ind w:right="100" w:firstLine="592"/>
        <w:spacing w:after="0" w:line="266" w:lineRule="auto"/>
        <w:tabs>
          <w:tab w:leader="none" w:pos="9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“Performance Period”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75" w:lineRule="exact"/>
        <w:rPr>
          <w:rFonts w:ascii="Arial" w:cs="Arial" w:eastAsia="Arial" w:hAnsi="Arial"/>
          <w:sz w:val="17"/>
          <w:szCs w:val="17"/>
          <w:color w:val="auto"/>
        </w:rPr>
      </w:pPr>
    </w:p>
    <w:p>
      <w:pPr>
        <w:ind w:left="840" w:hanging="248"/>
        <w:spacing w:after="0"/>
        <w:tabs>
          <w:tab w:leader="none" w:pos="8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“Performance Stock Award” means a Stock Award granted under the terms and conditions of </w:t>
      </w:r>
      <w:r>
        <w:rPr>
          <w:rFonts w:ascii="Arial" w:cs="Arial" w:eastAsia="Arial" w:hAnsi="Arial"/>
          <w:sz w:val="17"/>
          <w:szCs w:val="17"/>
          <w:u w:val="single" w:color="auto"/>
          <w:color w:val="auto"/>
        </w:rPr>
        <w:t>Section 6(c)(i)</w:t>
      </w:r>
      <w:r>
        <w:rPr>
          <w:rFonts w:ascii="Arial" w:cs="Arial" w:eastAsia="Arial" w:hAnsi="Arial"/>
          <w:sz w:val="17"/>
          <w:szCs w:val="17"/>
          <w:color w:val="auto"/>
        </w:rPr>
        <w:t>.</w:t>
      </w:r>
    </w:p>
    <w:p>
      <w:pPr>
        <w:spacing w:after="0" w:line="217" w:lineRule="exact"/>
        <w:rPr>
          <w:rFonts w:ascii="Arial" w:cs="Arial" w:eastAsia="Arial" w:hAnsi="Arial"/>
          <w:sz w:val="17"/>
          <w:szCs w:val="17"/>
          <w:color w:val="auto"/>
        </w:rPr>
      </w:pPr>
    </w:p>
    <w:p>
      <w:pPr>
        <w:ind w:left="840" w:hanging="248"/>
        <w:spacing w:after="0"/>
        <w:tabs>
          <w:tab w:leader="none" w:pos="8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“Plan” means this 2020 Eledon Pharmaceuticals, Inc. Long Term Incentive Plan, as amended and restated from time to time.</w:t>
      </w:r>
    </w:p>
    <w:p>
      <w:pPr>
        <w:spacing w:after="0" w:line="217" w:lineRule="exact"/>
        <w:rPr>
          <w:rFonts w:ascii="Arial" w:cs="Arial" w:eastAsia="Arial" w:hAnsi="Arial"/>
          <w:sz w:val="17"/>
          <w:szCs w:val="17"/>
          <w:color w:val="auto"/>
        </w:rPr>
      </w:pPr>
    </w:p>
    <w:p>
      <w:pPr>
        <w:ind w:right="160" w:firstLine="592"/>
        <w:spacing w:after="0" w:line="215" w:lineRule="auto"/>
        <w:tabs>
          <w:tab w:leader="none" w:pos="9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“Preferred Stock” means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$0.001 par value per share, of the Company, which constitutes “service recipient stock” as such term is described under Section 409A of the Code.</w:t>
      </w:r>
    </w:p>
    <w:p>
      <w:pPr>
        <w:spacing w:after="0" w:line="196" w:lineRule="exact"/>
        <w:rPr>
          <w:rFonts w:ascii="Arial" w:cs="Arial" w:eastAsia="Arial" w:hAnsi="Arial"/>
          <w:sz w:val="17"/>
          <w:szCs w:val="17"/>
          <w:color w:val="auto"/>
        </w:rPr>
      </w:pPr>
    </w:p>
    <w:p>
      <w:pPr>
        <w:ind w:left="840" w:hanging="248"/>
        <w:spacing w:after="0"/>
        <w:tabs>
          <w:tab w:leader="none" w:pos="8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“Restricted Stock Award” means an award of shares of Stock which is granted pursuant to the terms and conditions of </w:t>
      </w:r>
      <w:r>
        <w:rPr>
          <w:rFonts w:ascii="Arial" w:cs="Arial" w:eastAsia="Arial" w:hAnsi="Arial"/>
          <w:sz w:val="17"/>
          <w:szCs w:val="17"/>
          <w:u w:val="single" w:color="auto"/>
          <w:color w:val="auto"/>
        </w:rPr>
        <w:t>Section 6(a)</w:t>
      </w:r>
      <w:r>
        <w:rPr>
          <w:rFonts w:ascii="Arial" w:cs="Arial" w:eastAsia="Arial" w:hAnsi="Arial"/>
          <w:sz w:val="17"/>
          <w:szCs w:val="17"/>
          <w:color w:val="auto"/>
        </w:rPr>
        <w:t>.</w:t>
      </w:r>
    </w:p>
    <w:p>
      <w:pPr>
        <w:spacing w:after="0" w:line="217" w:lineRule="exact"/>
        <w:rPr>
          <w:rFonts w:ascii="Arial" w:cs="Arial" w:eastAsia="Arial" w:hAnsi="Arial"/>
          <w:sz w:val="17"/>
          <w:szCs w:val="17"/>
          <w:color w:val="auto"/>
        </w:rPr>
      </w:pPr>
    </w:p>
    <w:p>
      <w:pPr>
        <w:ind w:right="420" w:firstLine="592"/>
        <w:spacing w:after="0" w:line="279" w:lineRule="auto"/>
        <w:tabs>
          <w:tab w:leader="none" w:pos="101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“Restricted Stock Award Document” means an Award Document evidencing the terms and conditions of a Restricted Stock Award grant. Each Restricted Stock Award Document will be subject to the terms and conditions of this Plan.</w:t>
      </w:r>
    </w:p>
    <w:p>
      <w:pPr>
        <w:spacing w:after="0" w:line="164" w:lineRule="exact"/>
        <w:rPr>
          <w:rFonts w:ascii="Arial" w:cs="Arial" w:eastAsia="Arial" w:hAnsi="Arial"/>
          <w:sz w:val="17"/>
          <w:szCs w:val="17"/>
          <w:color w:val="auto"/>
        </w:rPr>
      </w:pPr>
    </w:p>
    <w:p>
      <w:pPr>
        <w:ind w:left="920" w:hanging="328"/>
        <w:spacing w:after="0"/>
        <w:tabs>
          <w:tab w:leader="none" w:pos="9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“Restricted Stock Unit Award” means a right to receive shares of Stock which is granted pursuant to the terms and conditions of </w:t>
      </w:r>
      <w:r>
        <w:rPr>
          <w:rFonts w:ascii="Arial" w:cs="Arial" w:eastAsia="Arial" w:hAnsi="Arial"/>
          <w:sz w:val="16"/>
          <w:szCs w:val="16"/>
          <w:u w:val="single" w:color="auto"/>
          <w:color w:val="auto"/>
        </w:rPr>
        <w:t>Section 6(b)</w:t>
      </w:r>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ind w:right="200" w:firstLine="592"/>
        <w:spacing w:after="0" w:line="279" w:lineRule="auto"/>
        <w:tabs>
          <w:tab w:leader="none" w:pos="91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“Restricted Stock Unit Award Document” means an Award Document evidencing the terms and conditions of a Restricted Stock Unit Award grant. Each Restricted Stock Unit Award Document will be subject to the terms and conditions of this Plan.</w:t>
      </w:r>
    </w:p>
    <w:p>
      <w:pPr>
        <w:spacing w:after="0" w:line="164" w:lineRule="exact"/>
        <w:rPr>
          <w:rFonts w:ascii="Arial" w:cs="Arial" w:eastAsia="Arial" w:hAnsi="Arial"/>
          <w:sz w:val="17"/>
          <w:szCs w:val="17"/>
          <w:color w:val="auto"/>
        </w:rPr>
      </w:pPr>
    </w:p>
    <w:p>
      <w:pPr>
        <w:ind w:left="920" w:hanging="328"/>
        <w:spacing w:after="0"/>
        <w:tabs>
          <w:tab w:leader="none" w:pos="9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“Securities Act” means the U.S. Securities Act of 1933, as amended.</w:t>
      </w:r>
    </w:p>
    <w:p>
      <w:pPr>
        <w:spacing w:after="0" w:line="152" w:lineRule="exact"/>
        <w:rPr>
          <w:rFonts w:ascii="Arial" w:cs="Arial" w:eastAsia="Arial" w:hAnsi="Arial"/>
          <w:sz w:val="17"/>
          <w:szCs w:val="17"/>
          <w:color w:val="auto"/>
        </w:rPr>
      </w:pPr>
    </w:p>
    <w:p>
      <w:pPr>
        <w:ind w:left="920" w:hanging="328"/>
        <w:spacing w:after="0"/>
        <w:tabs>
          <w:tab w:leader="none" w:pos="9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“Stock” means Common Stock or Preferred Stock, as applicable.</w:t>
      </w:r>
    </w:p>
    <w:p>
      <w:pPr>
        <w:spacing w:after="0" w:line="217" w:lineRule="exact"/>
        <w:rPr>
          <w:rFonts w:ascii="Arial" w:cs="Arial" w:eastAsia="Arial" w:hAnsi="Arial"/>
          <w:sz w:val="17"/>
          <w:szCs w:val="17"/>
          <w:color w:val="auto"/>
        </w:rPr>
      </w:pPr>
    </w:p>
    <w:p>
      <w:pPr>
        <w:ind w:left="860" w:hanging="268"/>
        <w:spacing w:after="0"/>
        <w:tabs>
          <w:tab w:leader="none" w:pos="8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“Stock Appreciation Right” or “SAR” means a right to receive the appreciation on Stock that is granted pursuant to the terms and conditions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206" w:lineRule="exact"/>
        <w:rPr>
          <w:sz w:val="20"/>
          <w:szCs w:val="20"/>
          <w:color w:val="auto"/>
        </w:rPr>
      </w:pPr>
    </w:p>
    <w:p>
      <w:pPr>
        <w:ind w:right="180" w:firstLine="592"/>
        <w:spacing w:after="0" w:line="279" w:lineRule="auto"/>
        <w:tabs>
          <w:tab w:leader="none" w:pos="8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“Stock Appreciation Right Award Document” means an Award Document evidencing the terms and conditions of a Stock Appreciation Right grant. Each Stock Appreciation Right Award Document will be subject to the terms and conditions of this Plan.</w:t>
      </w:r>
    </w:p>
    <w:p>
      <w:pPr>
        <w:spacing w:after="0" w:line="164" w:lineRule="exact"/>
        <w:rPr>
          <w:rFonts w:ascii="Arial" w:cs="Arial" w:eastAsia="Arial" w:hAnsi="Arial"/>
          <w:sz w:val="17"/>
          <w:szCs w:val="17"/>
          <w:color w:val="auto"/>
        </w:rPr>
      </w:pPr>
    </w:p>
    <w:p>
      <w:pPr>
        <w:ind w:right="640" w:firstLine="592"/>
        <w:spacing w:after="0" w:line="279" w:lineRule="auto"/>
        <w:tabs>
          <w:tab w:leader="none" w:pos="84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“Stock Award” means any right to receive Stock granted under this Plan, including an Incentive Stock Option, a Nonstatutory Stock Option, a Restricted Stock Award, a Restricted Stock Unit Award, a Stock Appreciation Right, or a Performance Stock Award.</w:t>
      </w:r>
    </w:p>
    <w:p>
      <w:pPr>
        <w:spacing w:after="0" w:line="164" w:lineRule="exact"/>
        <w:rPr>
          <w:rFonts w:ascii="Arial" w:cs="Arial" w:eastAsia="Arial" w:hAnsi="Arial"/>
          <w:sz w:val="17"/>
          <w:szCs w:val="17"/>
          <w:color w:val="auto"/>
        </w:rPr>
      </w:pPr>
    </w:p>
    <w:p>
      <w:pPr>
        <w:ind w:firstLine="592"/>
        <w:spacing w:after="0" w:line="279" w:lineRule="auto"/>
        <w:tabs>
          <w:tab w:leader="none" w:pos="91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“Stock Award Document” means an Award Document evidencing the terms and conditions of a Stock Award grant. Each Stock Award Document will be subject to the terms and conditions of this Plan.</w:t>
      </w:r>
    </w:p>
    <w:p>
      <w:pPr>
        <w:spacing w:after="0" w:line="164" w:lineRule="exact"/>
        <w:rPr>
          <w:rFonts w:ascii="Arial" w:cs="Arial" w:eastAsia="Arial" w:hAnsi="Arial"/>
          <w:sz w:val="17"/>
          <w:szCs w:val="17"/>
          <w:color w:val="auto"/>
        </w:rPr>
      </w:pPr>
    </w:p>
    <w:p>
      <w:pPr>
        <w:ind w:firstLine="592"/>
        <w:spacing w:after="0" w:line="292" w:lineRule="auto"/>
        <w:tabs>
          <w:tab w:leader="none" w:pos="918" w:val="left"/>
        </w:tabs>
        <w:numPr>
          <w:ilvl w:val="1"/>
          <w:numId w:val="162"/>
        </w:numPr>
        <w:rPr>
          <w:rFonts w:ascii="Arial" w:cs="Arial" w:eastAsia="Arial" w:hAnsi="Arial"/>
          <w:sz w:val="15"/>
          <w:szCs w:val="15"/>
          <w:color w:val="auto"/>
        </w:rPr>
      </w:pPr>
      <w:r>
        <w:rPr>
          <w:rFonts w:ascii="Arial" w:cs="Arial" w:eastAsia="Arial" w:hAnsi="Arial"/>
          <w:sz w:val="15"/>
          <w:szCs w:val="15"/>
          <w:color w:val="auto"/>
        </w:rPr>
        <w:t>“Subsidiary”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w:t>
      </w:r>
    </w:p>
    <w:p>
      <w:pPr>
        <w:ind w:right="120" w:firstLine="3"/>
        <w:spacing w:after="0" w:line="266" w:lineRule="auto"/>
        <w:tabs>
          <w:tab w:leader="none" w:pos="25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partnership, limited liability company or other entity in which the Company has a direct or indirect interest (whether in the form of voting or participation in profits or capital contribution) of more than 50%.</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058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90" w:name="page191"/>
    <w:bookmarkEnd w:id="190"/>
    <w:p>
      <w:pPr>
        <w:ind w:firstLine="592"/>
        <w:spacing w:after="0" w:line="279" w:lineRule="auto"/>
        <w:tabs>
          <w:tab w:leader="none" w:pos="99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“Ten Percent Stockholder” means a person who Owns (or is deemed to Own pursuant to Section 424(d) of the Code) stock possessing more than 10% of the total combined voting power of all classes of stock of the Company or any Affiliate.</w:t>
      </w:r>
    </w:p>
    <w:p>
      <w:pPr>
        <w:spacing w:after="0" w:line="164" w:lineRule="exact"/>
        <w:rPr>
          <w:rFonts w:ascii="Arial" w:cs="Arial" w:eastAsia="Arial" w:hAnsi="Arial"/>
          <w:sz w:val="17"/>
          <w:szCs w:val="17"/>
          <w:color w:val="auto"/>
        </w:rPr>
      </w:pPr>
    </w:p>
    <w:p>
      <w:pPr>
        <w:ind w:left="4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940"/>
          </w:cols>
          <w:pgMar w:left="320" w:top="565" w:right="6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9"/>
          <w:szCs w:val="19"/>
          <w:b w:val="1"/>
          <w:bCs w:val="1"/>
          <w:color w:val="auto"/>
        </w:rPr>
        <w:t>Exhibit 23.1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hereby consent to the incorporation by reference in Registration Statement Nos. 333-200413, 333-203032, 333-210058, 333-216432, 333-232428 and 333-237380 on Form S-8 and Registration Statement Nos. 333-226286 and 333-251305 on Form S-3 of our report dated March 30, 2021, relating to the consolidated financial statements of Eledon Pharmaceuticals, Inc., appearing in this Annual Report on Form 10-K of Eledon Pharmaceuticals, Inc.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/s/ KMJ Corbin &amp; Company LLP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Irvine, California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March 30, 2021</w:t>
      </w:r>
    </w:p>
    <w:p>
      <w:pPr>
        <w:sectPr>
          <w:pgSz w:w="11900" w:h="16838" w:orient="portrait"/>
          <w:cols w:equalWidth="0" w:num="1">
            <w:col w:w="11240"/>
          </w:cols>
          <w:pgMar w:left="320" w:top="118"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David-Alexandre C. Gros, M.D., certify that:</w:t>
      </w:r>
    </w:p>
    <w:p>
      <w:pPr>
        <w:spacing w:after="0" w:line="114" w:lineRule="exact"/>
        <w:rPr>
          <w:sz w:val="20"/>
          <w:szCs w:val="20"/>
          <w:color w:val="auto"/>
        </w:rPr>
      </w:pPr>
    </w:p>
    <w:p>
      <w:pPr>
        <w:ind w:left="720" w:hanging="171"/>
        <w:spacing w:after="0"/>
        <w:tabs>
          <w:tab w:leader="none" w:pos="7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Eledon Pharmaceuticals, Inc.;</w:t>
      </w:r>
    </w:p>
    <w:p>
      <w:pPr>
        <w:spacing w:after="0" w:line="113" w:lineRule="exact"/>
        <w:rPr>
          <w:rFonts w:ascii="Arial" w:cs="Arial" w:eastAsia="Arial" w:hAnsi="Arial"/>
          <w:sz w:val="17"/>
          <w:szCs w:val="17"/>
          <w:color w:val="auto"/>
        </w:rPr>
      </w:pPr>
    </w:p>
    <w:p>
      <w:pPr>
        <w:ind w:right="520" w:firstLine="549"/>
        <w:spacing w:after="0" w:line="349" w:lineRule="auto"/>
        <w:tabs>
          <w:tab w:leader="none" w:pos="718" w:val="left"/>
        </w:tabs>
        <w:numPr>
          <w:ilvl w:val="0"/>
          <w:numId w:val="1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right="480" w:firstLine="549"/>
        <w:spacing w:after="0" w:line="279" w:lineRule="auto"/>
        <w:tabs>
          <w:tab w:leader="none" w:pos="71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ind w:right="340" w:firstLine="549"/>
        <w:spacing w:after="0" w:line="266" w:lineRule="auto"/>
        <w:tabs>
          <w:tab w:leader="none" w:pos="71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sz w:val="20"/>
          <w:szCs w:val="20"/>
          <w:color w:val="auto"/>
        </w:rPr>
      </w:pPr>
    </w:p>
    <w:p>
      <w:pPr>
        <w:ind w:right="160" w:firstLine="549"/>
        <w:spacing w:after="0" w:line="266" w:lineRule="auto"/>
        <w:tabs>
          <w:tab w:leader="none" w:pos="72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right="80" w:firstLine="549"/>
        <w:spacing w:after="0" w:line="266" w:lineRule="auto"/>
        <w:tabs>
          <w:tab w:leader="none" w:pos="73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120" w:firstLine="549"/>
        <w:spacing w:after="0" w:line="279" w:lineRule="auto"/>
        <w:tabs>
          <w:tab w:leader="none" w:pos="72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7"/>
          <w:szCs w:val="17"/>
          <w:color w:val="auto"/>
        </w:rPr>
      </w:pPr>
    </w:p>
    <w:p>
      <w:pPr>
        <w:ind w:right="100" w:firstLine="549"/>
        <w:spacing w:after="0" w:line="266" w:lineRule="auto"/>
        <w:tabs>
          <w:tab w:leader="none" w:pos="73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sz w:val="20"/>
          <w:szCs w:val="20"/>
          <w:color w:val="auto"/>
        </w:rPr>
      </w:pPr>
    </w:p>
    <w:p>
      <w:pPr>
        <w:ind w:right="420" w:firstLine="549"/>
        <w:spacing w:after="0" w:line="312" w:lineRule="auto"/>
        <w:tabs>
          <w:tab w:leader="none" w:pos="71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right="60" w:firstLine="549"/>
        <w:spacing w:after="0" w:line="279" w:lineRule="auto"/>
        <w:tabs>
          <w:tab w:leader="none" w:pos="72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280" w:firstLine="549"/>
        <w:spacing w:after="0" w:line="279" w:lineRule="auto"/>
        <w:tabs>
          <w:tab w:leader="none" w:pos="73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Pr>
          <w:p>
            <w:pPr>
              <w:spacing w:after="0"/>
              <w:rPr>
                <w:sz w:val="20"/>
                <w:szCs w:val="20"/>
                <w:color w:val="auto"/>
              </w:rPr>
            </w:pPr>
            <w:r>
              <w:rPr>
                <w:rFonts w:ascii="Arial" w:cs="Arial" w:eastAsia="Arial" w:hAnsi="Arial"/>
                <w:sz w:val="17"/>
                <w:szCs w:val="17"/>
                <w:color w:val="auto"/>
              </w:rPr>
              <w:t>Date: March 30, 2021</w:t>
            </w:r>
          </w:p>
        </w:tc>
        <w:tc>
          <w:tcPr>
            <w:tcW w:w="7720" w:type="dxa"/>
            <w:vAlign w:val="bottom"/>
            <w:gridSpan w:val="2"/>
          </w:tcPr>
          <w:p>
            <w:pPr>
              <w:ind w:left="2000"/>
              <w:spacing w:after="0"/>
              <w:rPr>
                <w:sz w:val="20"/>
                <w:szCs w:val="20"/>
                <w:color w:val="auto"/>
              </w:rPr>
            </w:pPr>
            <w:r>
              <w:rPr>
                <w:rFonts w:ascii="Arial" w:cs="Arial" w:eastAsia="Arial" w:hAnsi="Arial"/>
                <w:sz w:val="17"/>
                <w:szCs w:val="17"/>
                <w:color w:val="auto"/>
              </w:rPr>
              <w:t>By: /s/ David-Alexandre C. Gros, M.D.</w:t>
            </w:r>
          </w:p>
        </w:tc>
      </w:tr>
      <w:tr>
        <w:trPr>
          <w:trHeight w:val="188"/>
        </w:trPr>
        <w:tc>
          <w:tcPr>
            <w:tcW w:w="3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6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David-Alexandre C. Gros, M.D.</w:t>
            </w:r>
          </w:p>
        </w:tc>
      </w:tr>
      <w:tr>
        <w:trPr>
          <w:trHeight w:val="206"/>
        </w:trPr>
        <w:tc>
          <w:tcPr>
            <w:tcW w:w="35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17"/>
        </w:trPr>
        <w:tc>
          <w:tcPr>
            <w:tcW w:w="3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32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Paul Little, certify that:</w:t>
      </w:r>
    </w:p>
    <w:p>
      <w:pPr>
        <w:spacing w:after="0" w:line="114" w:lineRule="exact"/>
        <w:rPr>
          <w:sz w:val="20"/>
          <w:szCs w:val="20"/>
          <w:color w:val="auto"/>
        </w:rPr>
      </w:pPr>
    </w:p>
    <w:p>
      <w:pPr>
        <w:ind w:left="720" w:hanging="171"/>
        <w:spacing w:after="0"/>
        <w:tabs>
          <w:tab w:leader="none" w:pos="7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Eledon Pharmaceuticals, Inc.;</w:t>
      </w:r>
    </w:p>
    <w:p>
      <w:pPr>
        <w:spacing w:after="0" w:line="113" w:lineRule="exact"/>
        <w:rPr>
          <w:rFonts w:ascii="Arial" w:cs="Arial" w:eastAsia="Arial" w:hAnsi="Arial"/>
          <w:sz w:val="17"/>
          <w:szCs w:val="17"/>
          <w:color w:val="auto"/>
        </w:rPr>
      </w:pPr>
    </w:p>
    <w:p>
      <w:pPr>
        <w:ind w:right="520" w:firstLine="549"/>
        <w:spacing w:after="0" w:line="349" w:lineRule="auto"/>
        <w:tabs>
          <w:tab w:leader="none" w:pos="718" w:val="left"/>
        </w:tabs>
        <w:numPr>
          <w:ilvl w:val="0"/>
          <w:numId w:val="1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right="480" w:firstLine="549"/>
        <w:spacing w:after="0" w:line="279" w:lineRule="auto"/>
        <w:tabs>
          <w:tab w:leader="none" w:pos="71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ind w:right="340" w:firstLine="549"/>
        <w:spacing w:after="0" w:line="266" w:lineRule="auto"/>
        <w:tabs>
          <w:tab w:leader="none" w:pos="71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sz w:val="20"/>
          <w:szCs w:val="20"/>
          <w:color w:val="auto"/>
        </w:rPr>
      </w:pPr>
    </w:p>
    <w:p>
      <w:pPr>
        <w:ind w:right="160" w:firstLine="549"/>
        <w:spacing w:after="0" w:line="266" w:lineRule="auto"/>
        <w:tabs>
          <w:tab w:leader="none" w:pos="72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right="80" w:firstLine="549"/>
        <w:spacing w:after="0" w:line="266" w:lineRule="auto"/>
        <w:tabs>
          <w:tab w:leader="none" w:pos="73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120" w:firstLine="549"/>
        <w:spacing w:after="0" w:line="279" w:lineRule="auto"/>
        <w:tabs>
          <w:tab w:leader="none" w:pos="72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7"/>
          <w:szCs w:val="17"/>
          <w:color w:val="auto"/>
        </w:rPr>
      </w:pPr>
    </w:p>
    <w:p>
      <w:pPr>
        <w:ind w:right="100" w:firstLine="549"/>
        <w:spacing w:after="0" w:line="266" w:lineRule="auto"/>
        <w:tabs>
          <w:tab w:leader="none" w:pos="73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sz w:val="20"/>
          <w:szCs w:val="20"/>
          <w:color w:val="auto"/>
        </w:rPr>
      </w:pPr>
    </w:p>
    <w:p>
      <w:pPr>
        <w:ind w:right="420" w:firstLine="549"/>
        <w:spacing w:after="0" w:line="312" w:lineRule="auto"/>
        <w:tabs>
          <w:tab w:leader="none" w:pos="71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right="60" w:firstLine="549"/>
        <w:spacing w:after="0" w:line="279" w:lineRule="auto"/>
        <w:tabs>
          <w:tab w:leader="none" w:pos="72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280" w:firstLine="549"/>
        <w:spacing w:after="0" w:line="279" w:lineRule="auto"/>
        <w:tabs>
          <w:tab w:leader="none" w:pos="73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Pr>
          <w:p>
            <w:pPr>
              <w:spacing w:after="0"/>
              <w:rPr>
                <w:sz w:val="20"/>
                <w:szCs w:val="20"/>
                <w:color w:val="auto"/>
              </w:rPr>
            </w:pPr>
            <w:r>
              <w:rPr>
                <w:rFonts w:ascii="Arial" w:cs="Arial" w:eastAsia="Arial" w:hAnsi="Arial"/>
                <w:sz w:val="17"/>
                <w:szCs w:val="17"/>
                <w:color w:val="auto"/>
              </w:rPr>
              <w:t>Date: March 30, 2021</w:t>
            </w:r>
          </w:p>
        </w:tc>
        <w:tc>
          <w:tcPr>
            <w:tcW w:w="7720" w:type="dxa"/>
            <w:vAlign w:val="bottom"/>
            <w:gridSpan w:val="2"/>
          </w:tcPr>
          <w:p>
            <w:pPr>
              <w:ind w:left="2000"/>
              <w:spacing w:after="0"/>
              <w:rPr>
                <w:sz w:val="20"/>
                <w:szCs w:val="20"/>
                <w:color w:val="auto"/>
              </w:rPr>
            </w:pPr>
            <w:r>
              <w:rPr>
                <w:rFonts w:ascii="Arial" w:cs="Arial" w:eastAsia="Arial" w:hAnsi="Arial"/>
                <w:sz w:val="17"/>
                <w:szCs w:val="17"/>
                <w:color w:val="auto"/>
              </w:rPr>
              <w:t>By: /s/ Paul Little</w:t>
            </w:r>
          </w:p>
        </w:tc>
      </w:tr>
      <w:tr>
        <w:trPr>
          <w:trHeight w:val="188"/>
        </w:trPr>
        <w:tc>
          <w:tcPr>
            <w:tcW w:w="3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6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Paul Little</w:t>
            </w:r>
          </w:p>
        </w:tc>
      </w:tr>
      <w:tr>
        <w:trPr>
          <w:trHeight w:val="206"/>
        </w:trPr>
        <w:tc>
          <w:tcPr>
            <w:tcW w:w="35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7"/>
        </w:trPr>
        <w:tc>
          <w:tcPr>
            <w:tcW w:w="3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240"/>
          </w:cols>
          <w:pgMar w:left="320" w:top="327"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20" w:firstLine="546"/>
        <w:spacing w:after="0" w:line="318" w:lineRule="auto"/>
        <w:rPr>
          <w:sz w:val="20"/>
          <w:szCs w:val="20"/>
          <w:color w:val="auto"/>
        </w:rPr>
      </w:pPr>
      <w:r>
        <w:rPr>
          <w:rFonts w:ascii="Arial" w:cs="Arial" w:eastAsia="Arial" w:hAnsi="Arial"/>
          <w:sz w:val="15"/>
          <w:szCs w:val="15"/>
          <w:color w:val="auto"/>
        </w:rPr>
        <w:t>In connection with the Annual Report on Form 10-K of Eledon Pharmaceuticals, Inc. (the “Company”) for the period ended December 31, 2020 as filed with the Securities and Exchange Commission on the date hereof (the “Report”), the undersigned, Gregory J. Flesher, President and Chief Executive Officer of the Company, hereby certifies, pursuant to 18 U.S.C. Section 1350, as adopted pursuant to Section 906 of the Sarbanes-Oxley Act of 2002, that to the best of her knowledge:</w:t>
      </w:r>
    </w:p>
    <w:p>
      <w:pPr>
        <w:spacing w:after="0" w:line="36" w:lineRule="exact"/>
        <w:rPr>
          <w:sz w:val="20"/>
          <w:szCs w:val="20"/>
          <w:color w:val="auto"/>
        </w:rPr>
      </w:pPr>
    </w:p>
    <w:p>
      <w:pPr>
        <w:ind w:left="1080" w:right="2760" w:hanging="540"/>
        <w:spacing w:after="0" w:line="279" w:lineRule="auto"/>
        <w:tabs>
          <w:tab w:leader="none" w:pos="10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the Report fully complies with the requirements of Section 13(a) or 15(d) of the Securities Exchange Act of 1934; and</w:t>
      </w:r>
    </w:p>
    <w:p>
      <w:pPr>
        <w:spacing w:after="0" w:line="6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Date: March 30, 2021</w:t>
            </w:r>
          </w:p>
        </w:tc>
        <w:tc>
          <w:tcPr>
            <w:tcW w:w="2620" w:type="dxa"/>
            <w:vAlign w:val="bottom"/>
          </w:tcPr>
          <w:p>
            <w:pPr>
              <w:ind w:left="2060"/>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David-Alexandre C. Gros, M.D.</w:t>
            </w:r>
          </w:p>
        </w:tc>
      </w:tr>
      <w:tr>
        <w:trPr>
          <w:trHeight w:val="188"/>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Pr>
          <w:p>
            <w:pPr>
              <w:spacing w:after="0" w:line="188" w:lineRule="exact"/>
              <w:rPr>
                <w:sz w:val="20"/>
                <w:szCs w:val="20"/>
                <w:color w:val="auto"/>
              </w:rPr>
            </w:pPr>
            <w:r>
              <w:rPr>
                <w:rFonts w:ascii="Arial" w:cs="Arial" w:eastAsia="Arial" w:hAnsi="Arial"/>
                <w:sz w:val="17"/>
                <w:szCs w:val="17"/>
                <w:color w:val="auto"/>
              </w:rPr>
              <w:t>David-Alexandre C. Gros, M.D.</w:t>
            </w:r>
          </w:p>
        </w:tc>
      </w:tr>
      <w:tr>
        <w:trPr>
          <w:trHeight w:val="206"/>
        </w:trPr>
        <w:tc>
          <w:tcPr>
            <w:tcW w:w="3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17"/>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240" w:firstLine="546"/>
        <w:spacing w:after="0" w:line="318" w:lineRule="auto"/>
        <w:rPr>
          <w:sz w:val="20"/>
          <w:szCs w:val="20"/>
          <w:color w:val="auto"/>
        </w:rPr>
      </w:pPr>
      <w:r>
        <w:rPr>
          <w:rFonts w:ascii="Arial" w:cs="Arial" w:eastAsia="Arial" w:hAnsi="Arial"/>
          <w:sz w:val="15"/>
          <w:szCs w:val="15"/>
          <w:color w:val="auto"/>
        </w:rPr>
        <w:t>In connection with the Annual Report on Form 10-K of Eledon Pharmaceuticals, Inc. (the “Company”) for the period ended December 31, 2020 as filed with the Securities and Exchange Commission on the date hereof (the “Report”), the undersigned, Jon S. Kuwahara, Chief Financial Officer of the Company, hereby certifies, pursuant to 18 U.S.C. Section 1350, as adopted pursuant to Section 906 of the Sarbanes-Oxley Act of 2002, that to the best of his knowledge:</w:t>
      </w:r>
    </w:p>
    <w:p>
      <w:pPr>
        <w:spacing w:after="0" w:line="36" w:lineRule="exact"/>
        <w:rPr>
          <w:sz w:val="20"/>
          <w:szCs w:val="20"/>
          <w:color w:val="auto"/>
        </w:rPr>
      </w:pPr>
    </w:p>
    <w:p>
      <w:pPr>
        <w:ind w:left="1080" w:right="2760" w:hanging="540"/>
        <w:spacing w:after="0" w:line="279" w:lineRule="auto"/>
        <w:tabs>
          <w:tab w:leader="none" w:pos="10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the Report fully complies with the requirements of Section 13(a) or 15(d) of the Securities Exchange Act of 1934; and</w:t>
      </w:r>
    </w:p>
    <w:p>
      <w:pPr>
        <w:spacing w:after="0" w:line="6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Date: March 30, 2021</w:t>
            </w:r>
          </w:p>
        </w:tc>
        <w:tc>
          <w:tcPr>
            <w:tcW w:w="2620" w:type="dxa"/>
            <w:vAlign w:val="bottom"/>
          </w:tcPr>
          <w:p>
            <w:pPr>
              <w:ind w:left="2060"/>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Paul Little</w:t>
            </w:r>
          </w:p>
        </w:tc>
      </w:tr>
      <w:tr>
        <w:trPr>
          <w:trHeight w:val="188"/>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Pr>
          <w:p>
            <w:pPr>
              <w:spacing w:after="0" w:line="188" w:lineRule="exact"/>
              <w:rPr>
                <w:sz w:val="20"/>
                <w:szCs w:val="20"/>
                <w:color w:val="auto"/>
              </w:rPr>
            </w:pPr>
            <w:r>
              <w:rPr>
                <w:rFonts w:ascii="Arial" w:cs="Arial" w:eastAsia="Arial" w:hAnsi="Arial"/>
                <w:sz w:val="17"/>
                <w:szCs w:val="17"/>
                <w:color w:val="auto"/>
              </w:rPr>
              <w:t>Paul Little</w:t>
            </w:r>
          </w:p>
        </w:tc>
      </w:tr>
      <w:tr>
        <w:trPr>
          <w:trHeight w:val="206"/>
        </w:trPr>
        <w:tc>
          <w:tcPr>
            <w:tcW w:w="3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7"/>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
      <w:numFmt w:val="bullet"/>
      <w:start w:val="1"/>
    </w:lvl>
  </w:abstractNum>
  <w:abstractNum w:abstractNumId="4">
    <w:nsid w:val="14E17E33"/>
    <w:multiLevelType w:val="hybridMultilevel"/>
    <w:lvl w:ilvl="0">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1)"/>
      <w:numFmt w:val="decimal"/>
      <w:start w:val="70"/>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lvl w:ilvl="1">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
      <w:numFmt w:val="bullet"/>
      <w:start w:val="1"/>
    </w:lvl>
  </w:abstractNum>
  <w:abstractNum w:abstractNumId="28">
    <w:nsid w:val="7D5E18F8"/>
    <w:multiLevelType w:val="hybridMultilevel"/>
    <w:lvl w:ilvl="0">
      <w:lvlJc w:val="left"/>
      <w:lvlText w:val="•"/>
      <w:numFmt w:val="bullet"/>
      <w:start w:val="1"/>
    </w:lvl>
  </w:abstractNum>
  <w:abstractNum w:abstractNumId="29">
    <w:nsid w:val="5F3534A4"/>
    <w:multiLevelType w:val="hybridMultilevel"/>
    <w:lvl w:ilvl="0">
      <w:lvlJc w:val="left"/>
      <w:lvlText w:val="•"/>
      <w:numFmt w:val="bullet"/>
      <w:start w:val="1"/>
    </w:lvl>
  </w:abstractNum>
  <w:abstractNum w:abstractNumId="30">
    <w:nsid w:val="73A1821B"/>
    <w:multiLevelType w:val="hybridMultilevel"/>
    <w:lvl w:ilvl="0">
      <w:lvlJc w:val="left"/>
      <w:lvlText w:val="•"/>
      <w:numFmt w:val="bullet"/>
      <w:start w:val="1"/>
    </w:lvl>
  </w:abstractNum>
  <w:abstractNum w:abstractNumId="31">
    <w:nsid w:val="7DE67713"/>
    <w:multiLevelType w:val="hybridMultilevel"/>
    <w:lvl w:ilvl="0">
      <w:lvlJc w:val="left"/>
      <w:lvlText w:val="•"/>
      <w:numFmt w:val="bullet"/>
      <w:start w:val="1"/>
    </w:lvl>
  </w:abstractNum>
  <w:abstractNum w:abstractNumId="32">
    <w:nsid w:val="555C55B5"/>
    <w:multiLevelType w:val="hybridMultilevel"/>
    <w:lvl w:ilvl="0">
      <w:lvlJc w:val="left"/>
      <w:lvlText w:val="•"/>
      <w:numFmt w:val="bullet"/>
      <w:start w:val="1"/>
    </w:lvl>
  </w:abstractNum>
  <w:abstractNum w:abstractNumId="33">
    <w:nsid w:val="3FA62ACA"/>
    <w:multiLevelType w:val="hybridMultilevel"/>
    <w:lvl w:ilvl="0">
      <w:lvlJc w:val="left"/>
      <w:lvlText w:val="•"/>
      <w:numFmt w:val="bullet"/>
      <w:start w:val="1"/>
    </w:lvl>
  </w:abstractNum>
  <w:abstractNum w:abstractNumId="34">
    <w:nsid w:val="14FCE74E"/>
    <w:multiLevelType w:val="hybridMultilevel"/>
    <w:lvl w:ilvl="0">
      <w:lvlJc w:val="left"/>
      <w:lvlText w:val="•"/>
      <w:numFmt w:val="bullet"/>
      <w:start w:val="1"/>
    </w:lvl>
  </w:abstractNum>
  <w:abstractNum w:abstractNumId="35">
    <w:nsid w:val="6A3DD3E8"/>
    <w:multiLevelType w:val="hybridMultilevel"/>
    <w:lvl w:ilvl="0">
      <w:lvlJc w:val="left"/>
      <w:lvlText w:val="•"/>
      <w:numFmt w:val="bullet"/>
      <w:start w:val="1"/>
    </w:lvl>
  </w:abstractNum>
  <w:abstractNum w:abstractNumId="36">
    <w:nsid w:val="71C91298"/>
    <w:multiLevelType w:val="hybridMultilevel"/>
    <w:lvl w:ilvl="0">
      <w:lvlJc w:val="left"/>
      <w:lvlText w:val="•"/>
      <w:numFmt w:val="bullet"/>
      <w:start w:val="1"/>
    </w:lvl>
  </w:abstractNum>
  <w:abstractNum w:abstractNumId="37">
    <w:nsid w:val="9DAF632"/>
    <w:multiLevelType w:val="hybridMultilevel"/>
    <w:lvl w:ilvl="0">
      <w:lvlJc w:val="left"/>
      <w:lvlText w:val="•"/>
      <w:numFmt w:val="bullet"/>
      <w:start w:val="1"/>
    </w:lvl>
  </w:abstractNum>
  <w:abstractNum w:abstractNumId="38">
    <w:nsid w:val="53299938"/>
    <w:multiLevelType w:val="hybridMultilevel"/>
    <w:lvl w:ilvl="0">
      <w:lvlJc w:val="left"/>
      <w:lvlText w:val="(%1)"/>
      <w:numFmt w:val="lowerLetter"/>
      <w:start w:val="1"/>
    </w:lvl>
    <w:lvl w:ilvl="1">
      <w:lvlJc w:val="left"/>
      <w:lvlText w:val="(%2)"/>
      <w:numFmt w:val="decimal"/>
      <w:start w:val="1"/>
    </w:lvl>
  </w:abstractNum>
  <w:abstractNum w:abstractNumId="39">
    <w:nsid w:val="1FBFE8E0"/>
    <w:multiLevelType w:val="hybridMultilevel"/>
    <w:lvl w:ilvl="0">
      <w:lvlJc w:val="left"/>
      <w:lvlText w:val="*"/>
      <w:numFmt w:val="bullet"/>
      <w:start w:val="1"/>
    </w:lvl>
  </w:abstractNum>
  <w:abstractNum w:abstractNumId="40">
    <w:nsid w:val="5092CA79"/>
    <w:multiLevelType w:val="hybridMultilevel"/>
    <w:lvl w:ilvl="0">
      <w:lvlJc w:val="left"/>
      <w:lvlText w:val="†"/>
      <w:numFmt w:val="bullet"/>
      <w:start w:val="1"/>
    </w:lvl>
  </w:abstractNum>
  <w:abstractNum w:abstractNumId="41">
    <w:nsid w:val="1D545C4D"/>
    <w:multiLevelType w:val="hybridMultilevel"/>
    <w:lvl w:ilvl="0">
      <w:lvlJc w:val="left"/>
      <w:lvlText w:val="#"/>
      <w:numFmt w:val="bullet"/>
      <w:start w:val="1"/>
    </w:lvl>
  </w:abstractNum>
  <w:abstractNum w:abstractNumId="42">
    <w:nsid w:val="59ADEA3D"/>
    <w:multiLevelType w:val="hybridMultilevel"/>
    <w:lvl w:ilvl="0">
      <w:lvlJc w:val="left"/>
      <w:lvlText w:val="(%1)"/>
      <w:numFmt w:val="decimal"/>
      <w:start w:val="2"/>
    </w:lvl>
  </w:abstractNum>
  <w:abstractNum w:abstractNumId="43">
    <w:nsid w:val="288F1A34"/>
    <w:multiLevelType w:val="hybridMultilevel"/>
    <w:lvl w:ilvl="0">
      <w:lvlJc w:val="left"/>
      <w:lvlText w:val="(%1)"/>
      <w:numFmt w:val="lowerLetter"/>
      <w:start w:val="1"/>
    </w:lvl>
  </w:abstractNum>
  <w:abstractNum w:abstractNumId="44">
    <w:nsid w:val="2A155DBC"/>
    <w:multiLevelType w:val="hybridMultilevel"/>
    <w:lvl w:ilvl="0">
      <w:lvlJc w:val="left"/>
      <w:lvlText w:val="(%1)"/>
      <w:numFmt w:val="decimal"/>
      <w:start w:val="1"/>
    </w:lvl>
  </w:abstractNum>
  <w:abstractNum w:abstractNumId="45">
    <w:nsid w:val="1D9F6E5F"/>
    <w:multiLevelType w:val="hybridMultilevel"/>
    <w:lvl w:ilvl="0">
      <w:lvlJc w:val="left"/>
      <w:lvlText w:val="(%1)"/>
      <w:numFmt w:val="lowerLetter"/>
      <w:start w:val="1"/>
    </w:lvl>
  </w:abstractNum>
  <w:abstractNum w:abstractNumId="46">
    <w:nsid w:val="97E1B4E"/>
    <w:multiLevelType w:val="hybridMultilevel"/>
    <w:lvl w:ilvl="0">
      <w:lvlJc w:val="left"/>
      <w:lvlText w:val="(%1)"/>
      <w:numFmt w:val="lowerLetter"/>
      <w:start w:val="1"/>
    </w:lvl>
  </w:abstractNum>
  <w:abstractNum w:abstractNumId="47">
    <w:nsid w:val="51088277"/>
    <w:multiLevelType w:val="hybridMultilevel"/>
    <w:lvl w:ilvl="0">
      <w:lvlJc w:val="left"/>
      <w:lvlText w:val="(%1)"/>
      <w:numFmt w:val="lowerLetter"/>
      <w:start w:val="2"/>
    </w:lvl>
  </w:abstractNum>
  <w:abstractNum w:abstractNumId="48">
    <w:nsid w:val="1CA0C5FA"/>
    <w:multiLevelType w:val="hybridMultilevel"/>
    <w:lvl w:ilvl="0">
      <w:lvlJc w:val="left"/>
      <w:lvlText w:val="(%1)"/>
      <w:numFmt w:val="lowerLetter"/>
      <w:start w:val="3"/>
    </w:lvl>
  </w:abstractNum>
  <w:abstractNum w:abstractNumId="49">
    <w:nsid w:val="53584BCB"/>
    <w:multiLevelType w:val="hybridMultilevel"/>
    <w:lvl w:ilvl="0">
      <w:lvlJc w:val="left"/>
      <w:lvlText w:val="(%1)"/>
      <w:numFmt w:val="lowerLetter"/>
      <w:start w:val="8"/>
    </w:lvl>
  </w:abstractNum>
  <w:abstractNum w:abstractNumId="50">
    <w:nsid w:val="415E286C"/>
    <w:multiLevelType w:val="hybridMultilevel"/>
    <w:lvl w:ilvl="0">
      <w:lvlJc w:val="left"/>
      <w:lvlText w:val="(%1)"/>
      <w:numFmt w:val="lowerLetter"/>
      <w:start w:val="12"/>
    </w:lvl>
  </w:abstractNum>
  <w:abstractNum w:abstractNumId="51">
    <w:nsid w:val="7C58FD05"/>
    <w:multiLevelType w:val="hybridMultilevel"/>
    <w:lvl w:ilvl="0">
      <w:lvlJc w:val="left"/>
      <w:lvlText w:val="(%1)"/>
      <w:numFmt w:val="lowerLetter"/>
      <w:start w:val="15"/>
    </w:lvl>
  </w:abstractNum>
  <w:abstractNum w:abstractNumId="52">
    <w:nsid w:val="23D86AAC"/>
    <w:multiLevelType w:val="hybridMultilevel"/>
    <w:lvl w:ilvl="0">
      <w:lvlJc w:val="left"/>
      <w:lvlText w:val="(%1)"/>
      <w:numFmt w:val="lowerLetter"/>
      <w:start w:val="18"/>
    </w:lvl>
  </w:abstractNum>
  <w:abstractNum w:abstractNumId="53">
    <w:nsid w:val="45E6D486"/>
    <w:multiLevelType w:val="hybridMultilevel"/>
    <w:lvl w:ilvl="0">
      <w:lvlJc w:val="left"/>
      <w:lvlText w:val="(%1)"/>
      <w:numFmt w:val="lowerLetter"/>
      <w:start w:val="20"/>
    </w:lvl>
  </w:abstractNum>
  <w:abstractNum w:abstractNumId="54">
    <w:nsid w:val="5C10FE21"/>
    <w:multiLevelType w:val="hybridMultilevel"/>
    <w:lvl w:ilvl="0">
      <w:lvlJc w:val="left"/>
      <w:lvlText w:val="(%1)"/>
      <w:numFmt w:val="lowerLetter"/>
      <w:start w:val="22"/>
    </w:lvl>
  </w:abstractNum>
  <w:abstractNum w:abstractNumId="55">
    <w:nsid w:val="E7FFA2B"/>
    <w:multiLevelType w:val="hybridMultilevel"/>
    <w:lvl w:ilvl="0">
      <w:lvlJc w:val="left"/>
      <w:lvlText w:val="(%1)"/>
      <w:numFmt w:val="lowerLetter"/>
      <w:start w:val="26"/>
    </w:lvl>
  </w:abstractNum>
  <w:abstractNum w:abstractNumId="56">
    <w:nsid w:val="3C5991AA"/>
    <w:multiLevelType w:val="hybridMultilevel"/>
    <w:lvl w:ilvl="0">
      <w:lvlJc w:val="left"/>
      <w:lvlText w:val="(%1)"/>
      <w:numFmt w:val="lowerLetter"/>
      <w:start w:val="27"/>
    </w:lvl>
  </w:abstractNum>
  <w:abstractNum w:abstractNumId="57">
    <w:nsid w:val="4BD8591A"/>
    <w:multiLevelType w:val="hybridMultilevel"/>
    <w:lvl w:ilvl="0">
      <w:lvlJc w:val="left"/>
      <w:lvlText w:val="(%1)"/>
      <w:numFmt w:val="lowerLetter"/>
      <w:start w:val="31"/>
    </w:lvl>
  </w:abstractNum>
  <w:abstractNum w:abstractNumId="58">
    <w:nsid w:val="78DF6A55"/>
    <w:multiLevelType w:val="hybridMultilevel"/>
    <w:lvl w:ilvl="0">
      <w:lvlJc w:val="left"/>
      <w:lvlText w:val="(%1)"/>
      <w:numFmt w:val="lowerLetter"/>
      <w:start w:val="35"/>
    </w:lvl>
    <w:lvl w:ilvl="1">
      <w:lvlJc w:val="left"/>
      <w:lvlText w:val="(%2)"/>
      <w:numFmt w:val="lowerLetter"/>
      <w:start w:val="34"/>
    </w:lvl>
  </w:abstractNum>
  <w:abstractNum w:abstractNumId="59">
    <w:nsid w:val="39B7AAA2"/>
    <w:multiLevelType w:val="hybridMultilevel"/>
    <w:lvl w:ilvl="0">
      <w:lvlJc w:val="left"/>
      <w:lvlText w:val="(%1)"/>
      <w:numFmt w:val="lowerLetter"/>
      <w:start w:val="39"/>
    </w:lvl>
  </w:abstractNum>
  <w:abstractNum w:abstractNumId="60">
    <w:nsid w:val="2B0D8DBE"/>
    <w:multiLevelType w:val="hybridMultilevel"/>
    <w:lvl w:ilvl="0">
      <w:lvlJc w:val="left"/>
      <w:lvlText w:val="(%1)"/>
      <w:numFmt w:val="lowerLetter"/>
      <w:start w:val="42"/>
    </w:lvl>
  </w:abstractNum>
  <w:abstractNum w:abstractNumId="61">
    <w:nsid w:val="6C80EC70"/>
    <w:multiLevelType w:val="hybridMultilevel"/>
    <w:lvl w:ilvl="0">
      <w:lvlJc w:val="left"/>
      <w:lvlText w:val="(%1)"/>
      <w:numFmt w:val="lowerLetter"/>
      <w:start w:val="46"/>
    </w:lvl>
  </w:abstractNum>
  <w:abstractNum w:abstractNumId="62">
    <w:nsid w:val="379E21B5"/>
    <w:multiLevelType w:val="hybridMultilevel"/>
    <w:lvl w:ilvl="0">
      <w:lvlJc w:val="left"/>
      <w:lvlText w:val="(%1)"/>
      <w:numFmt w:val="lowerLetter"/>
      <w:start w:val="1"/>
    </w:lvl>
  </w:abstractNum>
  <w:abstractNum w:abstractNumId="63">
    <w:nsid w:val="69E373"/>
    <w:multiLevelType w:val="hybridMultilevel"/>
    <w:lvl w:ilvl="0">
      <w:lvlJc w:val="left"/>
      <w:lvlText w:val="(%1)"/>
      <w:numFmt w:val="lowerRoman"/>
      <w:start w:val="1"/>
    </w:lvl>
  </w:abstractNum>
  <w:abstractNum w:abstractNumId="64">
    <w:nsid w:val="2C27173B"/>
    <w:multiLevelType w:val="hybridMultilevel"/>
    <w:lvl w:ilvl="0">
      <w:lvlJc w:val="left"/>
      <w:lvlText w:val="(%1)"/>
      <w:numFmt w:val="lowerRoman"/>
      <w:start w:val="2"/>
    </w:lvl>
  </w:abstractNum>
  <w:abstractNum w:abstractNumId="65">
    <w:nsid w:val="4C9B0904"/>
    <w:multiLevelType w:val="hybridMultilevel"/>
    <w:lvl w:ilvl="0">
      <w:lvlJc w:val="left"/>
      <w:lvlText w:val="(%1)"/>
      <w:numFmt w:val="lowerRoman"/>
      <w:start w:val="7"/>
    </w:lvl>
  </w:abstractNum>
  <w:abstractNum w:abstractNumId="66">
    <w:nsid w:val="6AA7B75C"/>
    <w:multiLevelType w:val="hybridMultilevel"/>
    <w:lvl w:ilvl="0">
      <w:lvlJc w:val="left"/>
      <w:lvlText w:val="%1"/>
      <w:numFmt w:val="lowerLetter"/>
      <w:start w:val="1"/>
    </w:lvl>
    <w:lvl w:ilvl="1">
      <w:lvlJc w:val="left"/>
      <w:lvlText w:val="(%2)"/>
      <w:numFmt w:val="lowerLetter"/>
      <w:start w:val="3"/>
    </w:lvl>
  </w:abstractNum>
  <w:abstractNum w:abstractNumId="67">
    <w:nsid w:val="1DF029D3"/>
    <w:multiLevelType w:val="hybridMultilevel"/>
    <w:lvl w:ilvl="0">
      <w:lvlJc w:val="left"/>
      <w:lvlText w:val="(%1)"/>
      <w:numFmt w:val="lowerLetter"/>
      <w:start w:val="22"/>
    </w:lvl>
    <w:lvl w:ilvl="1">
      <w:lvlJc w:val="left"/>
      <w:lvlText w:val="%2"/>
      <w:numFmt w:val="lowerLetter"/>
      <w:start w:val="1"/>
    </w:lvl>
  </w:abstractNum>
  <w:abstractNum w:abstractNumId="68">
    <w:nsid w:val="5675FF36"/>
    <w:multiLevelType w:val="hybridMultilevel"/>
    <w:lvl w:ilvl="0">
      <w:lvlJc w:val="left"/>
      <w:lvlText w:val="(%1)"/>
      <w:numFmt w:val="lowerRoman"/>
      <w:start w:val="10"/>
    </w:lvl>
  </w:abstractNum>
  <w:abstractNum w:abstractNumId="69">
    <w:nsid w:val="3DD15094"/>
    <w:multiLevelType w:val="hybridMultilevel"/>
    <w:lvl w:ilvl="0">
      <w:lvlJc w:val="left"/>
      <w:lvlText w:val="(%1)"/>
      <w:numFmt w:val="lowerLetter"/>
      <w:start w:val="1"/>
    </w:lvl>
  </w:abstractNum>
  <w:abstractNum w:abstractNumId="70">
    <w:nsid w:val="3DB012B3"/>
    <w:multiLevelType w:val="hybridMultilevel"/>
    <w:lvl w:ilvl="0">
      <w:lvlJc w:val="left"/>
      <w:lvlText w:val="(%1)"/>
      <w:numFmt w:val="lowerLetter"/>
      <w:start w:val="3"/>
    </w:lvl>
  </w:abstractNum>
  <w:abstractNum w:abstractNumId="71">
    <w:nsid w:val="2708C9AF"/>
    <w:multiLevelType w:val="hybridMultilevel"/>
    <w:lvl w:ilvl="0">
      <w:lvlJc w:val="left"/>
      <w:lvlText w:val="(%1)"/>
      <w:numFmt w:val="lowerLetter"/>
      <w:start w:val="7"/>
    </w:lvl>
  </w:abstractNum>
  <w:abstractNum w:abstractNumId="72">
    <w:nsid w:val="5B25ACE2"/>
    <w:multiLevelType w:val="hybridMultilevel"/>
    <w:lvl w:ilvl="0">
      <w:lvlJc w:val="left"/>
      <w:lvlText w:val="(%1)"/>
      <w:numFmt w:val="lowerLetter"/>
      <w:start w:val="9"/>
    </w:lvl>
  </w:abstractNum>
  <w:abstractNum w:abstractNumId="73">
    <w:nsid w:val="175DFCF0"/>
    <w:multiLevelType w:val="hybridMultilevel"/>
    <w:lvl w:ilvl="0">
      <w:lvlJc w:val="left"/>
      <w:lvlText w:val="(%1)"/>
      <w:numFmt w:val="lowerLetter"/>
      <w:start w:val="15"/>
    </w:lvl>
  </w:abstractNum>
  <w:abstractNum w:abstractNumId="74">
    <w:nsid w:val="4F97E3E4"/>
    <w:multiLevelType w:val="hybridMultilevel"/>
    <w:lvl w:ilvl="0">
      <w:lvlJc w:val="left"/>
      <w:lvlText w:val="(%1)"/>
      <w:numFmt w:val="lowerLetter"/>
      <w:start w:val="61"/>
    </w:lvl>
    <w:lvl w:ilvl="1">
      <w:lvlJc w:val="left"/>
      <w:lvlText w:val="(%2)"/>
      <w:numFmt w:val="lowerLetter"/>
      <w:start w:val="16"/>
    </w:lvl>
  </w:abstractNum>
  <w:abstractNum w:abstractNumId="75">
    <w:nsid w:val="53B0A9E"/>
    <w:multiLevelType w:val="hybridMultilevel"/>
    <w:lvl w:ilvl="0">
      <w:lvlJc w:val="left"/>
      <w:lvlText w:val="(%1)"/>
      <w:numFmt w:val="lowerLetter"/>
      <w:start w:val="17"/>
    </w:lvl>
  </w:abstractNum>
  <w:abstractNum w:abstractNumId="76">
    <w:nsid w:val="34FD6B4F"/>
    <w:multiLevelType w:val="hybridMultilevel"/>
    <w:lvl w:ilvl="0">
      <w:lvlJc w:val="left"/>
      <w:lvlText w:val="(%1)"/>
      <w:numFmt w:val="lowerLetter"/>
      <w:start w:val="20"/>
    </w:lvl>
  </w:abstractNum>
  <w:abstractNum w:abstractNumId="77">
    <w:nsid w:val="5915FF32"/>
    <w:multiLevelType w:val="hybridMultilevel"/>
    <w:lvl w:ilvl="0">
      <w:lvlJc w:val="left"/>
      <w:lvlText w:val="%1"/>
      <w:numFmt w:val="lowerRoman"/>
      <w:start w:val="1"/>
    </w:lvl>
    <w:lvl w:ilvl="1">
      <w:lvlJc w:val="left"/>
      <w:lvlText w:val="(%2)"/>
      <w:numFmt w:val="lowerLetter"/>
      <w:start w:val="1"/>
    </w:lvl>
  </w:abstractNum>
  <w:abstractNum w:abstractNumId="78">
    <w:nsid w:val="56438D15"/>
    <w:multiLevelType w:val="hybridMultilevel"/>
    <w:lvl w:ilvl="0">
      <w:lvlJc w:val="left"/>
      <w:lvlText w:val="%1"/>
      <w:numFmt w:val="lowerRoman"/>
      <w:start w:val="1"/>
    </w:lvl>
    <w:lvl w:ilvl="1">
      <w:lvlJc w:val="left"/>
      <w:lvlText w:val="(%2)"/>
      <w:numFmt w:val="lowerLetter"/>
      <w:start w:val="9"/>
    </w:lvl>
  </w:abstractNum>
  <w:abstractNum w:abstractNumId="79">
    <w:nsid w:val="519E3149"/>
    <w:multiLevelType w:val="hybridMultilevel"/>
    <w:lvl w:ilvl="0">
      <w:lvlJc w:val="left"/>
      <w:lvlText w:val="%1"/>
      <w:numFmt w:val="lowerRoman"/>
      <w:start w:val="1"/>
    </w:lvl>
    <w:lvl w:ilvl="1">
      <w:lvlJc w:val="left"/>
      <w:lvlText w:val="(%2)"/>
      <w:numFmt w:val="lowerLetter"/>
      <w:start w:val="35"/>
    </w:lvl>
  </w:abstractNum>
  <w:abstractNum w:abstractNumId="80">
    <w:nsid w:val="2C6E4AFD"/>
    <w:multiLevelType w:val="hybridMultilevel"/>
    <w:lvl w:ilvl="0">
      <w:lvlJc w:val="left"/>
      <w:lvlText w:val="%1"/>
      <w:numFmt w:val="lowerRoman"/>
      <w:start w:val="1"/>
    </w:lvl>
    <w:lvl w:ilvl="1">
      <w:lvlJc w:val="left"/>
      <w:lvlText w:val="(%2)"/>
      <w:numFmt w:val="lowerLetter"/>
      <w:start w:val="61"/>
    </w:lvl>
  </w:abstractNum>
  <w:abstractNum w:abstractNumId="81">
    <w:nsid w:val="17A1B582"/>
    <w:multiLevelType w:val="hybridMultilevel"/>
    <w:lvl w:ilvl="0">
      <w:lvlJc w:val="left"/>
      <w:lvlText w:val="(%1)"/>
      <w:numFmt w:val="lowerRoman"/>
      <w:start w:val="4"/>
    </w:lvl>
    <w:lvl w:ilvl="1">
      <w:lvlJc w:val="left"/>
      <w:lvlText w:val="%2"/>
      <w:numFmt w:val="lowerLetter"/>
      <w:start w:val="1"/>
    </w:lvl>
  </w:abstractNum>
  <w:abstractNum w:abstractNumId="82">
    <w:nsid w:val="4DF72E4E"/>
    <w:multiLevelType w:val="hybridMultilevel"/>
    <w:lvl w:ilvl="0">
      <w:lvlJc w:val="left"/>
      <w:lvlText w:val="%1"/>
      <w:numFmt w:val="lowerLetter"/>
      <w:start w:val="1"/>
    </w:lvl>
    <w:lvl w:ilvl="1">
      <w:lvlJc w:val="left"/>
      <w:lvlText w:val="(%2)"/>
      <w:numFmt w:val="lowerLetter"/>
      <w:start w:val="61"/>
    </w:lvl>
  </w:abstractNum>
  <w:abstractNum w:abstractNumId="83">
    <w:nsid w:val="5046B5A9"/>
    <w:multiLevelType w:val="hybridMultilevel"/>
    <w:lvl w:ilvl="0">
      <w:lvlJc w:val="left"/>
      <w:lvlText w:val="(%1)"/>
      <w:numFmt w:val="lowerLetter"/>
      <w:start w:val="2"/>
    </w:lvl>
    <w:lvl w:ilvl="1">
      <w:lvlJc w:val="left"/>
      <w:lvlText w:val="%2"/>
      <w:numFmt w:val="lowerLetter"/>
      <w:start w:val="1"/>
    </w:lvl>
  </w:abstractNum>
  <w:abstractNum w:abstractNumId="84">
    <w:nsid w:val="5D888A08"/>
    <w:multiLevelType w:val="hybridMultilevel"/>
    <w:lvl w:ilvl="0">
      <w:lvlJc w:val="left"/>
      <w:lvlText w:val="(%1)"/>
      <w:numFmt w:val="lowerLetter"/>
      <w:start w:val="1"/>
    </w:lvl>
  </w:abstractNum>
  <w:abstractNum w:abstractNumId="85">
    <w:nsid w:val="2A082C70"/>
    <w:multiLevelType w:val="hybridMultilevel"/>
    <w:lvl w:ilvl="0">
      <w:lvlJc w:val="left"/>
      <w:lvlText w:val="."/>
      <w:numFmt w:val="bullet"/>
      <w:start w:val="1"/>
    </w:lvl>
    <w:lvl w:ilvl="1">
      <w:lvlJc w:val="left"/>
      <w:lvlText w:val="(%2)"/>
      <w:numFmt w:val="lowerLetter"/>
      <w:start w:val="2"/>
    </w:lvl>
  </w:abstractNum>
  <w:abstractNum w:abstractNumId="86">
    <w:nsid w:val="5EC6AFD4"/>
    <w:multiLevelType w:val="hybridMultilevel"/>
    <w:lvl w:ilvl="0">
      <w:lvlJc w:val="left"/>
      <w:lvlText w:val="(%1)"/>
      <w:numFmt w:val="lowerLetter"/>
      <w:start w:val="3"/>
    </w:lvl>
  </w:abstractNum>
  <w:abstractNum w:abstractNumId="87">
    <w:nsid w:val="19E21BB2"/>
    <w:multiLevelType w:val="hybridMultilevel"/>
    <w:lvl w:ilvl="0">
      <w:lvlJc w:val="left"/>
      <w:lvlText w:val="(%1)"/>
      <w:numFmt w:val="lowerLetter"/>
      <w:start w:val="35"/>
    </w:lvl>
    <w:lvl w:ilvl="1">
      <w:lvlJc w:val="left"/>
      <w:lvlText w:val="(%2)"/>
      <w:numFmt w:val="lowerLetter"/>
      <w:start w:val="5"/>
    </w:lvl>
  </w:abstractNum>
  <w:abstractNum w:abstractNumId="88">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89">
    <w:nsid w:val="57A61A29"/>
    <w:multiLevelType w:val="hybridMultilevel"/>
    <w:lvl w:ilvl="0">
      <w:lvlJc w:val="left"/>
      <w:lvlText w:val="(%1)"/>
      <w:numFmt w:val="lowerLetter"/>
      <w:start w:val="1"/>
    </w:lvl>
  </w:abstractNum>
  <w:abstractNum w:abstractNumId="90">
    <w:nsid w:val="5399C654"/>
    <w:multiLevelType w:val="hybridMultilevel"/>
    <w:lvl w:ilvl="0">
      <w:lvlJc w:val="left"/>
      <w:lvlText w:val="(%1)"/>
      <w:numFmt w:val="lowerLetter"/>
      <w:start w:val="2"/>
    </w:lvl>
  </w:abstractNum>
  <w:abstractNum w:abstractNumId="91">
    <w:nsid w:val="20EE1348"/>
    <w:multiLevelType w:val="hybridMultilevel"/>
    <w:lvl w:ilvl="0">
      <w:lvlJc w:val="left"/>
      <w:lvlText w:val="(%1)"/>
      <w:numFmt w:val="lowerLetter"/>
      <w:start w:val="5"/>
    </w:lvl>
  </w:abstractNum>
  <w:abstractNum w:abstractNumId="92">
    <w:nsid w:val="4427069A"/>
    <w:multiLevelType w:val="hybridMultilevel"/>
    <w:lvl w:ilvl="0">
      <w:lvlJc w:val="left"/>
      <w:lvlText w:val="(%1)"/>
      <w:numFmt w:val="lowerLetter"/>
      <w:start w:val="8"/>
    </w:lvl>
  </w:abstractNum>
  <w:abstractNum w:abstractNumId="93">
    <w:nsid w:val="B37E80A"/>
    <w:multiLevelType w:val="hybridMultilevel"/>
    <w:lvl w:ilvl="0">
      <w:lvlJc w:val="left"/>
      <w:lvlText w:val="•"/>
      <w:numFmt w:val="bullet"/>
      <w:start w:val="1"/>
    </w:lvl>
  </w:abstractNum>
  <w:abstractNum w:abstractNumId="94">
    <w:nsid w:val="2157F6BC"/>
    <w:multiLevelType w:val="hybridMultilevel"/>
    <w:lvl w:ilvl="0">
      <w:lvlJc w:val="left"/>
      <w:lvlText w:val="(%1)"/>
      <w:numFmt w:val="lowerLetter"/>
      <w:start w:val="1"/>
    </w:lvl>
  </w:abstractNum>
  <w:abstractNum w:abstractNumId="95">
    <w:nsid w:val="704E1DD5"/>
    <w:multiLevelType w:val="hybridMultilevel"/>
    <w:lvl w:ilvl="0">
      <w:lvlJc w:val="left"/>
      <w:lvlText w:val="(%1)"/>
      <w:numFmt w:val="lowerLetter"/>
      <w:start w:val="4"/>
    </w:lvl>
  </w:abstractNum>
  <w:abstractNum w:abstractNumId="96">
    <w:nsid w:val="57D2F10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97">
    <w:nsid w:val="BFFAE18"/>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98">
    <w:nsid w:val="E3E47A8"/>
    <w:multiLevelType w:val="hybridMultilevel"/>
    <w:lvl w:ilvl="0">
      <w:lvlJc w:val="left"/>
      <w:lvlText w:val="(%1)"/>
      <w:numFmt w:val="lowerLetter"/>
      <w:start w:val="25"/>
    </w:lvl>
    <w:lvl w:ilvl="1">
      <w:lvlJc w:val="left"/>
      <w:lvlText w:val="(%2)"/>
      <w:numFmt w:val="upperLetter"/>
      <w:start w:val="2"/>
    </w:lvl>
  </w:abstractNum>
  <w:abstractNum w:abstractNumId="99">
    <w:nsid w:val="2E48F044"/>
    <w:multiLevelType w:val="hybridMultilevel"/>
    <w:lvl w:ilvl="0">
      <w:lvlJc w:val="left"/>
      <w:lvlText w:val="(%1)"/>
      <w:numFmt w:val="decimal"/>
      <w:start w:val="120"/>
    </w:lvl>
  </w:abstractNum>
  <w:abstractNum w:abstractNumId="100">
    <w:nsid w:val="49D0FEAC"/>
    <w:multiLevelType w:val="hybridMultilevel"/>
    <w:lvl w:ilvl="0">
      <w:lvlJc w:val="left"/>
      <w:lvlText w:val="(%1)"/>
      <w:numFmt w:val="lowerRoman"/>
      <w:start w:val="1"/>
    </w:lvl>
  </w:abstractNum>
  <w:abstractNum w:abstractNumId="101">
    <w:nsid w:val="4BEE5A5B"/>
    <w:multiLevelType w:val="hybridMultilevel"/>
    <w:lvl w:ilvl="0">
      <w:lvlJc w:val="left"/>
      <w:lvlText w:val="(%1)"/>
      <w:numFmt w:val="decimal"/>
      <w:start w:val="1"/>
    </w:lvl>
  </w:abstractNum>
  <w:abstractNum w:abstractNumId="102">
    <w:nsid w:val="5551B9F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103">
    <w:nsid w:val="24F6AB8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4">
    <w:nsid w:val="634C574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5">
    <w:nsid w:val="24E99DD7"/>
    <w:multiLevelType w:val="hybridMultilevel"/>
    <w:lvl w:ilvl="0">
      <w:lvlJc w:val="left"/>
      <w:lvlText w:val="(%1)"/>
      <w:numFmt w:val="lowerRoman"/>
      <w:start w:val="1"/>
    </w:lvl>
  </w:abstractNum>
  <w:abstractNum w:abstractNumId="106">
    <w:nsid w:val="2A31B62D"/>
    <w:multiLevelType w:val="hybridMultilevel"/>
    <w:lvl w:ilvl="0">
      <w:lvlJc w:val="left"/>
      <w:lvlText w:val="(%1)"/>
      <w:numFmt w:val="lowerRoman"/>
      <w:start w:val="1"/>
    </w:lvl>
  </w:abstractNum>
  <w:abstractNum w:abstractNumId="107">
    <w:nsid w:val="1849C29B"/>
    <w:multiLevelType w:val="hybridMultilevel"/>
    <w:lvl w:ilvl="0">
      <w:lvlJc w:val="left"/>
      <w:lvlText w:val="(%1)"/>
      <w:numFmt w:val="upperLetter"/>
      <w:start w:val="1"/>
    </w:lvl>
  </w:abstractNum>
  <w:abstractNum w:abstractNumId="108">
    <w:nsid w:val="7DFF9D09"/>
    <w:multiLevelType w:val="hybridMultilevel"/>
    <w:lvl w:ilvl="0">
      <w:lvlJc w:val="left"/>
      <w:lvlText w:val="(%1)"/>
      <w:numFmt w:val="decimal"/>
      <w:start w:val="180"/>
    </w:lvl>
  </w:abstractNum>
  <w:abstractNum w:abstractNumId="109">
    <w:nsid w:val="754342"/>
    <w:multiLevelType w:val="hybridMultilevel"/>
    <w:lvl w:ilvl="0">
      <w:lvlJc w:val="left"/>
      <w:lvlText w:val="(%1)"/>
      <w:numFmt w:val="lowerRoman"/>
      <w:start w:val="10"/>
    </w:lvl>
  </w:abstractNum>
  <w:abstractNum w:abstractNumId="110">
    <w:nsid w:val="69E7F3E5"/>
    <w:multiLevelType w:val="hybridMultilevel"/>
    <w:lvl w:ilvl="0">
      <w:lvlJc w:val="left"/>
      <w:lvlText w:val="(%1)"/>
      <w:numFmt w:val="upperLetter"/>
      <w:start w:val="1"/>
    </w:lvl>
  </w:abstractNum>
  <w:abstractNum w:abstractNumId="111">
    <w:nsid w:val="2A6DE806"/>
    <w:multiLevelType w:val="hybridMultilevel"/>
    <w:lvl w:ilvl="0">
      <w:lvlJc w:val="left"/>
      <w:lvlText w:val="(%1)"/>
      <w:numFmt w:val="upperLetter"/>
      <w:start w:val="3"/>
    </w:lvl>
  </w:abstractNum>
  <w:abstractNum w:abstractNumId="112">
    <w:nsid w:val="1816F8C4"/>
    <w:multiLevelType w:val="hybridMultilevel"/>
    <w:lvl w:ilvl="0">
      <w:lvlJc w:val="left"/>
      <w:lvlText w:val="*"/>
      <w:numFmt w:val="bullet"/>
      <w:start w:val="1"/>
    </w:lvl>
  </w:abstractNum>
  <w:abstractNum w:abstractNumId="113">
    <w:nsid w:val="37DF2233"/>
    <w:multiLevelType w:val="hybridMultilevel"/>
    <w:lvl w:ilvl="0">
      <w:lvlJc w:val="left"/>
      <w:lvlText w:val="(%1)"/>
      <w:numFmt w:val="lowerLetter"/>
      <w:start w:val="1"/>
    </w:lvl>
  </w:abstractNum>
  <w:abstractNum w:abstractNumId="114">
    <w:nsid w:val="7AB49DAF"/>
    <w:multiLevelType w:val="hybridMultilevel"/>
    <w:lvl w:ilvl="0">
      <w:lvlJc w:val="left"/>
      <w:lvlText w:val="(%1)"/>
      <w:numFmt w:val="lowerLetter"/>
      <w:start w:val="2"/>
    </w:lvl>
  </w:abstractNum>
  <w:abstractNum w:abstractNumId="115">
    <w:nsid w:val="759F82C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16">
    <w:nsid w:val="61E74EA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17">
    <w:nsid w:val="597B4D84"/>
    <w:multiLevelType w:val="hybridMultilevel"/>
    <w:lvl w:ilvl="0">
      <w:lvlJc w:val="left"/>
      <w:lvlText w:val="(%1)"/>
      <w:numFmt w:val="upperLetter"/>
      <w:start w:val="2"/>
    </w:lvl>
  </w:abstractNum>
  <w:abstractNum w:abstractNumId="118">
    <w:nsid w:val="F819E7F"/>
    <w:multiLevelType w:val="hybridMultilevel"/>
    <w:lvl w:ilvl="0">
      <w:lvlJc w:val="left"/>
      <w:lvlText w:val="(%1)"/>
      <w:numFmt w:val="decimal"/>
      <w:start w:val="1"/>
    </w:lvl>
    <w:lvl w:ilvl="1">
      <w:lvlJc w:val="left"/>
      <w:lvlText w:val="(%2)"/>
      <w:numFmt w:val="upperLetter"/>
    </w:lvl>
    <w:lvl w:ilvl="2">
      <w:lvlJc w:val="left"/>
      <w:lvlText w:val="(%3)"/>
      <w:numFmt w:val="lowerRoman"/>
      <w:start w:val="2"/>
    </w:lvl>
  </w:abstractNum>
  <w:abstractNum w:abstractNumId="119">
    <w:nsid w:val="57C7D42D"/>
    <w:multiLevelType w:val="hybridMultilevel"/>
    <w:lvl w:ilvl="0">
      <w:lvlJc w:val="left"/>
      <w:lvlText w:val="(%1)"/>
      <w:numFmt w:val="decimal"/>
      <w:start w:val="1"/>
    </w:lvl>
  </w:abstractNum>
  <w:abstractNum w:abstractNumId="120">
    <w:nsid w:val="312167AD"/>
    <w:multiLevelType w:val="hybridMultilevel"/>
    <w:lvl w:ilvl="0">
      <w:lvlJc w:val="left"/>
      <w:lvlText w:val="(%1)"/>
      <w:numFmt w:val="lowerRoman"/>
      <w:start w:val="1"/>
    </w:lvl>
  </w:abstractNum>
  <w:abstractNum w:abstractNumId="121">
    <w:nsid w:val="631B64D4"/>
    <w:multiLevelType w:val="hybridMultilevel"/>
    <w:lvl w:ilvl="0">
      <w:lvlJc w:val="left"/>
      <w:lvlText w:val="%1."/>
      <w:numFmt w:val="decimal"/>
      <w:start w:val="1"/>
    </w:lvl>
    <w:lvl w:ilvl="1">
      <w:lvlJc w:val="left"/>
      <w:lvlText w:val="(%2)"/>
      <w:numFmt w:val="lowerLetter"/>
      <w:start w:val="1"/>
    </w:lvl>
  </w:abstractNum>
  <w:abstractNum w:abstractNumId="122">
    <w:nsid w:val="78B5E776"/>
    <w:multiLevelType w:val="hybridMultilevel"/>
    <w:lvl w:ilvl="0">
      <w:lvlJc w:val="left"/>
      <w:lvlText w:val="%1"/>
      <w:numFmt w:val="upperLetter"/>
      <w:start w:val="1"/>
    </w:lvl>
    <w:lvl w:ilvl="1">
      <w:lvlJc w:val="left"/>
      <w:lvlText w:val="(%2)"/>
      <w:numFmt w:val="lowerRoman"/>
      <w:start w:val="1"/>
    </w:lvl>
  </w:abstractNum>
  <w:abstractNum w:abstractNumId="123">
    <w:nsid w:val="75486E47"/>
    <w:multiLevelType w:val="hybridMultilevel"/>
    <w:lvl w:ilvl="0">
      <w:lvlJc w:val="left"/>
      <w:lvlText w:val="(%1)"/>
      <w:numFmt w:val="upperLetter"/>
      <w:start w:val="4"/>
    </w:lvl>
    <w:lvl w:ilvl="1">
      <w:lvlJc w:val="left"/>
      <w:lvlText w:val="(%2)"/>
      <w:numFmt w:val="lowerRoman"/>
      <w:start w:val="2"/>
    </w:lvl>
  </w:abstractNum>
  <w:abstractNum w:abstractNumId="124">
    <w:nsid w:val="6E534CDE"/>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7"/>
    </w:lvl>
  </w:abstractNum>
  <w:abstractNum w:abstractNumId="125">
    <w:nsid w:val="1A0DDE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6">
    <w:nsid w:val="65968C1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7">
    <w:nsid w:val="46263D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8">
    <w:nsid w:val="260D8C4A"/>
    <w:multiLevelType w:val="hybridMultilevel"/>
    <w:lvl w:ilvl="0">
      <w:lvlJc w:val="left"/>
      <w:lvlText w:val="%1"/>
      <w:numFmt w:val="decimal"/>
      <w:start w:val="1"/>
    </w:lvl>
    <w:lvl w:ilvl="1">
      <w:lvlJc w:val="left"/>
      <w:lvlText w:val="(%2)"/>
      <w:numFmt w:val="lowerLetter"/>
      <w:start w:val="2"/>
    </w:lvl>
  </w:abstractNum>
  <w:abstractNum w:abstractNumId="129">
    <w:nsid w:val="73D4D3C4"/>
    <w:multiLevelType w:val="hybridMultilevel"/>
    <w:lvl w:ilvl="0">
      <w:lvlJc w:val="left"/>
      <w:lvlText w:val="%1."/>
      <w:numFmt w:val="decimal"/>
      <w:start w:val="4"/>
    </w:lvl>
    <w:lvl w:ilvl="1">
      <w:lvlJc w:val="left"/>
      <w:lvlText w:val="(%2)"/>
      <w:numFmt w:val="lowerLetter"/>
      <w:start w:val="1"/>
    </w:lvl>
  </w:abstractNum>
  <w:abstractNum w:abstractNumId="130">
    <w:nsid w:val="746F2E30"/>
    <w:multiLevelType w:val="hybridMultilevel"/>
    <w:lvl w:ilvl="0">
      <w:lvlJc w:val="left"/>
      <w:lvlText w:val="(%1)"/>
      <w:numFmt w:val="lowerLetter"/>
      <w:start w:val="1"/>
    </w:lvl>
    <w:lvl w:ilvl="1">
      <w:lvlJc w:val="left"/>
      <w:lvlText w:val="(%2)"/>
      <w:numFmt w:val="lowerRoman"/>
      <w:start w:val="1"/>
    </w:lvl>
  </w:abstractNum>
  <w:abstractNum w:abstractNumId="131">
    <w:nsid w:val="6FDE8AF6"/>
    <w:multiLevelType w:val="hybridMultilevel"/>
    <w:lvl w:ilvl="0">
      <w:lvlJc w:val="left"/>
      <w:lvlText w:val="%1"/>
      <w:numFmt w:val="lowerLetter"/>
      <w:start w:val="1"/>
    </w:lvl>
    <w:lvl w:ilvl="1">
      <w:lvlJc w:val="left"/>
      <w:lvlText w:val="(%2)"/>
      <w:numFmt w:val="lowerRoman"/>
      <w:start w:val="3"/>
    </w:lvl>
  </w:abstractNum>
  <w:abstractNum w:abstractNumId="132">
    <w:nsid w:val="3FC32E20"/>
    <w:multiLevelType w:val="hybridMultilevel"/>
    <w:lvl w:ilvl="0">
      <w:lvlJc w:val="left"/>
      <w:lvlText w:val="(%1)"/>
      <w:numFmt w:val="lowerLetter"/>
      <w:start w:val="4"/>
    </w:lvl>
    <w:lvl w:ilvl="1">
      <w:lvlJc w:val="left"/>
      <w:lvlText w:val="(%2)"/>
      <w:numFmt w:val="lowerRoman"/>
      <w:start w:val="1"/>
    </w:lvl>
  </w:abstractNum>
  <w:abstractNum w:abstractNumId="133">
    <w:nsid w:val="49C0E823"/>
    <w:multiLevelType w:val="hybridMultilevel"/>
    <w:lvl w:ilvl="0">
      <w:lvlJc w:val="left"/>
      <w:lvlText w:val="%1"/>
      <w:numFmt w:val="lowerLetter"/>
      <w:start w:val="1"/>
    </w:lvl>
    <w:lvl w:ilvl="1">
      <w:lvlJc w:val="left"/>
      <w:lvlText w:val="(%2)"/>
      <w:numFmt w:val="lowerLetter"/>
      <w:start w:val="7"/>
    </w:lvl>
  </w:abstractNum>
  <w:abstractNum w:abstractNumId="134">
    <w:nsid w:val="14D53685"/>
    <w:multiLevelType w:val="hybridMultilevel"/>
    <w:lvl w:ilvl="0">
      <w:lvlJc w:val="left"/>
      <w:lvlText w:val="(%1)"/>
      <w:numFmt w:val="lowerLetter"/>
      <w:start w:val="35"/>
    </w:lvl>
    <w:lvl w:ilvl="1">
      <w:lvlJc w:val="left"/>
      <w:lvlText w:val="(%2)"/>
      <w:numFmt w:val="lowerLetter"/>
      <w:start w:val="9"/>
    </w:lvl>
  </w:abstractNum>
  <w:abstractNum w:abstractNumId="135">
    <w:nsid w:val="230F856C"/>
    <w:multiLevelType w:val="hybridMultilevel"/>
    <w:lvl w:ilvl="0">
      <w:lvlJc w:val="left"/>
      <w:lvlText w:val="(%1)"/>
      <w:numFmt w:val="lowerLetter"/>
      <w:start w:val="9"/>
    </w:lvl>
    <w:lvl w:ilvl="1">
      <w:lvlJc w:val="left"/>
      <w:lvlText w:val="(%2)"/>
      <w:numFmt w:val="lowerLetter"/>
      <w:start w:val="11"/>
    </w:lvl>
  </w:abstractNum>
  <w:abstractNum w:abstractNumId="136">
    <w:nsid w:val="6EAA85FB"/>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37">
    <w:nsid w:val="3F06ECB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8">
    <w:nsid w:val="3B594807"/>
    <w:multiLevelType w:val="hybridMultilevel"/>
    <w:lvl w:ilvl="0">
      <w:lvlJc w:val="left"/>
      <w:lvlText w:val="%1"/>
      <w:numFmt w:val="lowerLetter"/>
      <w:start w:val="1"/>
    </w:lvl>
    <w:lvl w:ilvl="1">
      <w:lvlJc w:val="left"/>
      <w:lvlText w:val="(%2)"/>
      <w:numFmt w:val="lowerLetter"/>
      <w:start w:val="22"/>
    </w:lvl>
  </w:abstractNum>
  <w:abstractNum w:abstractNumId="139">
    <w:nsid w:val="6CAA2304"/>
    <w:multiLevelType w:val="hybridMultilevel"/>
    <w:lvl w:ilvl="0">
      <w:lvlJc w:val="left"/>
      <w:lvlText w:val="(%1)"/>
      <w:numFmt w:val="lowerLetter"/>
      <w:start w:val="2"/>
    </w:lvl>
    <w:lvl w:ilvl="1">
      <w:lvlJc w:val="left"/>
      <w:lvlText w:val="(%2)"/>
      <w:numFmt w:val="lowerLetter"/>
      <w:start w:val="9"/>
    </w:lvl>
  </w:abstractNum>
  <w:abstractNum w:abstractNumId="140">
    <w:nsid w:val="3F7C2FF4"/>
    <w:multiLevelType w:val="hybridMultilevel"/>
    <w:lvl w:ilvl="0">
      <w:lvlJc w:val="left"/>
      <w:lvlText w:val="%1"/>
      <w:numFmt w:val="lowerLetter"/>
      <w:start w:val="1"/>
    </w:lvl>
    <w:lvl w:ilvl="1">
      <w:lvlJc w:val="left"/>
      <w:lvlText w:val="(%2)"/>
      <w:numFmt w:val="lowerRoman"/>
      <w:start w:val="2"/>
    </w:lvl>
  </w:abstractNum>
  <w:abstractNum w:abstractNumId="141">
    <w:nsid w:val="25413BEC"/>
    <w:multiLevelType w:val="hybridMultilevel"/>
    <w:lvl w:ilvl="0">
      <w:lvlJc w:val="left"/>
      <w:lvlText w:val="(%1)"/>
      <w:numFmt w:val="lowerLetter"/>
      <w:start w:val="3"/>
    </w:lvl>
    <w:lvl w:ilvl="1">
      <w:lvlJc w:val="left"/>
      <w:lvlText w:val="(%2)"/>
      <w:numFmt w:val="lowerRoman"/>
      <w:start w:val="1"/>
    </w:lvl>
  </w:abstractNum>
  <w:abstractNum w:abstractNumId="142">
    <w:nsid w:val="17180B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3">
    <w:nsid w:val="579328B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44">
    <w:nsid w:val="5D205E20"/>
    <w:multiLevelType w:val="hybridMultilevel"/>
    <w:lvl w:ilvl="0">
      <w:lvlJc w:val="left"/>
      <w:lvlText w:val="(%1)"/>
      <w:numFmt w:val="lowerLetter"/>
      <w:start w:val="5"/>
    </w:lvl>
  </w:abstractNum>
  <w:abstractNum w:abstractNumId="145">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6">
    <w:nsid w:val="4D32AB8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47">
    <w:nsid w:val="3F07ACC3"/>
    <w:multiLevelType w:val="hybridMultilevel"/>
    <w:lvl w:ilvl="0">
      <w:lvlJc w:val="left"/>
      <w:lvlText w:val="(%1)"/>
      <w:numFmt w:val="lowerRoman"/>
      <w:start w:val="2"/>
    </w:lvl>
  </w:abstractNum>
  <w:abstractNum w:abstractNumId="148">
    <w:nsid w:val="6B47F63E"/>
    <w:multiLevelType w:val="hybridMultilevel"/>
    <w:lvl w:ilvl="0">
      <w:lvlJc w:val="left"/>
      <w:lvlText w:val="%1"/>
      <w:numFmt w:val="decimal"/>
      <w:start w:val="1"/>
    </w:lvl>
    <w:lvl w:ilvl="1">
      <w:lvlJc w:val="left"/>
      <w:lvlText w:val="(%2)"/>
      <w:numFmt w:val="lowerLetter"/>
      <w:start w:val="4"/>
    </w:lvl>
  </w:abstractNum>
  <w:abstractNum w:abstractNumId="149">
    <w:nsid w:val="5CB44A05"/>
    <w:multiLevelType w:val="hybridMultilevel"/>
    <w:lvl w:ilvl="0">
      <w:lvlJc w:val="left"/>
      <w:lvlText w:val="%1."/>
      <w:numFmt w:val="decimal"/>
      <w:start w:val="10"/>
    </w:lvl>
    <w:lvl w:ilvl="1">
      <w:lvlJc w:val="left"/>
      <w:lvlText w:val="%2"/>
      <w:numFmt w:val="lowerLetter"/>
      <w:start w:val="1"/>
    </w:lvl>
  </w:abstractNum>
  <w:abstractNum w:abstractNumId="150">
    <w:nsid w:val="16CF80F1"/>
    <w:multiLevelType w:val="hybridMultilevel"/>
    <w:lvl w:ilvl="0">
      <w:lvlJc w:val="left"/>
      <w:lvlText w:val="%1."/>
      <w:numFmt w:val="decimal"/>
      <w:start w:val="11"/>
    </w:lvl>
  </w:abstractNum>
  <w:abstractNum w:abstractNumId="151">
    <w:nsid w:val="1C695DEC"/>
    <w:multiLevelType w:val="hybridMultilevel"/>
    <w:lvl w:ilvl="0">
      <w:lvlJc w:val="left"/>
      <w:lvlText w:val="%1."/>
      <w:numFmt w:val="decimal"/>
      <w:start w:val="12"/>
    </w:lvl>
  </w:abstractNum>
  <w:abstractNum w:abstractNumId="152">
    <w:nsid w:val="3FCFAED9"/>
    <w:multiLevelType w:val="hybridMultilevel"/>
    <w:lvl w:ilvl="0">
      <w:lvlJc w:val="left"/>
      <w:lvlText w:val="%1."/>
      <w:numFmt w:val="decimal"/>
      <w:start w:val="13"/>
    </w:lvl>
  </w:abstractNum>
  <w:abstractNum w:abstractNumId="153">
    <w:nsid w:val="F856867"/>
    <w:multiLevelType w:val="hybridMultilevel"/>
    <w:lvl w:ilvl="0">
      <w:lvlJc w:val="left"/>
      <w:lvlText w:val="%1"/>
      <w:numFmt w:val="lowerLetter"/>
      <w:start w:val="1"/>
    </w:lvl>
    <w:lvl w:ilvl="1">
      <w:lvlJc w:val="left"/>
      <w:lvlText w:val="(%2)"/>
      <w:numFmt w:val="lowerLetter"/>
      <w:start w:val="1"/>
    </w:lvl>
  </w:abstractNum>
  <w:abstractNum w:abstractNumId="154">
    <w:nsid w:val="11B1CC33"/>
    <w:multiLevelType w:val="hybridMultilevel"/>
    <w:lvl w:ilvl="0">
      <w:lvlJc w:val="left"/>
      <w:lvlText w:val="(%1)"/>
      <w:numFmt w:val="lowerLetter"/>
      <w:start w:val="35"/>
    </w:lvl>
    <w:lvl w:ilvl="1">
      <w:lvlJc w:val="left"/>
      <w:lvlText w:val="%2"/>
      <w:numFmt w:val="lowerLetter"/>
      <w:start w:val="1"/>
    </w:lvl>
  </w:abstractNum>
  <w:abstractNum w:abstractNumId="155">
    <w:nsid w:val="2E22FBB7"/>
    <w:multiLevelType w:val="hybridMultilevel"/>
    <w:lvl w:ilvl="0">
      <w:lvlJc w:val="left"/>
      <w:lvlText w:val="(%1)"/>
      <w:numFmt w:val="lowerLetter"/>
      <w:start w:val="8"/>
    </w:lvl>
    <w:lvl w:ilvl="1">
      <w:lvlJc w:val="left"/>
      <w:lvlText w:val="(%2)"/>
      <w:numFmt w:val="lowerRoman"/>
      <w:start w:val="1"/>
    </w:lvl>
  </w:abstractNum>
  <w:abstractNum w:abstractNumId="156">
    <w:nsid w:val="29934699"/>
    <w:multiLevelType w:val="hybridMultilevel"/>
    <w:lvl w:ilvl="0">
      <w:lvlJc w:val="left"/>
      <w:lvlText w:val="(%1)"/>
      <w:numFmt w:val="lowerLetter"/>
      <w:start w:val="9"/>
    </w:lvl>
  </w:abstractNum>
  <w:abstractNum w:abstractNumId="157">
    <w:nsid w:val="77485850"/>
    <w:multiLevelType w:val="hybridMultilevel"/>
    <w:lvl w:ilvl="0">
      <w:lvlJc w:val="left"/>
      <w:lvlText w:val="(%1)"/>
      <w:numFmt w:val="lowerLetter"/>
      <w:start w:val="14"/>
    </w:lvl>
  </w:abstractNum>
  <w:abstractNum w:abstractNumId="158">
    <w:nsid w:val="744939A3"/>
    <w:multiLevelType w:val="hybridMultilevel"/>
    <w:lvl w:ilvl="0">
      <w:lvlJc w:val="left"/>
      <w:lvlText w:val="(%1)"/>
      <w:numFmt w:val="lowerLetter"/>
      <w:start w:val="23"/>
    </w:lvl>
    <w:lvl w:ilvl="1">
      <w:lvlJc w:val="left"/>
      <w:lvlText w:val="(%2)"/>
      <w:numFmt w:val="lowerRoman"/>
      <w:start w:val="1"/>
    </w:lvl>
  </w:abstractNum>
  <w:abstractNum w:abstractNumId="159">
    <w:nsid w:val="4FA0D2E3"/>
    <w:multiLevelType w:val="hybridMultilevel"/>
    <w:lvl w:ilvl="0">
      <w:lvlJc w:val="left"/>
      <w:lvlText w:val="(%1)"/>
      <w:numFmt w:val="lowerLetter"/>
      <w:start w:val="27"/>
    </w:lvl>
  </w:abstractNum>
  <w:abstractNum w:abstractNumId="160">
    <w:nsid w:val="6B1D2C14"/>
    <w:multiLevelType w:val="hybridMultilevel"/>
    <w:lvl w:ilvl="0">
      <w:lvlJc w:val="left"/>
      <w:lvlText w:val="(%1)"/>
      <w:numFmt w:val="lowerLetter"/>
      <w:start w:val="34"/>
    </w:lvl>
  </w:abstractNum>
  <w:abstractNum w:abstractNumId="161">
    <w:nsid w:val="68B867D3"/>
    <w:multiLevelType w:val="hybridMultilevel"/>
    <w:lvl w:ilvl="0">
      <w:lvlJc w:val="left"/>
      <w:lvlText w:val="%1"/>
      <w:numFmt w:val="lowerLetter"/>
      <w:start w:val="1"/>
    </w:lvl>
    <w:lvl w:ilvl="1">
      <w:lvlJc w:val="left"/>
      <w:lvlText w:val="(%2)"/>
      <w:numFmt w:val="lowerLetter"/>
      <w:start w:val="45"/>
    </w:lvl>
  </w:abstractNum>
  <w:abstractNum w:abstractNumId="162">
    <w:nsid w:val="3F7F5DD9"/>
    <w:multiLevelType w:val="hybridMultilevel"/>
    <w:lvl w:ilvl="0">
      <w:lvlJc w:val="left"/>
      <w:lvlText w:val="(%1)"/>
      <w:numFmt w:val="lowerLetter"/>
      <w:start w:val="35"/>
    </w:lvl>
    <w:lvl w:ilvl="1">
      <w:lvlJc w:val="left"/>
      <w:lvlText w:val="%2"/>
      <w:numFmt w:val="lowerLetter"/>
      <w:start w:val="1"/>
    </w:lvl>
  </w:abstractNum>
  <w:abstractNum w:abstractNumId="163">
    <w:nsid w:val="2AE05A34"/>
    <w:multiLevelType w:val="hybridMultilevel"/>
    <w:lvl w:ilvl="0">
      <w:lvlJc w:val="left"/>
      <w:lvlText w:val="(%1)"/>
      <w:numFmt w:val="lowerLetter"/>
      <w:start w:val="49"/>
    </w:lvl>
    <w:lvl w:ilvl="1">
      <w:lvlJc w:val="left"/>
      <w:lvlText w:val="*"/>
      <w:numFmt w:val="bullet"/>
      <w:start w:val="1"/>
    </w:lvl>
  </w:abstractNum>
  <w:abstractNum w:abstractNumId="164">
    <w:nsid w:val="32794FF7"/>
    <w:multiLevelType w:val="hybridMultilevel"/>
    <w:lvl w:ilvl="0">
      <w:lvlJc w:val="left"/>
      <w:lvlText w:val="%1."/>
      <w:numFmt w:val="decimal"/>
      <w:start w:val="1"/>
    </w:lvl>
  </w:abstractNum>
  <w:abstractNum w:abstractNumId="165">
    <w:nsid w:val="5454945E"/>
    <w:multiLevelType w:val="hybridMultilevel"/>
    <w:lvl w:ilvl="0">
      <w:lvlJc w:val="left"/>
      <w:lvlText w:val="%1)"/>
      <w:numFmt w:val="lowerLetter"/>
      <w:start w:val="1"/>
    </w:lvl>
  </w:abstractNum>
  <w:abstractNum w:abstractNumId="166">
    <w:nsid w:val="4DEFDFA0"/>
    <w:multiLevelType w:val="hybridMultilevel"/>
    <w:lvl w:ilvl="0">
      <w:lvlJc w:val="left"/>
      <w:lvlText w:val="%1."/>
      <w:numFmt w:val="decimal"/>
      <w:start w:val="5"/>
    </w:lvl>
  </w:abstractNum>
  <w:abstractNum w:abstractNumId="167">
    <w:nsid w:val="2123D5F2"/>
    <w:multiLevelType w:val="hybridMultilevel"/>
    <w:lvl w:ilvl="0">
      <w:lvlJc w:val="left"/>
      <w:lvlText w:val="%1)"/>
      <w:numFmt w:val="lowerLetter"/>
      <w:start w:val="1"/>
    </w:lvl>
  </w:abstractNum>
  <w:abstractNum w:abstractNumId="168">
    <w:nsid w:val="135B8110"/>
    <w:multiLevelType w:val="hybridMultilevel"/>
    <w:lvl w:ilvl="0">
      <w:lvlJc w:val="left"/>
      <w:lvlText w:val="%1."/>
      <w:numFmt w:val="decimal"/>
      <w:start w:val="1"/>
    </w:lvl>
  </w:abstractNum>
  <w:abstractNum w:abstractNumId="169">
    <w:nsid w:val="94927A8"/>
    <w:multiLevelType w:val="hybridMultilevel"/>
    <w:lvl w:ilvl="0">
      <w:lvlJc w:val="left"/>
      <w:lvlText w:val="%1)"/>
      <w:numFmt w:val="lowerLetter"/>
      <w:start w:val="1"/>
    </w:lvl>
  </w:abstractNum>
  <w:abstractNum w:abstractNumId="170">
    <w:nsid w:val="DCDF8F6"/>
    <w:multiLevelType w:val="hybridMultilevel"/>
    <w:lvl w:ilvl="0">
      <w:lvlJc w:val="left"/>
      <w:lvlText w:val="%1."/>
      <w:numFmt w:val="decimal"/>
      <w:start w:val="5"/>
    </w:lvl>
  </w:abstractNum>
  <w:abstractNum w:abstractNumId="171">
    <w:nsid w:val="52D7B1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82" Type="http://schemas.openxmlformats.org/officeDocument/2006/relationships/hyperlink" Target="http://www.sec.gov/Archives/edgar/data/1404281/000119312520246314/d26397dex21.htm" TargetMode="External"/><Relationship Id="rId83" Type="http://schemas.openxmlformats.org/officeDocument/2006/relationships/hyperlink" Target="http://www.sec.gov/Archives/edgar/data/0001404281/000119312514354857/d793658dex31.htm" TargetMode="External"/><Relationship Id="rId84" Type="http://schemas.openxmlformats.org/officeDocument/2006/relationships/hyperlink" Target="http://www.sec.gov/Archives/edgar/data/0001404281/000119312517170677/d393884dex31.htm" TargetMode="External"/><Relationship Id="rId85" Type="http://schemas.openxmlformats.org/officeDocument/2006/relationships/hyperlink" Target="http://www.sec.gov/Archives/edgar/data/0001404281/000119312517170677/d393884dex32.htm" TargetMode="External"/><Relationship Id="rId86" Type="http://schemas.openxmlformats.org/officeDocument/2006/relationships/hyperlink" Target="http://www.sec.gov/Archives/edgar/data/1404281/000119312520264806/d18987dex31.htm" TargetMode="External"/><Relationship Id="rId87" Type="http://schemas.openxmlformats.org/officeDocument/2006/relationships/hyperlink" Target="http://www.sec.gov/Archives/edgar/data/1404281/000110465921000921/tm211620d1_ex3-1.htm" TargetMode="External"/><Relationship Id="rId90" Type="http://schemas.openxmlformats.org/officeDocument/2006/relationships/hyperlink" Target="http://www.sec.gov/Archives/edgar/data/0001404281/000119312517211880/d406180dex34.htm" TargetMode="External"/><Relationship Id="rId91" Type="http://schemas.openxmlformats.org/officeDocument/2006/relationships/hyperlink" Target="http://www.sec.gov/Archives/edgar/data/1404281/000119312520041903/d888744dex31.htm" TargetMode="External"/><Relationship Id="rId92" Type="http://schemas.openxmlformats.org/officeDocument/2006/relationships/hyperlink" Target="http://www.sec.gov/Archives/edgar/data/1404281/000119312520246314/d26397dex31.htm" TargetMode="External"/><Relationship Id="rId93" Type="http://schemas.openxmlformats.org/officeDocument/2006/relationships/hyperlink" Target="http://www.sec.gov/Archives/edgar/data/0001404281/000119312517211880/d406180dex41.htm" TargetMode="External"/><Relationship Id="rId94" Type="http://schemas.openxmlformats.org/officeDocument/2006/relationships/hyperlink" Target="http://www.sec.gov/Archives/edgar/data/1404281/000119312519135059/d740901dex41.htm" TargetMode="External"/><Relationship Id="rId95" Type="http://schemas.openxmlformats.org/officeDocument/2006/relationships/hyperlink" Target="http://www.sec.gov/Archives/edgar/data/1404281/000119312519135059/d740901dex42.htm" TargetMode="External"/><Relationship Id="rId96" Type="http://schemas.openxmlformats.org/officeDocument/2006/relationships/hyperlink" Target="http://www.sec.gov/Archives/edgar/data/1404281/000119312520008426/d873828dex41.htm" TargetMode="External"/><Relationship Id="rId97" Type="http://schemas.openxmlformats.org/officeDocument/2006/relationships/hyperlink" Target="http://www.sec.gov/Archives/edgar/data/0001404281/000119312517252847/d406704dex101.htm" TargetMode="External"/><Relationship Id="rId98" Type="http://schemas.openxmlformats.org/officeDocument/2006/relationships/hyperlink" Target="http://www.sec.gov/Archives/edgar/data/0001404281/000119312517252847/d406704dex102.htm" TargetMode="External"/><Relationship Id="rId99" Type="http://schemas.openxmlformats.org/officeDocument/2006/relationships/hyperlink" Target="http://www.sec.gov/Archives/edgar/data/1404281/000156459018019519/nvus-ex101_165.htm" TargetMode="External"/><Relationship Id="rId100" Type="http://schemas.openxmlformats.org/officeDocument/2006/relationships/hyperlink" Target="http://www.sec.gov/Archives/edgar/data/1404281/000156459018007314/nvus-ex1011_429.htm" TargetMode="External"/><Relationship Id="rId101" Type="http://schemas.openxmlformats.org/officeDocument/2006/relationships/hyperlink" Target="http://www.sec.gov/Archives/edgar/data/1404281/000156459018019519/nvus-ex102_213.htm" TargetMode="External"/><Relationship Id="rId102" Type="http://schemas.openxmlformats.org/officeDocument/2006/relationships/hyperlink" Target="http://www.sec.gov/Archives/edgar/data/1404281/000156459018019519/nvus-ex103_212.htm" TargetMode="External"/><Relationship Id="rId103" Type="http://schemas.openxmlformats.org/officeDocument/2006/relationships/hyperlink" Target="http://www.sec.gov/Archives/edgar/data/1404281/000119312519193205/d41118dex161.htm" TargetMode="External"/><Relationship Id="rId104" Type="http://schemas.openxmlformats.org/officeDocument/2006/relationships/hyperlink" Target="http://www.sec.gov/Archives/edgar/data/1404281/000156459020011260/nvus-ex211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2021-03-31T05:55:01Z</dcterms:created>
  <dcterms:modified xsi:type="dcterms:W3CDTF">2021-03-31T05:55:01Z</dcterms:modified>
</cp:coreProperties>
</file>