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1"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-5080</wp:posOffset>
            </wp:positionV>
            <wp:extent cx="285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ELEDON PHARMACEUTICALS,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jc w:val="right"/>
              <w:ind w:right="2242"/>
              <w:spacing w:after="0"/>
              <w:rPr>
                <w:sz w:val="20"/>
                <w:szCs w:val="20"/>
                <w:color w:val="auto"/>
              </w:rPr>
            </w:pPr>
            <w:r>
              <w:rPr>
                <w:rFonts w:ascii="Times New Roman" w:cs="Times New Roman" w:eastAsia="Times New Roman" w:hAnsi="Times New Roman"/>
                <w:sz w:val="18"/>
                <w:szCs w:val="18"/>
                <w:b w:val="1"/>
                <w:bCs w:val="1"/>
                <w:color w:val="auto"/>
              </w:rPr>
              <w:t>20-1000967</w:t>
            </w:r>
          </w:p>
        </w:tc>
        <w:tc>
          <w:tcPr>
            <w:tcW w:w="0" w:type="dxa"/>
            <w:vAlign w:val="bottom"/>
          </w:tcPr>
          <w:p>
            <w:pPr>
              <w:spacing w:after="0"/>
              <w:rPr>
                <w:sz w:val="1"/>
                <w:szCs w:val="1"/>
                <w:color w:val="auto"/>
              </w:rPr>
            </w:pPr>
          </w:p>
        </w:tc>
      </w:tr>
      <w:tr>
        <w:trPr>
          <w:trHeight w:val="151"/>
        </w:trPr>
        <w:tc>
          <w:tcPr>
            <w:tcW w:w="4500" w:type="dxa"/>
            <w:vAlign w:val="bottom"/>
          </w:tcPr>
          <w:p>
            <w:pPr>
              <w:jc w:val="center"/>
              <w:ind w:left="94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80" w:type="dxa"/>
            <w:vAlign w:val="bottom"/>
          </w:tcPr>
          <w:p>
            <w:pPr>
              <w:jc w:val="center"/>
              <w:ind w:right="182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8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19800 MacArthur Blvd., Suite 250</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jc w:val="right"/>
              <w:ind w:right="2442"/>
              <w:spacing w:after="0"/>
              <w:rPr>
                <w:sz w:val="20"/>
                <w:szCs w:val="20"/>
                <w:color w:val="auto"/>
              </w:rPr>
            </w:pPr>
            <w:r>
              <w:rPr>
                <w:rFonts w:ascii="Times New Roman" w:cs="Times New Roman" w:eastAsia="Times New Roman" w:hAnsi="Times New Roman"/>
                <w:sz w:val="18"/>
                <w:szCs w:val="18"/>
                <w:b w:val="1"/>
                <w:bCs w:val="1"/>
                <w:color w:val="auto"/>
              </w:rPr>
              <w:t>92612</w:t>
            </w:r>
          </w:p>
        </w:tc>
        <w:tc>
          <w:tcPr>
            <w:tcW w:w="0" w:type="dxa"/>
            <w:vAlign w:val="bottom"/>
          </w:tcPr>
          <w:p>
            <w:pPr>
              <w:spacing w:after="0"/>
              <w:rPr>
                <w:sz w:val="1"/>
                <w:szCs w:val="1"/>
                <w:color w:val="auto"/>
              </w:rPr>
            </w:pPr>
          </w:p>
        </w:tc>
      </w:tr>
      <w:tr>
        <w:trPr>
          <w:trHeight w:val="193"/>
        </w:trPr>
        <w:tc>
          <w:tcPr>
            <w:tcW w:w="4500" w:type="dxa"/>
            <w:vAlign w:val="bottom"/>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8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21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(949) 238-8090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60" w:type="dxa"/>
            <w:vAlign w:val="bottom"/>
            <w:gridSpan w:val="6"/>
          </w:tcPr>
          <w:p>
            <w:pPr>
              <w:jc w:val="center"/>
              <w:ind w:left="35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60" w:type="dxa"/>
            <w:vAlign w:val="bottom"/>
            <w:gridSpan w:val="6"/>
          </w:tcPr>
          <w:p>
            <w:pPr>
              <w:ind w:left="36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vMerge w:val="restart"/>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ELDN</w:t>
            </w:r>
          </w:p>
        </w:tc>
        <w:tc>
          <w:tcPr>
            <w:tcW w:w="120" w:type="dxa"/>
            <w:vAlign w:val="bottom"/>
          </w:tcPr>
          <w:p>
            <w:pPr>
              <w:spacing w:after="0"/>
              <w:rPr>
                <w:sz w:val="17"/>
                <w:szCs w:val="17"/>
                <w:color w:val="auto"/>
              </w:rPr>
            </w:pPr>
          </w:p>
        </w:tc>
        <w:tc>
          <w:tcPr>
            <w:tcW w:w="900" w:type="dxa"/>
            <w:vAlign w:val="bottom"/>
            <w:tcBorders>
              <w:top w:val="single" w:sz="8" w:color="auto"/>
            </w:tcBorders>
            <w:gridSpan w:val="2"/>
          </w:tcPr>
          <w:p>
            <w:pPr>
              <w:spacing w:after="0"/>
              <w:rPr>
                <w:sz w:val="17"/>
                <w:szCs w:val="17"/>
                <w:color w:val="auto"/>
              </w:rPr>
            </w:pPr>
          </w:p>
        </w:tc>
        <w:tc>
          <w:tcPr>
            <w:tcW w:w="3580" w:type="dxa"/>
            <w:vAlign w:val="bottom"/>
            <w:tcBorders>
              <w:top w:val="single" w:sz="8" w:color="auto"/>
            </w:tcBorders>
          </w:tcPr>
          <w:p>
            <w:pPr>
              <w:jc w:val="center"/>
              <w:ind w:right="822"/>
              <w:spacing w:after="0"/>
              <w:rPr>
                <w:sz w:val="20"/>
                <w:szCs w:val="20"/>
                <w:color w:val="auto"/>
              </w:rPr>
            </w:pPr>
            <w:r>
              <w:rPr>
                <w:rFonts w:ascii="Times New Roman" w:cs="Times New Roman" w:eastAsia="Times New Roman" w:hAnsi="Times New Roman"/>
                <w:sz w:val="16"/>
                <w:szCs w:val="16"/>
                <w:color w:val="auto"/>
              </w:rPr>
              <w:t>Nasdaq Capital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40" w:hanging="232"/>
        <w:spacing w:after="0" w:line="184" w:lineRule="exact"/>
        <w:tabs>
          <w:tab w:leader="none" w:pos="2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5"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November 8, 2024 there were 59,739,275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as defined by the Private Securities Litigation Reform Act of 1995, which statements involve substantial risks and uncertainties. Any statements other than statements of historical or current fact in this Quarterly Report on Form 10-Q are forward looking statements. In some instances, you can identify forward-looking statements by the use of words such as “believes,” “anticipates,” “plans,” “expects,” “estimates,” “intends,” “predicts,” “projects,” “targets,” “could,” “may,” “will,” and similar expressions, although not all forward-looking statements include such identifying words. Forward-looking statements include, but are not limited to statements regarding:</w:t>
      </w:r>
    </w:p>
    <w:p>
      <w:pPr>
        <w:spacing w:after="0" w:line="75"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plans, expectations for and the timing of commencement, enrollment, completion, data, and release of results of clinical trials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liquidity, expenses,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with respect to our preclinical and clinical development programs, including our expectations regarding the production of clinical quantities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strategy and timing to obtain and maintain regulatory approvals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competitive conditions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review of strategic alternatives and the outcome of such review;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our future financial performance or condition.</w:t>
      </w:r>
    </w:p>
    <w:p>
      <w:pPr>
        <w:spacing w:after="0" w:line="225" w:lineRule="exact"/>
        <w:rPr>
          <w:sz w:val="20"/>
          <w:szCs w:val="20"/>
          <w:color w:val="auto"/>
        </w:rPr>
      </w:pPr>
    </w:p>
    <w:p>
      <w:pPr>
        <w:ind w:right="160" w:firstLine="599"/>
        <w:spacing w:after="0" w:line="261" w:lineRule="auto"/>
        <w:rPr>
          <w:sz w:val="20"/>
          <w:szCs w:val="20"/>
          <w:color w:val="auto"/>
        </w:rPr>
      </w:pPr>
      <w:r>
        <w:rPr>
          <w:rFonts w:ascii="Times New Roman" w:cs="Times New Roman" w:eastAsia="Times New Roman" w:hAnsi="Times New Roman"/>
          <w:sz w:val="18"/>
          <w:szCs w:val="18"/>
          <w:color w:val="auto"/>
        </w:rPr>
        <w:t xml:space="preserve">Actual results may differ materially from those indicated by such forward-looking statements as a result of various factors, including the factors listed under “Risk Factor Summary” below. These risks and uncertainties, as well as other risks and uncertainties that could cause the Company’s actual results to differ significantly from the forward-looking statements contained herein, are described in greater detail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w:t>
      </w:r>
    </w:p>
    <w:p>
      <w:pPr>
        <w:spacing w:after="0" w:line="180" w:lineRule="exact"/>
        <w:rPr>
          <w:sz w:val="20"/>
          <w:szCs w:val="20"/>
          <w:color w:val="auto"/>
        </w:rPr>
      </w:pPr>
    </w:p>
    <w:p>
      <w:pPr>
        <w:ind w:right="180" w:firstLine="599"/>
        <w:spacing w:after="0" w:line="258"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are based on our current beliefs, assumptions, expectations, estimates and projections, which may be impacted by known or unknown factors. Any forward-looking statements contained in this Quarterly Report on Form 10-Q speak only as of the date hereof and not as of any future date, and the Company expressly disclaims any intent to update any forward-looking statements, whether as a result of new information, future events or otherwise. You are therefore cautioned not to place undue reliance on the forward-looking statements included in this Quarterly Report on Form 10-Q.</w:t>
      </w:r>
    </w:p>
    <w:p>
      <w:pPr>
        <w:spacing w:after="0" w:line="183" w:lineRule="exact"/>
        <w:rPr>
          <w:sz w:val="20"/>
          <w:szCs w:val="20"/>
          <w:color w:val="auto"/>
        </w:rPr>
      </w:pPr>
    </w:p>
    <w:p>
      <w:pPr>
        <w:ind w:right="360" w:firstLine="599"/>
        <w:spacing w:after="0" w:line="261"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in this Quarterly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summarizes the principal factors that make an investment in the Company speculative or risky, all of which are more fully described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79" w:lineRule="exact"/>
        <w:rPr>
          <w:sz w:val="20"/>
          <w:szCs w:val="20"/>
          <w:color w:val="auto"/>
        </w:rPr>
      </w:pPr>
    </w:p>
    <w:p>
      <w:pPr>
        <w:ind w:left="1020" w:right="4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and shifts in our business strategy may make it difficult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that we will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to be able to complete the development of our lead drug candidate. If we are unable to raise such capital, or if we are unable to do so on acceptable terms, we will be forced to significantly alter our business strategy, substantially curtail our current operations, or liquidate and cease operations altogether.</w:t>
      </w:r>
    </w:p>
    <w:p>
      <w:pPr>
        <w:spacing w:after="0" w:line="6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our common stock, including common stock that may be issuable pursuant to outstanding warrants or other convertible securities as well as shares and warrants issued or issuable in connection with our recent private placement transactions, could result in significant dilution and could cause our stock price to fall.</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have a material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financial markets, including bank failures, could adversely affect our liquidity and financial performance.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including failure to demonstrate safety and efficacy to the satisfaction of the U.S. Food and Drug Administration (FDA) or similar regulatory authorities outside the United States. We may incur additional costs or experience delays in completing, or ultimately be unable to complete, the development, formulation and commercialization of our product candidates.</w:t>
      </w:r>
    </w:p>
    <w:p>
      <w:pPr>
        <w:spacing w:after="0" w:line="71"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nonclinical studies and early clinical trials of our product candidates may not be predictive of the results of later-stage clinical trials, and there is a risk that additional nonclinical and/or clinical safety studies will be required by the FDA or similar regulatory authorities outside the United States or that subsequent studies will not match results seen in prior studies.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delay or prevent our receipt of necessary regulatory approvals and increase expenses for the development of our product candidates.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executives and key employees and to attract, retain and motivate qualified personnel in the future.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503" w:right="460"/>
        <w:spacing w:after="0" w:line="282" w:lineRule="auto"/>
        <w:rPr>
          <w:sz w:val="20"/>
          <w:szCs w:val="20"/>
          <w:color w:val="auto"/>
        </w:rPr>
      </w:pPr>
      <w:r>
        <w:rPr>
          <w:rFonts w:ascii="Times New Roman" w:cs="Times New Roman" w:eastAsia="Times New Roman" w:hAnsi="Times New Roman"/>
          <w:sz w:val="18"/>
          <w:szCs w:val="18"/>
          <w:color w:val="auto"/>
        </w:rPr>
        <w:t>confidentiality of sensitive information related to our business and have a material adverse effect on our reputation, business, financial condition or results of operations.</w:t>
      </w:r>
    </w:p>
    <w:p>
      <w:pPr>
        <w:spacing w:after="0" w:line="54" w:lineRule="exact"/>
        <w:rPr>
          <w:sz w:val="20"/>
          <w:szCs w:val="20"/>
          <w:color w:val="auto"/>
        </w:rPr>
      </w:pPr>
    </w:p>
    <w:p>
      <w:pPr>
        <w:ind w:left="503" w:right="1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 future product candidate receives marketing approval and we, or others, later discover that the product is less effective than previously believed or causes undesirable side effects that were not previously identified, our ability to market the product could be compromised.</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jc w:val="both"/>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53"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contract research organizations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67"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pandemics or epidemics, could adversely affect our business.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volatile, and the market price of our common stock may drop unexpectedly.</w:t>
      </w:r>
    </w:p>
    <w:p>
      <w:pPr>
        <w:spacing w:after="0" w:line="117"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proper and effective internal control over financial reporting, our operating results and our ability to operate our business could be harmed.</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corporate charter and under Delaware law could make an acquisition of the Company more difficult and may prevent attempts by our stockholders to replace or remove our current management.</w:t>
      </w:r>
    </w:p>
    <w:p>
      <w:pPr>
        <w:spacing w:after="0" w:line="378"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201"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w w:val="96"/>
              </w:rPr>
              <w:t>FINANCIAL INFORMATION</w:t>
            </w:r>
          </w:p>
        </w:tc>
        <w:tc>
          <w:tcPr>
            <w:tcW w:w="71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37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75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as of September 30, 2024 and December 31, 2023 (As Restated)</w:t>
            </w:r>
          </w:p>
        </w:tc>
        <w:tc>
          <w:tcPr>
            <w:tcW w:w="192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44"/>
        </w:trPr>
        <w:tc>
          <w:tcPr>
            <w:tcW w:w="940" w:type="dxa"/>
            <w:vAlign w:val="bottom"/>
          </w:tcPr>
          <w:p>
            <w:pPr>
              <w:spacing w:after="0"/>
              <w:rPr>
                <w:sz w:val="24"/>
                <w:szCs w:val="24"/>
                <w:color w:val="auto"/>
              </w:rPr>
            </w:pPr>
          </w:p>
        </w:tc>
        <w:tc>
          <w:tcPr>
            <w:tcW w:w="89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 for the Three and Nine Months Ended September 30, 2024 and 2023 (As</w:t>
            </w:r>
          </w:p>
        </w:tc>
        <w:tc>
          <w:tcPr>
            <w:tcW w:w="54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Restated)</w:t>
            </w:r>
          </w:p>
        </w:tc>
        <w:tc>
          <w:tcPr>
            <w:tcW w:w="8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934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 (Loss) for the Three and Nine Months Ended September 30, 2024</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and 2023 (As Restated)</w:t>
            </w:r>
          </w:p>
        </w:tc>
        <w:tc>
          <w:tcPr>
            <w:tcW w:w="762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r>
      <w:tr>
        <w:trPr>
          <w:trHeight w:val="344"/>
        </w:trPr>
        <w:tc>
          <w:tcPr>
            <w:tcW w:w="940" w:type="dxa"/>
            <w:vAlign w:val="bottom"/>
          </w:tcPr>
          <w:p>
            <w:pPr>
              <w:spacing w:after="0"/>
              <w:rPr>
                <w:sz w:val="24"/>
                <w:szCs w:val="24"/>
                <w:color w:val="auto"/>
              </w:rPr>
            </w:pPr>
          </w:p>
        </w:tc>
        <w:tc>
          <w:tcPr>
            <w:tcW w:w="932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Stockholders’ Equity (Deficit) for the Three and Nine Months Ended September 30, 2024</w:t>
            </w:r>
          </w:p>
        </w:tc>
        <w:tc>
          <w:tcPr>
            <w:tcW w:w="16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and 2023 (As Restated)</w:t>
            </w:r>
          </w:p>
        </w:tc>
        <w:tc>
          <w:tcPr>
            <w:tcW w:w="762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r>
      <w:tr>
        <w:trPr>
          <w:trHeight w:val="345"/>
        </w:trPr>
        <w:tc>
          <w:tcPr>
            <w:tcW w:w="94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2024 and 2023 (As Restated)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44"/>
        </w:trPr>
        <w:tc>
          <w:tcPr>
            <w:tcW w:w="940" w:type="dxa"/>
            <w:vAlign w:val="bottom"/>
          </w:tcPr>
          <w:p>
            <w:pPr>
              <w:spacing w:after="0"/>
              <w:rPr>
                <w:sz w:val="24"/>
                <w:szCs w:val="24"/>
                <w:color w:val="auto"/>
              </w:rPr>
            </w:pPr>
          </w:p>
        </w:tc>
        <w:tc>
          <w:tcPr>
            <w:tcW w:w="394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Notes to Condensed Consolidated Financial Statements</w:t>
            </w:r>
          </w:p>
        </w:tc>
        <w:tc>
          <w:tcPr>
            <w:tcW w:w="4960" w:type="dxa"/>
            <w:vAlign w:val="bottom"/>
            <w:tcBorders>
              <w:top w:val="single" w:sz="8" w:color="auto"/>
            </w:tcBorders>
            <w:gridSpan w:val="6"/>
          </w:tcPr>
          <w:p>
            <w:pPr>
              <w:spacing w:after="0"/>
              <w:rPr>
                <w:sz w:val="24"/>
                <w:szCs w:val="24"/>
                <w:color w:val="auto"/>
              </w:rPr>
            </w:pPr>
          </w:p>
        </w:tc>
        <w:tc>
          <w:tcPr>
            <w:tcW w:w="5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8"/>
              </w:rPr>
              <w:t>Quantitative and Qualitative Disclosures About Market Risk</w:t>
            </w:r>
          </w:p>
        </w:tc>
        <w:tc>
          <w:tcPr>
            <w:tcW w:w="2080" w:type="dxa"/>
            <w:vAlign w:val="bottom"/>
            <w:tcBorders>
              <w:top w:val="single" w:sz="8" w:color="auto"/>
            </w:tcBorders>
          </w:tcPr>
          <w:p>
            <w:pPr>
              <w:spacing w:after="0"/>
              <w:rPr>
                <w:sz w:val="24"/>
                <w:szCs w:val="24"/>
                <w:color w:val="auto"/>
              </w:rPr>
            </w:pPr>
          </w:p>
        </w:tc>
        <w:tc>
          <w:tcPr>
            <w:tcW w:w="308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6"/>
              </w:rPr>
              <w:t>Controls and Procedures</w:t>
            </w:r>
          </w:p>
        </w:tc>
        <w:tc>
          <w:tcPr>
            <w:tcW w:w="776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8"/>
              </w:rPr>
              <w:t>OTHER INFORMATION</w:t>
            </w:r>
          </w:p>
        </w:tc>
        <w:tc>
          <w:tcPr>
            <w:tcW w:w="74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4"/>
              </w:rPr>
              <w:t>Legal Proceedings</w:t>
            </w:r>
          </w:p>
        </w:tc>
        <w:tc>
          <w:tcPr>
            <w:tcW w:w="820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94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8"/>
              </w:rPr>
              <w:t>Unregistered Sales of Equity Securities and Use of Proceeds</w:t>
            </w:r>
          </w:p>
        </w:tc>
        <w:tc>
          <w:tcPr>
            <w:tcW w:w="51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2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6"/>
              </w:rPr>
              <w:t>Mine Safety Disclosures</w:t>
            </w:r>
          </w:p>
        </w:tc>
        <w:tc>
          <w:tcPr>
            <w:tcW w:w="540" w:type="dxa"/>
            <w:vAlign w:val="bottom"/>
            <w:tcBorders>
              <w:top w:val="single" w:sz="8" w:color="auto"/>
            </w:tcBorders>
            <w:gridSpan w:val="3"/>
          </w:tcPr>
          <w:p>
            <w:pPr>
              <w:spacing w:after="0"/>
              <w:rPr>
                <w:sz w:val="24"/>
                <w:szCs w:val="24"/>
                <w:color w:val="auto"/>
              </w:rPr>
            </w:pPr>
          </w:p>
        </w:tc>
        <w:tc>
          <w:tcPr>
            <w:tcW w:w="72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4"/>
              </w:rPr>
              <w:t>Other Information</w:t>
            </w:r>
          </w:p>
        </w:tc>
        <w:tc>
          <w:tcPr>
            <w:tcW w:w="822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94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72"/>
        </w:trPr>
        <w:tc>
          <w:tcPr>
            <w:tcW w:w="94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682"/>
        </w:trPr>
        <w:tc>
          <w:tcPr>
            <w:tcW w:w="940" w:type="dxa"/>
            <w:vAlign w:val="bottom"/>
          </w:tcPr>
          <w:p>
            <w:pPr>
              <w:spacing w:after="0"/>
              <w:rPr>
                <w:sz w:val="24"/>
                <w:szCs w:val="24"/>
                <w:color w:val="auto"/>
              </w:rPr>
            </w:pPr>
          </w:p>
        </w:tc>
        <w:tc>
          <w:tcPr>
            <w:tcW w:w="700" w:type="dxa"/>
            <w:vAlign w:val="bottom"/>
            <w:tcBorders>
              <w:top w:val="single" w:sz="8" w:color="auto"/>
            </w:tcBorders>
            <w:gridSpan w:val="3"/>
          </w:tcPr>
          <w:p>
            <w:pPr>
              <w:spacing w:after="0"/>
              <w:rPr>
                <w:sz w:val="24"/>
                <w:szCs w:val="24"/>
                <w:color w:val="auto"/>
              </w:rPr>
            </w:pPr>
          </w:p>
        </w:tc>
        <w:tc>
          <w:tcPr>
            <w:tcW w:w="5700" w:type="dxa"/>
            <w:vAlign w:val="bottom"/>
            <w:gridSpan w:val="13"/>
          </w:tcPr>
          <w:p>
            <w:pPr>
              <w:jc w:val="right"/>
              <w:ind w:right="168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9"/>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43"/>
        </w:trPr>
        <w:tc>
          <w:tcPr>
            <w:tcW w:w="7820" w:type="dxa"/>
            <w:vAlign w:val="bottom"/>
            <w:shd w:val="clear" w:color="auto" w:fill="CFF0FC"/>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6,751</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4,612</w:t>
            </w: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71,440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46,490</w:t>
            </w:r>
          </w:p>
        </w:tc>
      </w:tr>
      <w:tr>
        <w:trPr>
          <w:trHeight w:val="243"/>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5,027</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81,509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56,129</w:t>
            </w:r>
          </w:p>
        </w:tc>
      </w:tr>
      <w:tr>
        <w:trPr>
          <w:trHeight w:val="24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 net</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32,386</w:t>
            </w: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114,576</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89,066</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820" w:type="dxa"/>
            <w:vAlign w:val="bottom"/>
            <w:shd w:val="clear" w:color="auto" w:fill="CFF0FC"/>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5,860</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967</w:t>
            </w: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6,443</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2,545</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12,489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3,895</w:t>
            </w:r>
          </w:p>
        </w:tc>
      </w:tr>
      <w:tr>
        <w:trPr>
          <w:trHeight w:val="24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1,752</w:t>
            </w: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23,962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76,211</w:t>
            </w: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38,518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81,858</w:t>
            </w:r>
          </w:p>
        </w:tc>
      </w:tr>
      <w:tr>
        <w:trPr>
          <w:trHeight w:val="241"/>
        </w:trPr>
        <w:tc>
          <w:tcPr>
            <w:tcW w:w="7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7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at September 30,</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11"/>
        </w:trPr>
        <w:tc>
          <w:tcPr>
            <w:tcW w:w="7820" w:type="dxa"/>
            <w:vAlign w:val="bottom"/>
          </w:tcPr>
          <w:p>
            <w:pPr>
              <w:ind w:left="380"/>
              <w:spacing w:after="0" w:line="211" w:lineRule="exact"/>
              <w:rPr>
                <w:sz w:val="20"/>
                <w:szCs w:val="20"/>
                <w:color w:val="auto"/>
              </w:rPr>
            </w:pPr>
            <w:r>
              <w:rPr>
                <w:rFonts w:ascii="Times New Roman" w:cs="Times New Roman" w:eastAsia="Times New Roman" w:hAnsi="Times New Roman"/>
                <w:sz w:val="18"/>
                <w:szCs w:val="18"/>
                <w:color w:val="auto"/>
              </w:rPr>
              <w:t>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$0.001 par value,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515,000 shares designated; 110,086 shares issued and outstanding</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7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Series X non-voting convertible preferred stock, $0.001 par value,</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7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10,000 shares designated; 4,422 shares issued and outstanding</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7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at September 30,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and December 31, 2023; 41,183,102 and 24,213,130 shares issued and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386,884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326,586</w:t>
            </w: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(310,969 )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(319,402 )</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76,058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7,208</w:t>
            </w:r>
          </w:p>
        </w:tc>
      </w:tr>
      <w:tr>
        <w:trPr>
          <w:trHeight w:val="276"/>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114,576</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-5391150</wp:posOffset>
            </wp:positionV>
            <wp:extent cx="111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-4765675</wp:posOffset>
            </wp:positionV>
            <wp:extent cx="111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-3805555</wp:posOffset>
            </wp:positionV>
            <wp:extent cx="111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-3179445</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-351155</wp:posOffset>
            </wp:positionV>
            <wp:extent cx="111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11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16,520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7,931</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34,036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23,245</w:t>
            </w:r>
          </w:p>
        </w:tc>
      </w:tr>
      <w:tr>
        <w:trPr>
          <w:trHeight w:val="23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3,990</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3,267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11,845</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9,417</w:t>
            </w:r>
          </w:p>
        </w:tc>
      </w:tr>
      <w:tr>
        <w:trPr>
          <w:trHeight w:val="223"/>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20,510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11,198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45,881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32,662</w:t>
            </w:r>
          </w:p>
        </w:tc>
      </w:tr>
      <w:tr>
        <w:trPr>
          <w:trHeight w:val="23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(20,510 )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(11,198 )</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(45,881 )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(32,662 )</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1,962</w:t>
            </w:r>
          </w:p>
        </w:tc>
      </w:tr>
      <w:tr>
        <w:trPr>
          <w:trHeight w:val="212"/>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 and fair value of financial</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instruments issued in excess of proceeds</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96,439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51,829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(55,738 )</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76,971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8,433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(86,438 )</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shares - basic</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54,429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5,551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(86,438 )</w:t>
            </w:r>
          </w:p>
        </w:tc>
      </w:tr>
      <w:tr>
        <w:trPr>
          <w:trHeight w:val="219"/>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r>
      <w:tr>
        <w:trPr>
          <w:trHeight w:val="20"/>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 - basic</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51,945,920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29,974,400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41,443,049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22,813,085</w:t>
            </w:r>
          </w:p>
        </w:tc>
      </w:tr>
      <w:tr>
        <w:trPr>
          <w:trHeight w:val="456"/>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shares - diluted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(17,504 )</w:t>
            </w:r>
          </w:p>
        </w:tc>
        <w:tc>
          <w:tcPr>
            <w:tcW w:w="1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(61,086 )</w:t>
            </w:r>
          </w:p>
        </w:tc>
        <w:tc>
          <w:tcPr>
            <w:tcW w:w="1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(86,438 )</w:t>
            </w:r>
          </w:p>
        </w:tc>
      </w:tr>
      <w:tr>
        <w:trPr>
          <w:trHeight w:val="260"/>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5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(3.79 )</w:t>
            </w:r>
          </w:p>
        </w:tc>
      </w:tr>
      <w:tr>
        <w:trPr>
          <w:trHeight w:val="197"/>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 - diluted</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55,478,342</w:t>
            </w: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29,974,400</w:t>
            </w: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43,106,746</w:t>
            </w: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22,813,085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-2130425</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-2130425</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-2130425</wp:posOffset>
            </wp:positionV>
            <wp:extent cx="94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-930275</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-930275</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-930275</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-158750</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-141605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-158750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-141605</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-158750</wp:posOffset>
            </wp:positionV>
            <wp:extent cx="94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-141605</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4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10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100" w:type="dxa"/>
            <w:vAlign w:val="bottom"/>
            <w:tcBorders>
              <w:bottom w:val="single" w:sz="8" w:color="CFF0FC"/>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76,971</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(9,906 )</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8,433</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(86,438 )</w:t>
            </w: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0" w:type="dxa"/>
            <w:vAlign w:val="bottom"/>
            <w:tcBorders>
              <w:bottom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77,073</w:t>
            </w:r>
          </w:p>
        </w:tc>
        <w:tc>
          <w:tcPr>
            <w:tcW w:w="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(9,906 )</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8,535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-505460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-505460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-505460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700" w:type="dxa"/>
            <w:vAlign w:val="bottom"/>
            <w:gridSpan w:val="4"/>
            <w:vMerge w:val="restart"/>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w w:val="96"/>
              </w:rPr>
              <w:t>Series X</w:t>
            </w:r>
            <w:r>
              <w:rPr>
                <w:rFonts w:ascii="Times New Roman" w:cs="Times New Roman" w:eastAsia="Times New Roman" w:hAnsi="Times New Roman"/>
                <w:sz w:val="14"/>
                <w:szCs w:val="14"/>
                <w:b w:val="1"/>
                <w:bCs w:val="1"/>
                <w:color w:val="auto"/>
                <w:w w:val="96"/>
                <w:vertAlign w:val="superscript"/>
              </w:rPr>
              <w:t>1</w:t>
            </w:r>
            <w:r>
              <w:rPr>
                <w:rFonts w:ascii="Times New Roman" w:cs="Times New Roman" w:eastAsia="Times New Roman" w:hAnsi="Times New Roman"/>
                <w:sz w:val="11"/>
                <w:szCs w:val="11"/>
                <w:b w:val="1"/>
                <w:bCs w:val="1"/>
                <w:color w:val="auto"/>
                <w:w w:val="96"/>
              </w:rPr>
              <w:t xml:space="preserve"> Non-Voting Convertible</w:t>
            </w:r>
          </w:p>
        </w:tc>
        <w:tc>
          <w:tcPr>
            <w:tcW w:w="120" w:type="dxa"/>
            <w:vAlign w:val="bottom"/>
          </w:tcPr>
          <w:p>
            <w:pPr>
              <w:spacing w:after="0"/>
              <w:rPr>
                <w:sz w:val="10"/>
                <w:szCs w:val="10"/>
                <w:color w:val="auto"/>
              </w:rPr>
            </w:pPr>
          </w:p>
        </w:tc>
        <w:tc>
          <w:tcPr>
            <w:tcW w:w="1680" w:type="dxa"/>
            <w:vAlign w:val="bottom"/>
            <w:gridSpan w:val="4"/>
            <w:vMerge w:val="restart"/>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w w:val="98"/>
              </w:rPr>
              <w:t>Series X Non-Voting Convertible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211"/>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2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90"/>
              <w:spacing w:after="0" w:line="11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9"/>
                <w:szCs w:val="9"/>
                <w:color w:val="auto"/>
              </w:rPr>
            </w:pPr>
          </w:p>
        </w:tc>
        <w:tc>
          <w:tcPr>
            <w:tcW w:w="76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171"/>
              <w:spacing w:after="0" w:line="11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700" w:type="dxa"/>
            <w:vAlign w:val="bottom"/>
            <w:tcBorders>
              <w:bottom w:val="single" w:sz="8" w:color="auto"/>
            </w:tcBorders>
            <w:gridSpan w:val="4"/>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2"/>
                <w:szCs w:val="12"/>
                <w:color w:val="auto"/>
              </w:rPr>
            </w:pPr>
          </w:p>
        </w:tc>
        <w:tc>
          <w:tcPr>
            <w:tcW w:w="1680" w:type="dxa"/>
            <w:vAlign w:val="bottom"/>
            <w:tcBorders>
              <w:bottom w:val="single" w:sz="8" w:color="auto"/>
            </w:tcBorders>
            <w:gridSpan w:val="4"/>
          </w:tcPr>
          <w:p>
            <w:pPr>
              <w:jc w:val="center"/>
              <w:ind w:right="29"/>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ve</w:t>
            </w:r>
          </w:p>
        </w:tc>
        <w:tc>
          <w:tcPr>
            <w:tcW w:w="1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171"/>
              <w:spacing w:after="0" w:line="113"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35"/>
        </w:trPr>
        <w:tc>
          <w:tcPr>
            <w:tcW w:w="25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Balance as of December 31, 2023 (As</w:t>
            </w:r>
          </w:p>
        </w:tc>
        <w:tc>
          <w:tcPr>
            <w:tcW w:w="84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52"/>
              <w:spacing w:after="0" w:line="135" w:lineRule="exact"/>
              <w:rPr>
                <w:sz w:val="20"/>
                <w:szCs w:val="20"/>
                <w:color w:val="auto"/>
              </w:rPr>
            </w:pPr>
            <w:r>
              <w:rPr>
                <w:rFonts w:ascii="Times New Roman" w:cs="Times New Roman" w:eastAsia="Times New Roman" w:hAnsi="Times New Roman"/>
                <w:sz w:val="14"/>
                <w:szCs w:val="14"/>
                <w:color w:val="auto"/>
              </w:rPr>
              <w:t>24,213,1</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30"/>
              <w:spacing w:after="0" w:line="135" w:lineRule="exact"/>
              <w:rPr>
                <w:sz w:val="20"/>
                <w:szCs w:val="20"/>
                <w:color w:val="auto"/>
              </w:rPr>
            </w:pPr>
            <w:r>
              <w:rPr>
                <w:rFonts w:ascii="Times New Roman" w:cs="Times New Roman" w:eastAsia="Times New Roman" w:hAnsi="Times New Roman"/>
                <w:sz w:val="14"/>
                <w:szCs w:val="14"/>
                <w:color w:val="auto"/>
              </w:rPr>
              <w:t>326,58</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
              <w:spacing w:after="0" w:line="135" w:lineRule="exact"/>
              <w:rPr>
                <w:sz w:val="20"/>
                <w:szCs w:val="20"/>
                <w:color w:val="auto"/>
              </w:rPr>
            </w:pPr>
            <w:r>
              <w:rPr>
                <w:rFonts w:ascii="Times New Roman" w:cs="Times New Roman" w:eastAsia="Times New Roman" w:hAnsi="Times New Roman"/>
                <w:sz w:val="14"/>
                <w:szCs w:val="14"/>
                <w:color w:val="auto"/>
              </w:rPr>
              <w:t>(319,40</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7,208</w:t>
            </w:r>
          </w:p>
        </w:tc>
        <w:tc>
          <w:tcPr>
            <w:tcW w:w="0" w:type="dxa"/>
            <w:vAlign w:val="bottom"/>
          </w:tcPr>
          <w:p>
            <w:pPr>
              <w:spacing w:after="0"/>
              <w:rPr>
                <w:sz w:val="1"/>
                <w:szCs w:val="1"/>
                <w:color w:val="auto"/>
              </w:rPr>
            </w:pPr>
          </w:p>
        </w:tc>
      </w:tr>
      <w:tr>
        <w:trPr>
          <w:trHeight w:val="18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84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9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2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exercise of pre-</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funded warrants</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1,694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76"/>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(23,631 )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(23,631 )</w:t>
            </w:r>
          </w:p>
        </w:tc>
        <w:tc>
          <w:tcPr>
            <w:tcW w:w="0" w:type="dxa"/>
            <w:vAlign w:val="bottom"/>
          </w:tcPr>
          <w:p>
            <w:pPr>
              <w:spacing w:after="0"/>
              <w:rPr>
                <w:sz w:val="1"/>
                <w:szCs w:val="1"/>
                <w:color w:val="auto"/>
              </w:rPr>
            </w:pPr>
          </w:p>
        </w:tc>
      </w:tr>
      <w:tr>
        <w:trPr>
          <w:trHeight w:val="131"/>
        </w:trPr>
        <w:tc>
          <w:tcPr>
            <w:tcW w:w="25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March 31, 2024 (As</w:t>
            </w:r>
          </w:p>
        </w:tc>
        <w:tc>
          <w:tcPr>
            <w:tcW w:w="84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52"/>
              <w:spacing w:after="0" w:line="131" w:lineRule="exact"/>
              <w:rPr>
                <w:sz w:val="20"/>
                <w:szCs w:val="20"/>
                <w:color w:val="auto"/>
              </w:rPr>
            </w:pPr>
            <w:r>
              <w:rPr>
                <w:rFonts w:ascii="Times New Roman" w:cs="Times New Roman" w:eastAsia="Times New Roman" w:hAnsi="Times New Roman"/>
                <w:sz w:val="14"/>
                <w:szCs w:val="14"/>
                <w:color w:val="auto"/>
              </w:rPr>
              <w:t>24,813,1</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30"/>
              <w:spacing w:after="0" w:line="131" w:lineRule="exact"/>
              <w:rPr>
                <w:sz w:val="20"/>
                <w:szCs w:val="20"/>
                <w:color w:val="auto"/>
              </w:rPr>
            </w:pPr>
            <w:r>
              <w:rPr>
                <w:rFonts w:ascii="Times New Roman" w:cs="Times New Roman" w:eastAsia="Times New Roman" w:hAnsi="Times New Roman"/>
                <w:sz w:val="14"/>
                <w:szCs w:val="14"/>
                <w:color w:val="auto"/>
              </w:rPr>
              <w:t>328,28</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rPr>
              <w:t>(343,03</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(14,728 )</w:t>
            </w:r>
          </w:p>
        </w:tc>
        <w:tc>
          <w:tcPr>
            <w:tcW w:w="0" w:type="dxa"/>
            <w:vAlign w:val="bottom"/>
          </w:tcPr>
          <w:p>
            <w:pPr>
              <w:spacing w:after="0"/>
              <w:rPr>
                <w:sz w:val="1"/>
                <w:szCs w:val="1"/>
                <w:color w:val="auto"/>
              </w:rPr>
            </w:pPr>
          </w:p>
        </w:tc>
      </w:tr>
      <w:tr>
        <w:trPr>
          <w:trHeight w:val="22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84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9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gridSpan w:val="2"/>
            <w:vMerge w:val="continue"/>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520" w:type="dxa"/>
            <w:vAlign w:val="bottom"/>
            <w:tcBorders>
              <w:top w:val="single" w:sz="8" w:color="CFF0FC"/>
            </w:tcBorders>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and pre-</w:t>
            </w: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funded warrants in connection with</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13,110,4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2024 Securities Purchase Agreement,</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48,057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48,070</w:t>
            </w:r>
          </w:p>
        </w:tc>
        <w:tc>
          <w:tcPr>
            <w:tcW w:w="0" w:type="dxa"/>
            <w:vAlign w:val="bottom"/>
          </w:tcPr>
          <w:p>
            <w:pPr>
              <w:spacing w:after="0"/>
              <w:rPr>
                <w:sz w:val="1"/>
                <w:szCs w:val="1"/>
                <w:color w:val="auto"/>
              </w:rPr>
            </w:pPr>
          </w:p>
        </w:tc>
      </w:tr>
      <w:tr>
        <w:trPr>
          <w:trHeight w:val="18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issuance costs</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exercise of pre-</w:t>
            </w:r>
          </w:p>
        </w:tc>
        <w:tc>
          <w:tcPr>
            <w:tcW w:w="84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583,000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funded warrants</w:t>
            </w: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175"/>
        </w:trPr>
        <w:tc>
          <w:tcPr>
            <w:tcW w:w="2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4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(44,907 )</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(44,907 )</w:t>
            </w: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
              <w:spacing w:after="0" w:line="133" w:lineRule="exact"/>
              <w:rPr>
                <w:sz w:val="20"/>
                <w:szCs w:val="20"/>
                <w:color w:val="auto"/>
              </w:rPr>
            </w:pPr>
            <w:r>
              <w:rPr>
                <w:rFonts w:ascii="Times New Roman" w:cs="Times New Roman" w:eastAsia="Times New Roman" w:hAnsi="Times New Roman"/>
                <w:sz w:val="14"/>
                <w:szCs w:val="14"/>
                <w:color w:val="auto"/>
              </w:rPr>
              <w:t>38,506,6</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0"/>
              <w:spacing w:after="0" w:line="133" w:lineRule="exact"/>
              <w:rPr>
                <w:sz w:val="20"/>
                <w:szCs w:val="20"/>
                <w:color w:val="auto"/>
              </w:rPr>
            </w:pPr>
            <w:r>
              <w:rPr>
                <w:rFonts w:ascii="Times New Roman" w:cs="Times New Roman" w:eastAsia="Times New Roman" w:hAnsi="Times New Roman"/>
                <w:sz w:val="14"/>
                <w:szCs w:val="14"/>
                <w:color w:val="auto"/>
              </w:rPr>
              <w:t>379,40</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(387,94</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(8,501 )</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2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in</w:t>
            </w: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2023 Securities</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2,436,48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Agreement in Second and</w:t>
            </w:r>
          </w:p>
        </w:tc>
        <w:tc>
          <w:tcPr>
            <w:tcW w:w="84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5,701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5,703</w:t>
            </w:r>
          </w:p>
        </w:tc>
        <w:tc>
          <w:tcPr>
            <w:tcW w:w="0" w:type="dxa"/>
            <w:vAlign w:val="bottom"/>
          </w:tcPr>
          <w:p>
            <w:pPr>
              <w:spacing w:after="0"/>
              <w:rPr>
                <w:sz w:val="1"/>
                <w:szCs w:val="1"/>
                <w:color w:val="auto"/>
              </w:rPr>
            </w:pPr>
          </w:p>
        </w:tc>
      </w:tr>
      <w:tr>
        <w:trPr>
          <w:trHeight w:val="185"/>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Third Closing, net of issuance costs</w:t>
            </w: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9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exercise of pre-</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240,000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funded warrants</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1,783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7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76,971</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76,971</w:t>
            </w: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
              <w:spacing w:after="0" w:line="133" w:lineRule="exact"/>
              <w:rPr>
                <w:sz w:val="20"/>
                <w:szCs w:val="20"/>
                <w:color w:val="auto"/>
              </w:rPr>
            </w:pPr>
            <w:r>
              <w:rPr>
                <w:rFonts w:ascii="Times New Roman" w:cs="Times New Roman" w:eastAsia="Times New Roman" w:hAnsi="Times New Roman"/>
                <w:sz w:val="14"/>
                <w:szCs w:val="14"/>
                <w:color w:val="auto"/>
              </w:rPr>
              <w:t>41,183,1</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0"/>
              <w:spacing w:after="0" w:line="133" w:lineRule="exact"/>
              <w:rPr>
                <w:sz w:val="20"/>
                <w:szCs w:val="20"/>
                <w:color w:val="auto"/>
              </w:rPr>
            </w:pPr>
            <w:r>
              <w:rPr>
                <w:rFonts w:ascii="Times New Roman" w:cs="Times New Roman" w:eastAsia="Times New Roman" w:hAnsi="Times New Roman"/>
                <w:sz w:val="14"/>
                <w:szCs w:val="14"/>
                <w:color w:val="auto"/>
              </w:rPr>
              <w:t>386,88</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(310,96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76,058</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-2451100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-2433955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-2451100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-2433955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-2451100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-2433955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-2451100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-2433955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-2451100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-2433955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-2451100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-2433955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-2451100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-2433955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-2451100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-2433955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-2451100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-2433955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-1508125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-1508125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-1508125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-1508125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-1508125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-1508125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-1508125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-1508125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-1508125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-239395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-239395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-239395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-239395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-239395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-239395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-239395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-239395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-239395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Series X</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xml:space="preserve"> Non-Voting Convertible</w:t>
            </w:r>
          </w:p>
        </w:tc>
        <w:tc>
          <w:tcPr>
            <w:tcW w:w="120" w:type="dxa"/>
            <w:vAlign w:val="bottom"/>
          </w:tcPr>
          <w:p>
            <w:pPr>
              <w:spacing w:after="0"/>
              <w:rPr>
                <w:sz w:val="13"/>
                <w:szCs w:val="13"/>
                <w:color w:val="auto"/>
              </w:rPr>
            </w:pPr>
          </w:p>
        </w:tc>
        <w:tc>
          <w:tcPr>
            <w:tcW w:w="1820" w:type="dxa"/>
            <w:vAlign w:val="bottom"/>
            <w:gridSpan w:val="4"/>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w w:val="98"/>
              </w:rPr>
              <w:t>Series X Non-Voting Convertible</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21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bottom w:val="single" w:sz="8" w:color="auto"/>
            </w:tcBorders>
            <w:gridSpan w:val="4"/>
          </w:tcPr>
          <w:p>
            <w:pPr>
              <w:jc w:val="center"/>
              <w:ind w:right="29"/>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2"/>
                <w:szCs w:val="12"/>
                <w:color w:val="auto"/>
              </w:rPr>
            </w:pPr>
          </w:p>
        </w:tc>
        <w:tc>
          <w:tcPr>
            <w:tcW w:w="82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2"/>
                <w:szCs w:val="12"/>
                <w:color w:val="auto"/>
              </w:rPr>
            </w:pPr>
          </w:p>
        </w:tc>
        <w:tc>
          <w:tcPr>
            <w:tcW w:w="860" w:type="dxa"/>
            <w:vAlign w:val="bottom"/>
            <w:gridSpan w:val="2"/>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51"/>
        </w:trPr>
        <w:tc>
          <w:tcPr>
            <w:tcW w:w="2740" w:type="dxa"/>
            <w:vAlign w:val="bottom"/>
          </w:tcPr>
          <w:p>
            <w:pPr>
              <w:spacing w:after="0"/>
              <w:rPr>
                <w:sz w:val="13"/>
                <w:szCs w:val="13"/>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7"/>
        </w:trPr>
        <w:tc>
          <w:tcPr>
            <w:tcW w:w="274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2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117,970</w:t>
            </w:r>
          </w:p>
        </w:tc>
        <w:tc>
          <w:tcPr>
            <w:tcW w:w="660" w:type="dxa"/>
            <w:vAlign w:val="bottom"/>
            <w:gridSpan w:val="2"/>
            <w:vMerge w:val="restart"/>
            <w:shd w:val="clear" w:color="auto" w:fill="CFF0FC"/>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6,204</w:t>
            </w:r>
          </w:p>
        </w:tc>
        <w:tc>
          <w:tcPr>
            <w:tcW w:w="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53"/>
              <w:spacing w:after="0" w:line="137" w:lineRule="exact"/>
              <w:rPr>
                <w:sz w:val="20"/>
                <w:szCs w:val="20"/>
                <w:color w:val="auto"/>
              </w:rPr>
            </w:pPr>
            <w:r>
              <w:rPr>
                <w:rFonts w:ascii="Times New Roman" w:cs="Times New Roman" w:eastAsia="Times New Roman" w:hAnsi="Times New Roman"/>
                <w:sz w:val="14"/>
                <w:szCs w:val="14"/>
                <w:color w:val="auto"/>
              </w:rPr>
              <w:t>13,776,78</w:t>
            </w:r>
          </w:p>
        </w:tc>
        <w:tc>
          <w:tcPr>
            <w:tcW w:w="660" w:type="dxa"/>
            <w:vAlign w:val="bottom"/>
            <w:gridSpan w:val="2"/>
            <w:vMerge w:val="restart"/>
            <w:shd w:val="clear" w:color="auto" w:fill="CFF0FC"/>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14</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287,034</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(202,865 )</w:t>
            </w:r>
          </w:p>
        </w:tc>
        <w:tc>
          <w:tcPr>
            <w:tcW w:w="26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84,183</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66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8</w:t>
            </w:r>
          </w:p>
        </w:tc>
        <w:tc>
          <w:tcPr>
            <w:tcW w:w="66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0" w:type="dxa"/>
            <w:vAlign w:val="bottom"/>
          </w:tcPr>
          <w:p>
            <w:pPr>
              <w:spacing w:after="0"/>
              <w:rPr>
                <w:sz w:val="1"/>
                <w:szCs w:val="1"/>
                <w:color w:val="auto"/>
              </w:rPr>
            </w:pPr>
          </w:p>
        </w:tc>
      </w:tr>
      <w:tr>
        <w:trPr>
          <w:trHeight w:val="133"/>
        </w:trPr>
        <w:tc>
          <w:tcPr>
            <w:tcW w:w="27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117,970</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6,204</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53"/>
              <w:spacing w:after="0" w:line="133" w:lineRule="exact"/>
              <w:rPr>
                <w:sz w:val="20"/>
                <w:szCs w:val="20"/>
                <w:color w:val="auto"/>
              </w:rPr>
            </w:pPr>
            <w:r>
              <w:rPr>
                <w:rFonts w:ascii="Times New Roman" w:cs="Times New Roman" w:eastAsia="Times New Roman" w:hAnsi="Times New Roman"/>
                <w:sz w:val="14"/>
                <w:szCs w:val="14"/>
                <w:color w:val="auto"/>
              </w:rPr>
              <w:t>13,776,78</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14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288,415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(213,637 )</w:t>
            </w:r>
          </w:p>
        </w:tc>
        <w:tc>
          <w:tcPr>
            <w:tcW w:w="2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74,792</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8</w:t>
            </w: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and pre-</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funded warrants in connection with 2023</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Securities Purchase Agreement, net of</w:t>
            </w:r>
          </w:p>
        </w:tc>
        <w:tc>
          <w:tcPr>
            <w:tcW w:w="92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8,730,168</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33,008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33,017</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costs</w:t>
            </w: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 conversion of X non-voting</w:t>
            </w: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(1,782 )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99,000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FF0FC"/>
          </w:tcPr>
          <w:p>
            <w:pPr>
              <w:ind w:left="200"/>
              <w:spacing w:after="0" w:line="220" w:lineRule="exact"/>
              <w:rPr>
                <w:sz w:val="20"/>
                <w:szCs w:val="20"/>
                <w:color w:val="auto"/>
              </w:rPr>
            </w:pPr>
            <w:r>
              <w:rPr>
                <w:rFonts w:ascii="Times New Roman" w:cs="Times New Roman" w:eastAsia="Times New Roman" w:hAnsi="Times New Roman"/>
                <w:sz w:val="14"/>
                <w:szCs w:val="14"/>
                <w:color w:val="auto"/>
              </w:rPr>
              <w:t>with conversion of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4"/>
                <w:szCs w:val="14"/>
                <w:color w:val="auto"/>
              </w:rPr>
              <w:t xml:space="preserve"> non-voting</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(7,884 )</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437,977</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6"/>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(65,760 )</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(65,760 )</w:t>
            </w:r>
          </w:p>
        </w:tc>
        <w:tc>
          <w:tcPr>
            <w:tcW w:w="0" w:type="dxa"/>
            <w:vAlign w:val="bottom"/>
          </w:tcPr>
          <w:p>
            <w:pPr>
              <w:spacing w:after="0"/>
              <w:rPr>
                <w:sz w:val="1"/>
                <w:szCs w:val="1"/>
                <w:color w:val="auto"/>
              </w:rPr>
            </w:pPr>
          </w:p>
        </w:tc>
      </w:tr>
      <w:tr>
        <w:trPr>
          <w:trHeight w:val="133"/>
        </w:trPr>
        <w:tc>
          <w:tcPr>
            <w:tcW w:w="27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as of June 30, 2023 (As Restated)</w:t>
            </w: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4,422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53"/>
              <w:spacing w:after="0" w:line="133" w:lineRule="exact"/>
              <w:rPr>
                <w:sz w:val="20"/>
                <w:szCs w:val="20"/>
                <w:color w:val="auto"/>
              </w:rPr>
            </w:pPr>
            <w:r>
              <w:rPr>
                <w:rFonts w:ascii="Times New Roman" w:cs="Times New Roman" w:eastAsia="Times New Roman" w:hAnsi="Times New Roman"/>
                <w:sz w:val="14"/>
                <w:szCs w:val="14"/>
                <w:color w:val="auto"/>
              </w:rPr>
              <w:t>23,043,93</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23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323,142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(279,397 )</w:t>
            </w:r>
          </w:p>
        </w:tc>
        <w:tc>
          <w:tcPr>
            <w:tcW w:w="2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43,768</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in connection</w:t>
            </w:r>
          </w:p>
        </w:tc>
        <w:tc>
          <w:tcPr>
            <w:tcW w:w="92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501,197</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with exercise of pre-funded warrants</w:t>
            </w: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75"/>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(9,906 )</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(9,906 )</w:t>
            </w:r>
          </w:p>
        </w:tc>
        <w:tc>
          <w:tcPr>
            <w:tcW w:w="0" w:type="dxa"/>
            <w:vAlign w:val="bottom"/>
          </w:tcPr>
          <w:p>
            <w:pPr>
              <w:spacing w:after="0"/>
              <w:rPr>
                <w:sz w:val="1"/>
                <w:szCs w:val="1"/>
                <w:color w:val="auto"/>
              </w:rPr>
            </w:pPr>
          </w:p>
        </w:tc>
      </w:tr>
      <w:tr>
        <w:trPr>
          <w:trHeight w:val="131"/>
        </w:trPr>
        <w:tc>
          <w:tcPr>
            <w:tcW w:w="27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September 30, 2023 (As</w:t>
            </w: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110,086</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4,422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53"/>
              <w:spacing w:after="0" w:line="131" w:lineRule="exact"/>
              <w:rPr>
                <w:sz w:val="20"/>
                <w:szCs w:val="20"/>
                <w:color w:val="auto"/>
              </w:rPr>
            </w:pPr>
            <w:r>
              <w:rPr>
                <w:rFonts w:ascii="Times New Roman" w:cs="Times New Roman" w:eastAsia="Times New Roman" w:hAnsi="Times New Roman"/>
                <w:sz w:val="14"/>
                <w:szCs w:val="14"/>
                <w:color w:val="auto"/>
              </w:rPr>
              <w:t>23,545,13</w:t>
            </w:r>
          </w:p>
        </w:tc>
        <w:tc>
          <w:tcPr>
            <w:tcW w:w="66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24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324,876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(289,303 )</w:t>
            </w:r>
          </w:p>
        </w:tc>
        <w:tc>
          <w:tcPr>
            <w:tcW w:w="2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35,597</w:t>
            </w: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9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-2407920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-2407920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-2407920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-2407920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-2407920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-2407920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-2407920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-2407920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-908050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-908050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-908050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-908050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-908050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-908050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-908050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-908050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-239395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-239395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-239395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-239395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-239395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-239395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-239395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-239395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7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8,433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(86,438 )</w:t>
            </w: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9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asset</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on investment discounts</w:t>
            </w:r>
          </w:p>
        </w:tc>
        <w:tc>
          <w:tcPr>
            <w:tcW w:w="9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6,540</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4,835</w:t>
            </w:r>
          </w:p>
        </w:tc>
      </w:tr>
      <w:tr>
        <w:trPr>
          <w:trHeight w:val="21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 and fair value of financial instruments issued in excess of</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w:t>
            </w:r>
          </w:p>
        </w:tc>
        <w:tc>
          <w:tcPr>
            <w:tcW w:w="9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(51,829 )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55,738</w:t>
            </w:r>
          </w:p>
        </w:tc>
      </w:tr>
      <w:tr>
        <w:trPr>
          <w:trHeight w:val="250"/>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8,791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(3,609 )</w:t>
            </w: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(28,284 )</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(30,396 )</w:t>
            </w:r>
          </w:p>
        </w:tc>
      </w:tr>
      <w:tr>
        <w:trPr>
          <w:trHeight w:val="23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available-for-sale short-term investments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(83,350 )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(60,363 )</w:t>
            </w: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available-for-sale short-term investments</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60,418</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(22,932 )</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(55,363 )</w:t>
            </w: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1"/>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and pre-funded warrants, net</w:t>
            </w:r>
          </w:p>
        </w:tc>
        <w:tc>
          <w:tcPr>
            <w:tcW w:w="9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53,355</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33,017</w:t>
            </w:r>
          </w:p>
        </w:tc>
      </w:tr>
      <w:tr>
        <w:trPr>
          <w:trHeight w:val="23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53,355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33,017</w:t>
            </w: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2,139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(52,742 )</w:t>
            </w: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56,409</w:t>
            </w:r>
          </w:p>
        </w:tc>
      </w:tr>
      <w:tr>
        <w:trPr>
          <w:trHeight w:val="27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6,751</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3,667</w:t>
            </w:r>
          </w:p>
        </w:tc>
      </w:tr>
      <w:tr>
        <w:trPr>
          <w:trHeight w:val="225"/>
        </w:trPr>
        <w:tc>
          <w:tcPr>
            <w:tcW w:w="7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4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9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43"/>
        </w:trPr>
        <w:tc>
          <w:tcPr>
            <w:tcW w:w="78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Common stock exchanged for X and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operating lease asset and liability due to new lease</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 of warrant liability into common stock due to exercise</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420</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-2545080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-1910715</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-950595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-934085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center"/>
        <w:ind w:left="360" w:right="2620"/>
        <w:spacing w:after="0" w:line="278" w:lineRule="auto"/>
        <w:rPr>
          <w:sz w:val="20"/>
          <w:szCs w:val="20"/>
          <w:color w:val="auto"/>
        </w:rPr>
      </w:pPr>
      <w:r>
        <w:rPr>
          <w:rFonts w:ascii="Times New Roman" w:cs="Times New Roman" w:eastAsia="Times New Roman" w:hAnsi="Times New Roman"/>
          <w:sz w:val="18"/>
          <w:szCs w:val="18"/>
          <w:b w:val="1"/>
          <w:bCs w:val="1"/>
          <w:color w:val="auto"/>
        </w:rPr>
        <w:t>ELEDON PHARMACEUTICALS,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jc w:val="both"/>
        <w:ind w:firstLine="599"/>
        <w:spacing w:after="0" w:line="258" w:lineRule="auto"/>
        <w:rPr>
          <w:sz w:val="20"/>
          <w:szCs w:val="20"/>
          <w:color w:val="auto"/>
        </w:rPr>
      </w:pPr>
      <w:r>
        <w:rPr>
          <w:rFonts w:ascii="Times New Roman" w:cs="Times New Roman" w:eastAsia="Times New Roman" w:hAnsi="Times New Roman"/>
          <w:sz w:val="18"/>
          <w:szCs w:val="18"/>
          <w:color w:val="auto"/>
        </w:rPr>
        <w:t>Eledon Pharmaceuticals, Inc. is a clinical stage biotechnology company using its immunology expertise in targeting the CD40 Ligand (“CD40L”) pathway to develop therapies to protect transplanted organs and prevent rejection, and to treat amyotrophic lateral sclerosis (“ALS”). The Company’s lead compound in development is tegoprubart, an IgG1, anti-CD40L antibody with high affinity for the CD40 Ligand, a well-validated biological target that we believe has broad therapeutic potential. Unless otherwise indicated, references to the terms “Eledon,” “our,” “us,” “we,” or the “Company” refer to Eledon Pharmaceuticals, Inc. and its wholly owned subsidiaries, on a consolidated basis.</w:t>
      </w:r>
    </w:p>
    <w:p>
      <w:pPr>
        <w:spacing w:after="0" w:line="183" w:lineRule="exact"/>
        <w:rPr>
          <w:sz w:val="20"/>
          <w:szCs w:val="20"/>
          <w:color w:val="auto"/>
        </w:rPr>
      </w:pPr>
    </w:p>
    <w:p>
      <w:pPr>
        <w:ind w:right="580" w:firstLine="599"/>
        <w:spacing w:after="0" w:line="261" w:lineRule="auto"/>
        <w:rPr>
          <w:sz w:val="20"/>
          <w:szCs w:val="20"/>
          <w:color w:val="auto"/>
        </w:rPr>
      </w:pPr>
      <w:r>
        <w:rPr>
          <w:rFonts w:ascii="Times New Roman" w:cs="Times New Roman" w:eastAsia="Times New Roman" w:hAnsi="Times New Roman"/>
          <w:sz w:val="18"/>
          <w:szCs w:val="18"/>
          <w:color w:val="auto"/>
        </w:rPr>
        <w:t>On September 14, 2020, Eledon acquired Anelixis Therapeutics, Inc. (“Anelixis”), a privately held clinical stage biotechnology company developing a next generation anti-CD40L antibody as a potential treatment for organ and cellular transplantation, autoimmune diseases, and neurodegenerative diseases. The Company maintains its corporate headquarters in Irvine, California and has research and development facilities in Burlington, Massachusetts.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Issued Financial Statements</w:t>
      </w:r>
    </w:p>
    <w:p>
      <w:pPr>
        <w:spacing w:after="0" w:line="121" w:lineRule="exact"/>
        <w:rPr>
          <w:sz w:val="20"/>
          <w:szCs w:val="20"/>
          <w:color w:val="auto"/>
        </w:rPr>
      </w:pPr>
    </w:p>
    <w:p>
      <w:pPr>
        <w:ind w:right="100" w:firstLine="599"/>
        <w:spacing w:after="0" w:line="255" w:lineRule="auto"/>
        <w:rPr>
          <w:sz w:val="20"/>
          <w:szCs w:val="20"/>
          <w:color w:val="auto"/>
        </w:rPr>
      </w:pPr>
      <w:r>
        <w:rPr>
          <w:rFonts w:ascii="Times New Roman" w:cs="Times New Roman" w:eastAsia="Times New Roman" w:hAnsi="Times New Roman"/>
          <w:sz w:val="18"/>
          <w:szCs w:val="18"/>
          <w:color w:val="auto"/>
        </w:rPr>
        <w:t>During the preparation of the Company’s Condensed Consolidated Financial Statements for the fiscal quarter ended June 30, 2024, the Company determined that the Common Warrants and the Subsequent Closing Warrants (each as defined in Note 8) do not meet the conditions to be classified as equity instruments under ASC 815-40, “Derivatives and Hedging — Contracts in Entity’s Own Equity,” (“ASC 815-40”) and must instead be recorded as liabilities on the Company’s consolidated balance sheet at their fair value and remeasured at fair value for each subsequent reporting period. As a result, the Company determined that a correction was necessary with respect to the Company’s reporting and recording of the fair value of the Common Warrants and the Subsequent Closing Warrants. Certain prior period financial statements and financial information are presented herein as restated. See Note 12 for further information.</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Article 8 of Regulation S-X requirements as set forth by the Securities and Exchange Commission (“SEC”) for interim financial information and reflect all adjustments and disclosures, which are, in the opinion of management, of a normal and recurring nature, and considered necessary for a fair presentation of the financial information contained herein. Pursuant to these rules and regulations, the unaudited condensed consolidated financial statements do not include all information and notes necessary for a complete presentation of results of operations and comprehensive loss, financial position, and cash flows in conformity with GAAP.</w:t>
      </w:r>
    </w:p>
    <w:p>
      <w:pPr>
        <w:spacing w:after="0" w:line="79"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should be read in conjunction with the audited consolidated financial statements and accompanying notes of Eledon for the year ended December 31, 2023 included in the Company’s Annual Report on Form 10-K filed by the Company with the SEC on March 28, 2024, as amended on each of April 26, 2024 and August 19, 2024 (together, the “Amended Form 10-K”). The results of operations and comprehensive income (loss) for the three and nine months ended September 30, 2024 are not necessarily indicative of results expected for the full fiscal year or any other future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Eledon, a Delaware corporation, owns 100% of the issued and outstanding common stock or other ownership interest in Anelixis Therapeutics, LLC, a Delaware limited liability company, and Otic Pharma, Ltd., a private limited company organized under the laws of the State of Israel (“Otic”). Otic owns 100% of the issued and outstanding common stock or other ownership interest in its U.S. subsidiary, Otic Pharma, Inc.</w:t>
      </w:r>
    </w:p>
    <w:p>
      <w:pPr>
        <w:spacing w:after="0" w:line="176"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condensed consolidated financial statements.</w:t>
      </w:r>
    </w:p>
    <w:p>
      <w:pPr>
        <w:spacing w:after="0" w:line="176" w:lineRule="exact"/>
        <w:rPr>
          <w:sz w:val="20"/>
          <w:szCs w:val="20"/>
          <w:color w:val="auto"/>
        </w:rPr>
      </w:pPr>
    </w:p>
    <w:p>
      <w:pPr>
        <w:ind w:right="660" w:firstLine="59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among the entities have been eliminated from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ind w:right="120" w:firstLine="59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that assumes that the Company will continue as a going concern.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83"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The Company has experienced recurring net losses and negative cash flows from operating activities since its inception. The Company recorded net income of $77.0 million and $8.4 million for the three and nine months ended September 30, 2024, respectively. These results include a $96.4 million gain related to changes in the fair value of warrant liabilities and the fair value of financial instruments issued in excess of proceeds, recorded in the third quarter ending September 30, 2024. Excluding this gain, the Company would have recorded net losses of $19.5 million and $43.4 million for the three and nine months ended September 30, 2024, respectively. As of September 30, 2024, the Company had cash and cash equivalents and short-term investments of $78.2 million, working capital of $69.0 million and an accumulated deficit of $311.0 million.</w:t>
      </w:r>
    </w:p>
    <w:p>
      <w:pPr>
        <w:spacing w:after="0" w:line="187" w:lineRule="exact"/>
        <w:rPr>
          <w:sz w:val="20"/>
          <w:szCs w:val="20"/>
          <w:color w:val="auto"/>
        </w:rPr>
      </w:pPr>
    </w:p>
    <w:p>
      <w:pPr>
        <w:ind w:right="260" w:firstLine="599"/>
        <w:spacing w:after="0" w:line="256" w:lineRule="auto"/>
        <w:rPr>
          <w:sz w:val="20"/>
          <w:szCs w:val="20"/>
          <w:color w:val="auto"/>
        </w:rPr>
      </w:pPr>
      <w:r>
        <w:rPr>
          <w:rFonts w:ascii="Times New Roman" w:cs="Times New Roman" w:eastAsia="Times New Roman" w:hAnsi="Times New Roman"/>
          <w:sz w:val="18"/>
          <w:szCs w:val="18"/>
          <w:color w:val="auto"/>
        </w:rPr>
        <w:t>On October 29, 2024, the Company entered into an underwriting agreement with Leerink Partners, LLC, as representative of the several underwriters named therein in connection with the underwritten offering, issuance and sale by the Company (the "Offering") of 18,356,173 shares of the Company’s common stock, par value $0.001 per share, at an offering price of $3.65 per share, and pre-funded warrants at a price of $3.649 per pre-funded warrant, which are exercisable to purchase 4,931,507 shares of the Company’s common stock at an exercise price of $0.001 per share. The Offering resulted in gross proceeds to the Company of $85.0 million, or net proceeds of approximately $79.5 million after deducting underwriting discounts and commissions and offering expenses. See Note 11. Subsequent Events for additional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right="780"/>
        <w:spacing w:after="0" w:line="282" w:lineRule="auto"/>
        <w:rPr>
          <w:sz w:val="20"/>
          <w:szCs w:val="20"/>
          <w:color w:val="auto"/>
        </w:rPr>
      </w:pPr>
      <w:r>
        <w:rPr>
          <w:rFonts w:ascii="Times New Roman" w:cs="Times New Roman" w:eastAsia="Times New Roman" w:hAnsi="Times New Roman"/>
          <w:sz w:val="18"/>
          <w:szCs w:val="18"/>
          <w:color w:val="auto"/>
        </w:rPr>
        <w:t>information. The Company currently plans to use the net proceeds from the Offering to advance our pipeline and for working capital and general corporate purposes.</w:t>
      </w:r>
    </w:p>
    <w:p>
      <w:pPr>
        <w:spacing w:after="0" w:line="162"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continue to incur net losses into the foreseeable future. In order to continue these activities, the Company will need to raise additional funds through public or private debt and equity financings or strategic collaboration and licensing arrangements. The Company’s ability to raise additional capital in the equity and debt markets is dependent on a number of factors, including, but not limited to, the market demand for the Company’s common stock, which itself is subject to a number of risks and uncertainties, as well as uncertainty as to whether the Company would be able to raise such additional capital at a price or on terms that are favorable to the Company.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w:t>
      </w:r>
    </w:p>
    <w:p>
      <w:pPr>
        <w:spacing w:after="0" w:line="188"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At the time of issuance of the condensed consolidated financial statements for the three and nine months ended September 30, 2024, the Company’s management performed an analysis and concluded that the Company had sufficient cash resources to meet its anticipated cash needs through at least the next 12 months from the date of issuance of the accompanying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consolidated financial statements and accompanying notes. The most significant estimates in the Company’s consolidated financial statements relate to stock-based compensation expense, warrant liabilities, the fair value of right-of-use assets and liabilities, accruals for liabilities, impairment of long-lived assets, and other matters that affect the consolidated financial statements and related disclosures. Management bases its estimates on historical experience and on various other market-specific and relevant assumptions that management believes to be reasonable under the circumstances. Actual results could differ materially from those estimates under different assumptions or conditions and the differences may be material to the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consists of cash, cash equivalents and short-term investments. The Company maintains deposits in federally insured institutions in excess of federally insured limits and invests in short-term investments with the primary objective of seeking to preserve principal, achieve liquidity requirements and safeguard invested funds. We believe that the Company is not exposed to significant credit risk due to the financial position of the depository institution in which those deposits are held and the nature, including the credit ratings, of our cash equivalents and short-term investments, but we have not eliminated all credit risk.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0" w:firstLine="59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Cash and cash equivalents include cash in readily available checking accounts, money market funds, U.S. government securities and U.S. government agency securities. The carrying amounts reported in the unaudited condensed consolidated balance sheets for cash and cash equivalents are valued at cost, which approximates their fair value due to the short-term maturities of these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September 30, 2024 and December 31, 2023, all of the Company’s long-lived assets were located in the United States.</w:t>
      </w:r>
    </w:p>
    <w:p>
      <w:pPr>
        <w:spacing w:after="0" w:line="225" w:lineRule="exact"/>
        <w:rPr>
          <w:sz w:val="20"/>
          <w:szCs w:val="20"/>
          <w:color w:val="auto"/>
        </w:rPr>
      </w:pPr>
    </w:p>
    <w:p>
      <w:pPr>
        <w:jc w:val="both"/>
        <w:ind w:right="420" w:firstLine="599"/>
        <w:spacing w:after="0" w:line="266" w:lineRule="auto"/>
        <w:rPr>
          <w:sz w:val="20"/>
          <w:szCs w:val="20"/>
          <w:color w:val="auto"/>
        </w:rPr>
      </w:pPr>
      <w:r>
        <w:rPr>
          <w:rFonts w:ascii="Times New Roman" w:cs="Times New Roman" w:eastAsia="Times New Roman" w:hAnsi="Times New Roman"/>
          <w:sz w:val="18"/>
          <w:szCs w:val="18"/>
          <w:color w:val="auto"/>
        </w:rPr>
        <w:t>The Company’s products will require approval from the U.S. Food and Drug Administration (“FDA”) and foreign regulatory agencies before commercial sales can commence. There can be no assurance that its products will receive any of these required approvals. The denial or delay of such approvals may impact the Company’s business in the future.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addition, after the approval by the FDA, there is still an ongoing risk of adverse events that did not appear during the product approval process.</w:t>
      </w:r>
    </w:p>
    <w:p>
      <w:pPr>
        <w:spacing w:after="0" w:line="225" w:lineRule="exact"/>
        <w:rPr>
          <w:sz w:val="20"/>
          <w:szCs w:val="20"/>
          <w:color w:val="auto"/>
        </w:rPr>
      </w:pPr>
    </w:p>
    <w:p>
      <w:pPr>
        <w:ind w:right="200" w:firstLine="59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pharmaceutical industry, including, but not limited to, new technological innovations, clinical development risk, establishment of appropriate commercial partnerships, protection of proprietary technology, compliance with government and environmental regulations, uncertainty of market acceptance of products, product liability, the volatility of its stock price and the need to obtain additional financing.</w:t>
      </w:r>
    </w:p>
    <w:p>
      <w:pPr>
        <w:spacing w:after="0" w:line="180"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The Company's facilities and equipment, including those of the Company's suppliers and vendors, may be affected by natural or man-made disasters. The Company's administrative office is based in Irvine, California and the Company manages all its research and development activities through third parties that are located throughout the world. The Company has taken precautions to safeguard its facilities, equipment and systems, including insurance, health and safety protocols, and off-site storage of computer data. However, the Company's facilities and systems, as well as those of its third-party suppliers and vendors, may be vulnerable to earthquakes, fire, storm, public health or similar emergencies, power loss, telecommunications failures, physical and software break-ins, software viruses and similar events which could cause substantial delays in its operations, damage or destroy its equipment or inventory, and cause the Company to incur additional expenses and delay research and development activities. In addition, the insurance coverage the Company maintains may not be adequate to cover its losses in any circumstance and may not continue to be available to use on acceptable terms, or at all.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121"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The fair values of in-process research and development (“IPR&amp;D”) projects acquired in a business combination that are not complete are capitalized and accounted for as indefinite-lived intangible assets until completion or abandonment of the related research and development (“R&amp;D”) efforts. Upon successful completion of the project, the capitalized amount is amortized over its estimated useful life. If a project is abandoned, all remaining capitalized amounts are written off immediately. Major risks and uncertainties are often associated with IPR&amp;D projects because we are required to obtain regulatory approvals before marketing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spacing w:after="0" w:line="189" w:lineRule="exact"/>
        <w:rPr>
          <w:sz w:val="20"/>
          <w:szCs w:val="20"/>
          <w:color w:val="auto"/>
        </w:rPr>
      </w:pPr>
    </w:p>
    <w:p>
      <w:pPr>
        <w:ind w:right="40" w:firstLine="599"/>
        <w:spacing w:after="0" w:line="261" w:lineRule="auto"/>
        <w:rPr>
          <w:sz w:val="20"/>
          <w:szCs w:val="20"/>
          <w:color w:val="auto"/>
        </w:rPr>
      </w:pPr>
      <w:r>
        <w:rPr>
          <w:rFonts w:ascii="Times New Roman" w:cs="Times New Roman" w:eastAsia="Times New Roman" w:hAnsi="Times New Roman"/>
          <w:sz w:val="18"/>
          <w:szCs w:val="18"/>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spacing w:after="0" w:line="183"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The Company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Company estimates its research and development expenses and the related accrual as of each balance sheet date based on the facts and circumstances known to the Company at that time. There have been no material adjustments to the Company’s prior period accrued estimates for clinical trial activities during the three and nine months ended September 30,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00" w:firstLine="599"/>
        <w:spacing w:after="0" w:line="28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Income Taxes (Topic 740): Improvements to Income Tax Disclosures. This update requires disaggregated information about a reporting entity’s effective tax rate reconciliation as well as information on income taxes paid. ASU No. 2023-09 is effective for public entities with annual periods beginning after December 15, 2024, with early adoption permitted. The Company is currently evaluating the impact of this guidance on its consolidated financial statements.</w:t>
      </w:r>
    </w:p>
    <w:p>
      <w:pPr>
        <w:spacing w:after="0" w:line="164" w:lineRule="exact"/>
        <w:rPr>
          <w:sz w:val="20"/>
          <w:szCs w:val="20"/>
          <w:color w:val="auto"/>
        </w:rPr>
      </w:pPr>
    </w:p>
    <w:p>
      <w:pPr>
        <w:ind w:right="100" w:firstLine="59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update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beginning after December 15, 2024, with early adoptions permitted. The Company is currently evaluating the impact of this guidance on its consolidated financial statements.</w:t>
      </w:r>
    </w:p>
    <w:p>
      <w:pPr>
        <w:spacing w:after="0" w:line="187" w:lineRule="exact"/>
        <w:rPr>
          <w:sz w:val="20"/>
          <w:szCs w:val="20"/>
          <w:color w:val="auto"/>
        </w:rPr>
      </w:pPr>
    </w:p>
    <w:p>
      <w:pPr>
        <w:jc w:val="both"/>
        <w:ind w:right="500" w:firstLine="599"/>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The Company accounts for issued warrants either as a liability or equity in accordance with ASC 815-40, Derivatives and Hedging — Contracts in Entity’s Own Equity (“ASC 815-40”).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the condensed consolidated statements of operations and comprehensive loss as a gain or loss. If warrants do not require liability classification under ASC 815-40, in order to conclude warrants should be classified as equity, the Company assesses whether the warrants are indexed to its common stock and whether the warrants are classified as equity under ASC 815-40 or other applicable GAAP standard. Equity-classified warrants are accounted for at fair value on the issuance date with no changes in fair value recognized after the issuance 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Short-Term Investments</w:t>
      </w:r>
    </w:p>
    <w:p>
      <w:pPr>
        <w:spacing w:after="0" w:line="121"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The objectives of the Company’s investment policy are to preserve principal, meet the Company's liquidity requirements and safeguard invested funds. Short-term investments consist of U.S. government securities and U.S. government agency securities. The Company has classified these investments as available-for-sale securities, as the sale of such investments may be required prior to maturity to implement management strategies, and therefore has classified all investments with maturity dates beyond three months at the date of purchase as current assets in the accompanying unaudited condensed consolidated balance sheets. Any premium or discount arising at purchase is amortized and/or accreted to interest income as an adjustment to yield using the straight-line method over the life of the instrument. The amortized cost of available-for-sale securities is adjusted for amortization of premiums and accretion of discounts to maturity. Investments are reported at their estimated fair value. Unrealized gains and losses are included in accumulated other comprehensive loss as a component of stockholders' equity until realized.</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short-term investments, which were classified as available-for-sale securities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67,745</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67,847</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33,213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33,213</w:t>
            </w:r>
          </w:p>
        </w:tc>
        <w:tc>
          <w:tcPr>
            <w:tcW w:w="0" w:type="dxa"/>
            <w:vAlign w:val="bottom"/>
          </w:tcPr>
          <w:p>
            <w:pPr>
              <w:spacing w:after="0"/>
              <w:rPr>
                <w:sz w:val="1"/>
                <w:szCs w:val="1"/>
                <w:color w:val="auto"/>
              </w:rPr>
            </w:pP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13,277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13,277</w:t>
            </w:r>
          </w:p>
        </w:tc>
        <w:tc>
          <w:tcPr>
            <w:tcW w:w="0" w:type="dxa"/>
            <w:vAlign w:val="bottom"/>
          </w:tcPr>
          <w:p>
            <w:pPr>
              <w:spacing w:after="0"/>
              <w:rPr>
                <w:sz w:val="1"/>
                <w:szCs w:val="1"/>
                <w:color w:val="auto"/>
              </w:rPr>
            </w:pPr>
          </w:p>
        </w:tc>
      </w:tr>
      <w:tr>
        <w:trPr>
          <w:trHeight w:val="277"/>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71,338</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71,440</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46,490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Company's available-for-sale securities have a stated maturity of less than one year.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Financial assets and liabilities are recorded at fair value.</w:t>
      </w:r>
    </w:p>
    <w:p>
      <w:pPr>
        <w:spacing w:after="0" w:line="225"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The Company classifies fair value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(unadjusted)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market prices for markets that are not active or other inputs that are observable or can be corroborated by observable market data.</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 These fair values are obtained from independent pricing services which utilize Level 1 and Level 2 inputs.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121" w:lineRule="exact"/>
        <w:rPr>
          <w:sz w:val="20"/>
          <w:szCs w:val="20"/>
          <w:color w:val="auto"/>
        </w:rPr>
      </w:pPr>
    </w:p>
    <w:p>
      <w:pPr>
        <w:jc w:val="both"/>
        <w:ind w:right="220" w:firstLine="5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 instruments measured at fair value on a recurring basis as of September 30, 2024 and December 31, 2023 (in thousands). Included within cash and cash equivalents on the unaudited condensed consolidated balance sheets, but excluded from the fair value hierarchy table, are cash deposits held at financial institutions.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37"/>
        </w:trPr>
        <w:tc>
          <w:tcPr>
            <w:tcW w:w="4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5,741</w:t>
            </w:r>
          </w:p>
        </w:tc>
        <w:tc>
          <w:tcPr>
            <w:tcW w:w="1100" w:type="dxa"/>
            <w:vAlign w:val="bottom"/>
            <w:gridSpan w:val="2"/>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5,741</w:t>
            </w:r>
          </w:p>
        </w:tc>
      </w:t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5,741</w:t>
            </w:r>
          </w:p>
        </w:tc>
      </w:tr>
      <w:tr>
        <w:trPr>
          <w:trHeight w:val="241"/>
        </w:trPr>
        <w:tc>
          <w:tcPr>
            <w:tcW w:w="4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67,847</w:t>
            </w:r>
          </w:p>
        </w:tc>
        <w:tc>
          <w:tcPr>
            <w:tcW w:w="1260" w:type="dxa"/>
            <w:vAlign w:val="bottom"/>
            <w:gridSpan w:val="2"/>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67,847</w:t>
            </w:r>
          </w:p>
        </w:tc>
      </w:tr>
      <w:tr>
        <w:trPr>
          <w:trHeight w:val="243"/>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3,593</w:t>
            </w: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71,440</w:t>
            </w:r>
          </w:p>
        </w:tc>
        <w:tc>
          <w:tcPr>
            <w:tcW w:w="1260" w:type="dxa"/>
            <w:vAlign w:val="bottom"/>
            <w:gridSpan w:val="2"/>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71,440</w:t>
            </w:r>
          </w:p>
        </w:tc>
      </w:tr>
      <w:tr>
        <w:trPr>
          <w:trHeight w:val="241"/>
        </w:trPr>
        <w:tc>
          <w:tcPr>
            <w:tcW w:w="4480" w:type="dxa"/>
            <w:vAlign w:val="bottom"/>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r>
      <w:tr>
        <w:trPr>
          <w:trHeight w:val="277"/>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96"/>
              </w:rPr>
              <w:t>71,440</w:t>
            </w:r>
          </w:p>
        </w:tc>
        <w:tc>
          <w:tcPr>
            <w:tcW w:w="1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77,181</w:t>
            </w:r>
          </w:p>
        </w:tc>
      </w:tr>
      <w:tr>
        <w:trPr>
          <w:trHeight w:val="696"/>
        </w:trPr>
        <w:tc>
          <w:tcPr>
            <w:tcW w:w="4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6"/>
        </w:trPr>
        <w:tc>
          <w:tcPr>
            <w:tcW w:w="4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4,246</w:t>
            </w:r>
          </w:p>
        </w:tc>
        <w:tc>
          <w:tcPr>
            <w:tcW w:w="1100" w:type="dxa"/>
            <w:vAlign w:val="bottom"/>
            <w:gridSpan w:val="2"/>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4,246</w:t>
            </w:r>
          </w:p>
        </w:tc>
      </w:t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4,246</w:t>
            </w:r>
          </w:p>
        </w:tc>
      </w:tr>
      <w:tr>
        <w:trPr>
          <w:trHeight w:val="241"/>
        </w:trPr>
        <w:tc>
          <w:tcPr>
            <w:tcW w:w="4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33,213</w:t>
            </w:r>
          </w:p>
        </w:tc>
        <w:tc>
          <w:tcPr>
            <w:tcW w:w="1260" w:type="dxa"/>
            <w:vAlign w:val="bottom"/>
            <w:gridSpan w:val="2"/>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33,213</w:t>
            </w:r>
          </w:p>
        </w:tc>
      </w:tr>
      <w:tr>
        <w:trPr>
          <w:trHeight w:val="243"/>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96"/>
              </w:rPr>
              <w:t>13,277</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13,277</w:t>
            </w: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46,490</w:t>
            </w:r>
          </w:p>
        </w:tc>
        <w:tc>
          <w:tcPr>
            <w:tcW w:w="1260" w:type="dxa"/>
            <w:vAlign w:val="bottom"/>
            <w:gridSpan w:val="2"/>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46,490</w:t>
            </w:r>
          </w:p>
        </w:tc>
      </w:tr>
      <w:tr>
        <w:trPr>
          <w:trHeight w:val="241"/>
        </w:trPr>
        <w:tc>
          <w:tcPr>
            <w:tcW w:w="4480" w:type="dxa"/>
            <w:vAlign w:val="bottom"/>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r>
      <w:tr>
        <w:trPr>
          <w:trHeight w:val="27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4,246</w:t>
            </w:r>
          </w:p>
        </w:tc>
        <w:tc>
          <w:tcPr>
            <w:tcW w:w="1100" w:type="dxa"/>
            <w:vAlign w:val="bottom"/>
            <w:gridSpan w:val="2"/>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96"/>
              </w:rPr>
              <w:t>46,490</w:t>
            </w:r>
          </w:p>
        </w:tc>
        <w:tc>
          <w:tcPr>
            <w:tcW w:w="1260" w:type="dxa"/>
            <w:vAlign w:val="bottom"/>
            <w:gridSpan w:val="2"/>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50,736</w:t>
            </w:r>
          </w:p>
        </w:tc>
      </w:tr>
      <w:tr>
        <w:trPr>
          <w:trHeight w:val="628"/>
        </w:trPr>
        <w:tc>
          <w:tcPr>
            <w:tcW w:w="448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-4615180</wp:posOffset>
            </wp:positionV>
            <wp:extent cx="10287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-4615180</wp:posOffset>
            </wp:positionV>
            <wp:extent cx="111125"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-4615180</wp:posOffset>
            </wp:positionV>
            <wp:extent cx="9398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-3813810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-3813810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-3813810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-3325495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-3308350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-3325495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-3308350</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-3325495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-3308350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-2223770</wp:posOffset>
            </wp:positionV>
            <wp:extent cx="102870"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-2223770</wp:posOffset>
            </wp:positionV>
            <wp:extent cx="111125"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-2223770</wp:posOffset>
            </wp:positionV>
            <wp:extent cx="93980" cy="196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-1422400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-1422400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-1422400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-933450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-916305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-933450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-916305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jc w:val="both"/>
        <w:ind w:right="320" w:firstLine="5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warrant liabilities (see Note 8) measured at fair value on a recurring basis as of September 30, 2024 and December 31, 2023 (in thousands) and was based on significant inputs not observable in the market, which represents a Level 3 measurement within the fair value hierarchy.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37"/>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23,962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23,962</w:t>
            </w:r>
          </w:p>
        </w:tc>
      </w:tr>
      <w:tr>
        <w:trPr>
          <w:trHeight w:val="527"/>
        </w:trPr>
        <w:tc>
          <w:tcPr>
            <w:tcW w:w="5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76,211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76,211</w:t>
            </w: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warrant liability categorized with Level 3 inputs: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3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76,211</w:t>
            </w:r>
          </w:p>
        </w:tc>
      </w:tr>
      <w:tr>
        <w:trPr>
          <w:trHeight w:val="211"/>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 and fair value of financial instruments issued in excess of</w:t>
            </w:r>
          </w:p>
        </w:tc>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w:t>
            </w:r>
          </w:p>
        </w:tc>
        <w:tc>
          <w:tcPr>
            <w:tcW w:w="5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(51,829 )</w:t>
            </w:r>
          </w:p>
        </w:tc>
      </w:tr>
      <w:tr>
        <w:trPr>
          <w:trHeight w:val="250"/>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Settlement of warrant liability</w:t>
            </w:r>
          </w:p>
        </w:tc>
        <w:tc>
          <w:tcPr>
            <w:tcW w:w="5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2"/>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23,962</w:t>
            </w:r>
          </w:p>
        </w:tc>
      </w:tr>
      <w:tr>
        <w:trPr>
          <w:trHeight w:val="20"/>
        </w:trPr>
        <w:tc>
          <w:tcPr>
            <w:tcW w:w="8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80" w:firstLine="599"/>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and fair value of financial instruments issued in excess of proceeds includes the reversal of $58.7 million in warrant liabilities associated with the Subsequent Closing Warrants (as defined in Note 8), which expired during the quarter ended September 30,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September 30, 2024 and December 31,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clinical</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2,526</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4,128</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624</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185</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90</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3,318</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93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Liabilities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as of September 30, 2024 and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3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2,062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2,003</w:t>
            </w: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3,798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451</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6,443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2,545</w:t>
            </w:r>
          </w:p>
        </w:tc>
      </w:tr>
      <w:tr>
        <w:trPr>
          <w:trHeight w:val="849"/>
        </w:trPr>
        <w:tc>
          <w:tcPr>
            <w:tcW w:w="4380" w:type="dxa"/>
            <w:vAlign w:val="bottom"/>
            <w:tcBorders>
              <w:top w:val="single" w:sz="8" w:color="CFF0FC"/>
            </w:tcBorders>
          </w:tcPr>
          <w:p>
            <w:pPr>
              <w:spacing w:after="0"/>
              <w:rPr>
                <w:sz w:val="24"/>
                <w:szCs w:val="24"/>
                <w:color w:val="auto"/>
              </w:rPr>
            </w:pPr>
          </w:p>
        </w:tc>
        <w:tc>
          <w:tcPr>
            <w:tcW w:w="33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-1070610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20" w:firstLine="599"/>
        <w:spacing w:after="0" w:line="266" w:lineRule="auto"/>
        <w:rPr>
          <w:sz w:val="20"/>
          <w:szCs w:val="20"/>
          <w:color w:val="auto"/>
        </w:rPr>
      </w:pPr>
      <w:r>
        <w:rPr>
          <w:rFonts w:ascii="Times New Roman" w:cs="Times New Roman" w:eastAsia="Times New Roman" w:hAnsi="Times New Roman"/>
          <w:sz w:val="18"/>
          <w:szCs w:val="18"/>
          <w:color w:val="auto"/>
        </w:rPr>
        <w:t>The Company leases office space under various operating leases. Total rent expense for all operating leases in the accompanying condensed consolidated statements of operations and comprehensive income was $0.1 million for each of the three months ended September 30, 2024 and 2023 and $0.3 million for each of the nine months ended September 30, 2024 and 2023.</w:t>
      </w:r>
    </w:p>
    <w:p>
      <w:pPr>
        <w:spacing w:after="0" w:line="176" w:lineRule="exact"/>
        <w:rPr>
          <w:sz w:val="20"/>
          <w:szCs w:val="20"/>
          <w:color w:val="auto"/>
        </w:rPr>
      </w:pPr>
    </w:p>
    <w:p>
      <w:pPr>
        <w:ind w:firstLine="599"/>
        <w:spacing w:after="0" w:line="261" w:lineRule="auto"/>
        <w:rPr>
          <w:sz w:val="20"/>
          <w:szCs w:val="20"/>
          <w:color w:val="auto"/>
        </w:rPr>
      </w:pPr>
      <w:r>
        <w:rPr>
          <w:rFonts w:ascii="Times New Roman" w:cs="Times New Roman" w:eastAsia="Times New Roman" w:hAnsi="Times New Roman"/>
          <w:sz w:val="18"/>
          <w:szCs w:val="18"/>
          <w:color w:val="auto"/>
        </w:rPr>
        <w:t>On April 19, 2024, the Company entered into a 38-month operating lease for 5,817 square feet of office space in Irvine, California, that expires on June 30, 2027 (the “Irvine Lease Agreement”). On April 19, 2024, in conjunction with the Irvine Lease Agreement, the Company terminated an existing operating lease for 5,197 square feet of office space in Irvine, California, that was set to expire on December 31, 2024. On April 19, 2024, the effective date of the Irvine Lease Agreement, the Company recognized additional net ROU assets and lease liabilities in the amount of $0.5 million.</w:t>
      </w:r>
    </w:p>
    <w:p>
      <w:pPr>
        <w:spacing w:after="0" w:line="180"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On September 4, 2024, the Company entered into a 36-month operating lease for 6,138 square feet of office space in Burlington, Massachusetts, that expires on November 21, 2027 (the “Burlington Lease Agreement”). The existing lease will expire on November 20, 2024. The Company will recognize additional net ROU assets and lease liabilities for the Burlington Lease Agreement beginning November 21, 2024.</w:t>
      </w:r>
    </w:p>
    <w:p>
      <w:pPr>
        <w:spacing w:after="0" w:line="176" w:lineRule="exact"/>
        <w:rPr>
          <w:sz w:val="20"/>
          <w:szCs w:val="20"/>
          <w:color w:val="auto"/>
        </w:rPr>
      </w:pPr>
    </w:p>
    <w:p>
      <w:pPr>
        <w:ind w:right="200" w:firstLine="599"/>
        <w:spacing w:after="0" w:line="282"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Our office leases have a remaining term of approximately 3 years and do not include options to extend the leases for additional periods.</w:t>
      </w:r>
    </w:p>
    <w:p>
      <w:pPr>
        <w:spacing w:after="0" w:line="162"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spacing w:after="0" w:line="187" w:lineRule="exact"/>
        <w:rPr>
          <w:sz w:val="20"/>
          <w:szCs w:val="20"/>
          <w:color w:val="auto"/>
        </w:rPr>
      </w:pPr>
    </w:p>
    <w:p>
      <w:pPr>
        <w:ind w:right="140" w:firstLine="599"/>
        <w:spacing w:after="0" w:line="261" w:lineRule="auto"/>
        <w:rPr>
          <w:sz w:val="20"/>
          <w:szCs w:val="20"/>
          <w:color w:val="auto"/>
        </w:rPr>
      </w:pPr>
      <w:r>
        <w:rPr>
          <w:rFonts w:ascii="Times New Roman" w:cs="Times New Roman" w:eastAsia="Times New Roman" w:hAnsi="Times New Roman"/>
          <w:sz w:val="18"/>
          <w:szCs w:val="18"/>
          <w:color w:val="auto"/>
        </w:rPr>
        <w:t>Our leases contain rent escalations over the lease term. We recognize expense for these leases on a straight-line basis over the lease term. Additionally, tenant incentives used to fund leasehold improvements are recognized when earned and reduce our right-of-use asset related to the lease. These are amortized through the right-of-use asset as reductions of expense over the lease term. Our lease agreements do not contain any material residual value guarantees or material restrictive covenants.</w:t>
      </w:r>
    </w:p>
    <w:p>
      <w:pPr>
        <w:spacing w:after="0" w:line="180" w:lineRule="exact"/>
        <w:rPr>
          <w:sz w:val="20"/>
          <w:szCs w:val="20"/>
          <w:color w:val="auto"/>
        </w:rPr>
      </w:pPr>
    </w:p>
    <w:p>
      <w:pPr>
        <w:ind w:right="800" w:firstLine="599"/>
        <w:spacing w:after="0" w:line="282" w:lineRule="auto"/>
        <w:rPr>
          <w:sz w:val="20"/>
          <w:szCs w:val="20"/>
          <w:color w:val="auto"/>
        </w:rPr>
      </w:pPr>
      <w:r>
        <w:rPr>
          <w:rFonts w:ascii="Times New Roman" w:cs="Times New Roman" w:eastAsia="Times New Roman" w:hAnsi="Times New Roman"/>
          <w:sz w:val="18"/>
          <w:szCs w:val="18"/>
          <w:color w:val="auto"/>
        </w:rPr>
        <w:t>While we do not currently have any lease agreement with lease and non-lease components, we elected to account for lease and non-lease components as separate components.</w:t>
      </w:r>
    </w:p>
    <w:p>
      <w:pPr>
        <w:spacing w:after="0" w:line="162" w:lineRule="exact"/>
        <w:rPr>
          <w:sz w:val="20"/>
          <w:szCs w:val="20"/>
          <w:color w:val="auto"/>
        </w:rPr>
      </w:pPr>
    </w:p>
    <w:p>
      <w:pPr>
        <w:ind w:right="200" w:firstLine="599"/>
        <w:spacing w:after="0" w:line="261" w:lineRule="auto"/>
        <w:rPr>
          <w:sz w:val="20"/>
          <w:szCs w:val="20"/>
          <w:color w:val="auto"/>
        </w:rPr>
      </w:pPr>
      <w:r>
        <w:rPr>
          <w:rFonts w:ascii="Times New Roman" w:cs="Times New Roman" w:eastAsia="Times New Roman" w:hAnsi="Times New Roman"/>
          <w:sz w:val="18"/>
          <w:szCs w:val="18"/>
          <w:color w:val="auto"/>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condensed consolidated balance sheet.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3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4"/>
                <w:szCs w:val="24"/>
                <w:color w:val="auto"/>
                <w:vertAlign w:val="superscript"/>
              </w:rPr>
              <w:t>(a)</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306</w:t>
            </w:r>
          </w:p>
        </w:tc>
        <w:tc>
          <w:tcPr>
            <w:tcW w:w="4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hanging="159"/>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variable operating lease expenses, which are immaterial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23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21"/>
                <w:szCs w:val="2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2.56 years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 years</w:t>
            </w:r>
          </w:p>
        </w:tc>
        <w:tc>
          <w:tcPr>
            <w:tcW w:w="60" w:type="dxa"/>
            <w:vAlign w:val="bottom"/>
          </w:tcPr>
          <w:p>
            <w:pPr>
              <w:spacing w:after="0"/>
              <w:rPr>
                <w:sz w:val="21"/>
                <w:szCs w:val="2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9" w:lineRule="exact"/>
        <w:rPr>
          <w:sz w:val="20"/>
          <w:szCs w:val="20"/>
          <w:color w:val="auto"/>
        </w:rPr>
      </w:pPr>
    </w:p>
    <w:p>
      <w:pPr>
        <w:ind w:right="300" w:firstLine="599"/>
        <w:spacing w:after="0" w:line="282" w:lineRule="auto"/>
        <w:rPr>
          <w:sz w:val="20"/>
          <w:szCs w:val="20"/>
          <w:color w:val="auto"/>
        </w:rPr>
      </w:pPr>
      <w:r>
        <w:rPr>
          <w:rFonts w:ascii="Times New Roman" w:cs="Times New Roman" w:eastAsia="Times New Roman" w:hAnsi="Times New Roman"/>
          <w:sz w:val="18"/>
          <w:szCs w:val="18"/>
          <w:color w:val="auto"/>
        </w:rPr>
        <w:t>All noncancelable operating leases have remaining terms of less than one year. Future payments for these noncancelable operating leases for the remainder of the current fiscal year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88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7"/>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 of)</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r>
      <w:tr>
        <w:trPr>
          <w:trHeight w:val="23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1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w:t>
            </w:r>
          </w:p>
        </w:tc>
      </w:tr>
      <w:tr>
        <w:trPr>
          <w:trHeight w:val="247"/>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8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00" w:type="dxa"/>
            <w:vAlign w:val="bottom"/>
            <w:shd w:val="clear" w:color="auto" w:fill="CFF0FC"/>
          </w:tcPr>
          <w:p>
            <w:pPr>
              <w:spacing w:after="0"/>
              <w:rPr>
                <w:sz w:val="20"/>
                <w:szCs w:val="20"/>
                <w:color w:val="auto"/>
              </w:rPr>
            </w:pPr>
          </w:p>
        </w:tc>
        <w:tc>
          <w:tcPr>
            <w:tcW w:w="1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7"/>
        </w:trPr>
        <w:tc>
          <w:tcPr>
            <w:tcW w:w="8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0" w:type="dxa"/>
            <w:vAlign w:val="bottom"/>
            <w:shd w:val="clear" w:color="auto" w:fill="CFF0FC"/>
          </w:tcPr>
          <w:p>
            <w:pPr>
              <w:spacing w:after="0"/>
              <w:rPr>
                <w:sz w:val="20"/>
                <w:szCs w:val="20"/>
                <w:color w:val="auto"/>
              </w:rPr>
            </w:pPr>
          </w:p>
        </w:tc>
        <w:tc>
          <w:tcPr>
            <w:tcW w:w="1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76"/>
        </w:trPr>
        <w:tc>
          <w:tcPr>
            <w:tcW w:w="8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and 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ALS Therapy Development Foundation, Inc. License Agreement</w:t>
      </w:r>
    </w:p>
    <w:p>
      <w:pPr>
        <w:spacing w:after="0" w:line="119" w:lineRule="exact"/>
        <w:rPr>
          <w:sz w:val="20"/>
          <w:szCs w:val="20"/>
          <w:color w:val="auto"/>
        </w:rPr>
      </w:pPr>
    </w:p>
    <w:p>
      <w:pPr>
        <w:ind w:right="180" w:firstLine="599"/>
        <w:spacing w:after="0" w:line="261" w:lineRule="auto"/>
        <w:rPr>
          <w:sz w:val="20"/>
          <w:szCs w:val="20"/>
          <w:color w:val="auto"/>
        </w:rPr>
      </w:pPr>
      <w:r>
        <w:rPr>
          <w:rFonts w:ascii="Times New Roman" w:cs="Times New Roman" w:eastAsia="Times New Roman" w:hAnsi="Times New Roman"/>
          <w:sz w:val="18"/>
          <w:szCs w:val="18"/>
          <w:color w:val="auto"/>
        </w:rPr>
        <w:t>In May 2015, Anelixis executed a License Agreement (the “Agreement”), which is an exclusive patent rights agreement with ALS Therapy Development Foundation, Inc. (“ALS TDI”) for certain patents and “know-how” of ALS TDI. This Agreement continues until the licensee terminates the agreement with ninety days written notice. The Agreement requires license fees payable to ALS TDI, subject to the achievement of certain milestones and other conditions.</w:t>
      </w:r>
    </w:p>
    <w:p>
      <w:pPr>
        <w:spacing w:after="0" w:line="180" w:lineRule="exact"/>
        <w:rPr>
          <w:sz w:val="20"/>
          <w:szCs w:val="20"/>
          <w:color w:val="auto"/>
        </w:rPr>
      </w:pPr>
    </w:p>
    <w:p>
      <w:pPr>
        <w:jc w:val="both"/>
        <w:ind w:right="120" w:firstLine="599"/>
        <w:spacing w:after="0" w:line="261" w:lineRule="auto"/>
        <w:rPr>
          <w:sz w:val="20"/>
          <w:szCs w:val="20"/>
          <w:color w:val="auto"/>
        </w:rPr>
      </w:pPr>
      <w:r>
        <w:rPr>
          <w:rFonts w:ascii="Times New Roman" w:cs="Times New Roman" w:eastAsia="Times New Roman" w:hAnsi="Times New Roman"/>
          <w:sz w:val="18"/>
          <w:szCs w:val="18"/>
          <w:color w:val="auto"/>
        </w:rPr>
        <w:t>The first and second milestones of the Agreement are the dosing of the first subjects in a first toxicity study in non-human primates and the dosing of the first patient in a Phase I Clinical Trial, respectively. Both of these milestones were achieved as of December 31, 2018 and 2017. The fee due for the achievement of these milestones was $1.0 million each. During 2018 and 2017, Anelixis issued $1.0 million worth of its common stock in lieu of making a cash payment. There were no milestones achieved during the nine months ended September 30, 2024 or 2023.</w:t>
      </w:r>
    </w:p>
    <w:p>
      <w:pPr>
        <w:spacing w:after="0" w:line="180" w:lineRule="exact"/>
        <w:rPr>
          <w:sz w:val="20"/>
          <w:szCs w:val="20"/>
          <w:color w:val="auto"/>
        </w:rPr>
      </w:pPr>
    </w:p>
    <w:p>
      <w:pPr>
        <w:ind w:right="260" w:firstLine="599"/>
        <w:spacing w:after="0" w:line="266" w:lineRule="auto"/>
        <w:rPr>
          <w:sz w:val="20"/>
          <w:szCs w:val="20"/>
          <w:color w:val="auto"/>
        </w:rPr>
      </w:pPr>
      <w:r>
        <w:rPr>
          <w:rFonts w:ascii="Times New Roman" w:cs="Times New Roman" w:eastAsia="Times New Roman" w:hAnsi="Times New Roman"/>
          <w:sz w:val="18"/>
          <w:szCs w:val="18"/>
          <w:color w:val="auto"/>
        </w:rPr>
        <w:t>The Agreement was amended and restated in February 2020, and a first amendment to the restated license agreement was executed in September 2020. As amended in September 2020, the remaining milestone payments for a first licensed product total $6.0 million. In the event that the Company develops a second licensed product, the Company is obligated to pay up to $2.5 million in additional milestone payments.</w:t>
      </w:r>
    </w:p>
    <w:p>
      <w:pPr>
        <w:spacing w:after="0" w:line="176" w:lineRule="exact"/>
        <w:rPr>
          <w:sz w:val="20"/>
          <w:szCs w:val="20"/>
          <w:color w:val="auto"/>
        </w:rPr>
      </w:pPr>
    </w:p>
    <w:p>
      <w:pPr>
        <w:ind w:right="280" w:firstLine="599"/>
        <w:spacing w:after="0" w:line="266" w:lineRule="auto"/>
        <w:rPr>
          <w:sz w:val="20"/>
          <w:szCs w:val="20"/>
          <w:color w:val="auto"/>
        </w:rPr>
      </w:pPr>
      <w:r>
        <w:rPr>
          <w:rFonts w:ascii="Times New Roman" w:cs="Times New Roman" w:eastAsia="Times New Roman" w:hAnsi="Times New Roman"/>
          <w:sz w:val="18"/>
          <w:szCs w:val="18"/>
          <w:color w:val="auto"/>
        </w:rPr>
        <w:t>In addition to the milestone payments, the Company is required to pay ALS TDI an amended annual license maintenance fee of $0.1 million beginning on the earlier of January 1, 2022, the Company’s first sublicense, or change in control, as defined in the Agreement. The Company has made a $0.1 million annual license maintenance fee each year since 2022.</w:t>
      </w:r>
    </w:p>
    <w:p>
      <w:pPr>
        <w:spacing w:after="0" w:line="176" w:lineRule="exact"/>
        <w:rPr>
          <w:sz w:val="20"/>
          <w:szCs w:val="20"/>
          <w:color w:val="auto"/>
        </w:rPr>
      </w:pPr>
    </w:p>
    <w:p>
      <w:pPr>
        <w:jc w:val="both"/>
        <w:ind w:right="200" w:firstLine="599"/>
        <w:spacing w:after="0" w:line="261" w:lineRule="auto"/>
        <w:rPr>
          <w:sz w:val="20"/>
          <w:szCs w:val="20"/>
          <w:color w:val="auto"/>
        </w:rPr>
      </w:pPr>
      <w:r>
        <w:rPr>
          <w:rFonts w:ascii="Times New Roman" w:cs="Times New Roman" w:eastAsia="Times New Roman" w:hAnsi="Times New Roman"/>
          <w:sz w:val="18"/>
          <w:szCs w:val="18"/>
          <w:color w:val="auto"/>
        </w:rPr>
        <w:t>Furthermore, the Company is required to pay ALS TDI fees based on reaching certain levels of annual net sales of any product produced with the patent rights. A royalty in the low single digits will be due on aggregate net sales. Upon the first calendar year of reaching $500.0 million in aggregate net sales, the Company will be required to pay ALS TDI a one-time milestone payment of $15.0 million. Upon the first calendar year of reaching $1.0 billion in aggregate net sales, the Company is obligated to pay ALS TDI a one-time milestone payment of $30.0 million.</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Lonza Sales AG Inc. License Agreement</w:t>
      </w:r>
    </w:p>
    <w:p>
      <w:pPr>
        <w:spacing w:after="0" w:line="119"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In September 2018, Anelixis executed a License Agreement (the “Lonza Agreement”), which is a manufacturing know-how rights agreement with Lonza Sales AG Inc. (“Lonza”) for the use of certain processes and know-how related to the manufacture of tegoprubart. The Lonza Agreement continues until the later of the last Valid Claim (as defined therein) or ten years from the First Commercial Sale of tegoprubart, as defined and subject to the conditions therein. A royalty in the low single digits will be due on aggregate net sales of tegoprubart that is manufactured by Lonza or any other third-party or licensee.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eGenesis, Inc. Collaboration Agreement</w:t>
      </w:r>
    </w:p>
    <w:p>
      <w:pPr>
        <w:spacing w:after="0" w:line="119"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In September 2022, and subsequently amended in January 2023, Eledon executed a non-exclusive collaborative research agreement with eGenesis, Inc. (the “eGenesis Agreement”), under which eGenesis will gain access to tegoprubart for eGenesis’ ongoing preclinical research and development xenotransplant studies of human-compatible organs and cells for the treatment of organ failure. eGenesis will pay Eledon for supplies of tegoprubart based on the number of study days per animal needed for the eGenesis preclinical xenotransplant studies. The eGenesis agreement continues until September 2025, unless terminated earlier by either party.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not a party to or the subject of any claim or lawsuit that individually or in the aggregate is anticipated to have a material effect on the Company’s results of operations, financial condition or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480" w:firstLine="599"/>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Management is not aware of any contingent liabilities requiring accrual at September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has 5,000,000 authorized shares of preferred stock with a par value of $0.001 per share:</w:t>
      </w:r>
    </w:p>
    <w:p>
      <w:pPr>
        <w:spacing w:after="0" w:line="124" w:lineRule="exact"/>
        <w:rPr>
          <w:sz w:val="20"/>
          <w:szCs w:val="20"/>
          <w:color w:val="auto"/>
        </w:rPr>
      </w:pPr>
    </w:p>
    <w:p>
      <w:pPr>
        <w:ind w:left="1020" w:right="120" w:hanging="503"/>
        <w:spacing w:after="0" w:line="233"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515,000 shares designated; 110,086 shares issued and outstanding, respectively, at each of September 30, 2024 and December 31, 2023; and</w:t>
      </w:r>
    </w:p>
    <w:p>
      <w:pPr>
        <w:spacing w:after="0" w:line="91"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X non-voting convertible preferred stock, 10,000 shares designated; 4,422 shares issued and outstanding, respectively, at each of September 30, 2024 and December 31, 2023.</w:t>
      </w:r>
    </w:p>
    <w:p>
      <w:pPr>
        <w:spacing w:after="0" w:line="169" w:lineRule="exact"/>
        <w:rPr>
          <w:sz w:val="20"/>
          <w:szCs w:val="20"/>
          <w:color w:val="auto"/>
        </w:rPr>
      </w:pPr>
    </w:p>
    <w:p>
      <w:pPr>
        <w:ind w:right="40" w:firstLine="599"/>
        <w:spacing w:after="0" w:line="236" w:lineRule="auto"/>
        <w:rPr>
          <w:sz w:val="20"/>
          <w:szCs w:val="20"/>
          <w:color w:val="auto"/>
        </w:rPr>
      </w:pPr>
      <w:r>
        <w:rPr>
          <w:rFonts w:ascii="Times New Roman" w:cs="Times New Roman" w:eastAsia="Times New Roman" w:hAnsi="Times New Roman"/>
          <w:sz w:val="18"/>
          <w:szCs w:val="18"/>
          <w:color w:val="auto"/>
        </w:rPr>
        <w:t>Each share of the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 X non-voting convertible preferred stock (the “Preferred Stock”) is convertible into 55.5556 shares of common stock, at the option of the holder at any time, subject to certain limitations, including, that the holder will be prohibited from converting the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Preferred Stock, respectively. The holder of the Preferred Stock is entitled to receive dividends on shares of the Preferred Stock equal (on an as-if-converted-to-common-stock basis and without regard to any beneficial ownership limitations) to and in the same form as dividends actually paid on shares of the common stock. No other dividends will be paid on shares of the Preferred Stock. In the event of any liquidation,</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21" w:name="page22"/>
    <w:bookmarkEnd w:id="21"/>
    <w:p>
      <w:pPr>
        <w:ind w:right="160"/>
        <w:spacing w:after="0" w:line="261" w:lineRule="auto"/>
        <w:rPr>
          <w:sz w:val="20"/>
          <w:szCs w:val="20"/>
          <w:color w:val="auto"/>
        </w:rPr>
      </w:pPr>
      <w:r>
        <w:rPr>
          <w:rFonts w:ascii="Times New Roman" w:cs="Times New Roman" w:eastAsia="Times New Roman" w:hAnsi="Times New Roman"/>
          <w:sz w:val="18"/>
          <w:szCs w:val="18"/>
          <w:color w:val="auto"/>
        </w:rPr>
        <w:t>dissolution or winding up, the holder of the Preferred Stock will be entitled to receive out of the assets, whether capital or surplus, the same amount that a holder of common stock would receive if the Preferred Stock were fully converted to common stock, which amounts shall be paid pari passu with all holders of common stock. Shares of the Preferred Stock will generally have no voting rights, except as required by law and except that consent of a majority of the holders of either series of outstanding Preferred Stock will be required to amend the terms of such series.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Securities Purchase Agreement</w:t>
      </w:r>
    </w:p>
    <w:p>
      <w:pPr>
        <w:spacing w:after="0" w:line="121"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On April 28, 2023, the Company entered into the 2023 Securities Purchase Agreement with certain investors, pursuant to which the Company agreed to issue and sell to the investors in the 2023 Private Placement (i) in an initial closing, (a) an aggregate of 15,151,518 shares (the “Shares”) of the Company’s common stock, $0.001 par value per share, or pre-funded warrants in lieu thereof (the “Pre-Funded Warrants”), and (b) common stock warrants exercisable into an aggregate of 15,151,518 shares of common stock (or Pre-Funded Warrants in lieu thereof) (the “Common Warrants” and, together with the Pre-Funded Warrants, the “Warrants”); (ii) in the Second Closing, upon the satisfaction or waiver of specified conditions set forth in the 2023 Securities Purchase Agreement, an aggregate of 20,202,024 shares of common stock (or Pre-Funded Warrants); and (iii) in the Third Closing, upon the satisfaction or waiver of specified conditions set forth in the 2023 Securities Purchase Agreement, an aggregate of 25,252,530 shares of common stock (or Pre-Funded Warrants), in each case subject to customary adjustments as provided in the 2023 Securities Purchase Agreement, Pre-Funded Warrant or Common Warrant, as applicable. Each Common Warrant has an exercise price of $3.00 per share and expires five years after issuance. The Pre-Funded Warrants are exercisable immediately and until exercised in full, with an exercise price of $0.001 per share.</w:t>
      </w:r>
    </w:p>
    <w:p>
      <w:pPr>
        <w:spacing w:after="0" w:line="194"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The Pre-Funded Warrants and Common Warrants are subject to specified beneficial ownership limitations, which are generally set at 9.99% of the total common stock then issued and outstanding immediately following the exercise of such warrants, and provided that any beneficial ownership limitation may not exceed 19.99% unless otherwise permitted. The Shares, the Warrants, and the shares of common stock issuable upon the exercise of the Warrants, have not been registered under the Securities Act of 1933, as amended, and were offered pursuant to the exemption from registration provided in Section 4(a)(2) under the Securities Act of 1933, as amended, and Rule 506(b) promulgated thereunder.</w:t>
      </w:r>
    </w:p>
    <w:p>
      <w:pPr>
        <w:spacing w:after="0" w:line="183" w:lineRule="exact"/>
        <w:rPr>
          <w:sz w:val="20"/>
          <w:szCs w:val="20"/>
          <w:color w:val="auto"/>
        </w:rPr>
      </w:pPr>
    </w:p>
    <w:p>
      <w:pPr>
        <w:ind w:right="380" w:firstLine="599"/>
        <w:spacing w:after="0" w:line="312" w:lineRule="auto"/>
        <w:rPr>
          <w:sz w:val="20"/>
          <w:szCs w:val="20"/>
          <w:color w:val="auto"/>
        </w:rPr>
      </w:pPr>
      <w:r>
        <w:rPr>
          <w:rFonts w:ascii="Times New Roman" w:cs="Times New Roman" w:eastAsia="Times New Roman" w:hAnsi="Times New Roman"/>
          <w:sz w:val="17"/>
          <w:szCs w:val="17"/>
          <w:color w:val="auto"/>
        </w:rPr>
        <w:t>On May 5, 2023, the initial closing occurred and the Company received $35.0 million, or net proceeds of approximately $33.0 million after deducting offering costs, in exchange for 8,730,168 shares of common stock and Pre-Funded Warrants to purchase 6,421,350 shares of common stock.</w:t>
      </w:r>
    </w:p>
    <w:p>
      <w:pPr>
        <w:spacing w:after="0" w:line="140" w:lineRule="exact"/>
        <w:rPr>
          <w:sz w:val="20"/>
          <w:szCs w:val="20"/>
          <w:color w:val="auto"/>
        </w:rPr>
      </w:pPr>
    </w:p>
    <w:p>
      <w:pPr>
        <w:ind w:right="300" w:firstLine="599"/>
        <w:spacing w:after="0" w:line="282" w:lineRule="auto"/>
        <w:rPr>
          <w:sz w:val="20"/>
          <w:szCs w:val="20"/>
          <w:color w:val="auto"/>
        </w:rPr>
      </w:pPr>
      <w:r>
        <w:rPr>
          <w:rFonts w:ascii="Times New Roman" w:cs="Times New Roman" w:eastAsia="Times New Roman" w:hAnsi="Times New Roman"/>
          <w:sz w:val="18"/>
          <w:szCs w:val="18"/>
          <w:color w:val="auto"/>
        </w:rPr>
        <w:t>On July 8, 2024, the Second Closing occurred and the Company received gross proceeds of $2.1 million, or net proceeds of approximately $2.0 million after deducting offering costs, in exchange for 909,088 shares of common stock.</w:t>
      </w:r>
    </w:p>
    <w:p>
      <w:pPr>
        <w:spacing w:after="0" w:line="162" w:lineRule="exact"/>
        <w:rPr>
          <w:sz w:val="20"/>
          <w:szCs w:val="20"/>
          <w:color w:val="auto"/>
        </w:rPr>
      </w:pPr>
    </w:p>
    <w:p>
      <w:pPr>
        <w:ind w:right="680" w:firstLine="599"/>
        <w:spacing w:after="0" w:line="282" w:lineRule="auto"/>
        <w:rPr>
          <w:sz w:val="20"/>
          <w:szCs w:val="20"/>
          <w:color w:val="auto"/>
        </w:rPr>
      </w:pPr>
      <w:r>
        <w:rPr>
          <w:rFonts w:ascii="Times New Roman" w:cs="Times New Roman" w:eastAsia="Times New Roman" w:hAnsi="Times New Roman"/>
          <w:sz w:val="18"/>
          <w:szCs w:val="18"/>
          <w:color w:val="auto"/>
        </w:rPr>
        <w:t>On September 30, 2024 and October 1, 2024, the Third Closing occurred and the Company received gross proceeds of $4.0 million, or net proceeds of approximately $3.8 million after deducting offering costs, in exchange for 1,727,400 shares of common stock.</w:t>
      </w:r>
    </w:p>
    <w:p>
      <w:pPr>
        <w:spacing w:after="0" w:line="162"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In connection with the 2023 Private Placement, the Company filed on May 18, 2023, a registration statement on Form S-3 (the “2023 Registration Statement”) with the SEC to register for resale the Shares and the shares of common stock issuable upon the exercise of the Warrants. The 2023 Registration Statement became effective on June 2, 2023.</w:t>
      </w:r>
    </w:p>
    <w:p>
      <w:pPr>
        <w:spacing w:after="0" w:line="176"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In August 2024, the Company concluded that the Common Warrants, and the potential issuance of Pre-Funded Warrants in lieu of additional shares of common stock in the Second and Third Closings (the “Subsequent Closing Warrants”) do not meet the conditions to be classified as equity instruments under ASC 815-40 and must instead be recorded as liabilities on the Company’s consolidated balance sheets at their fair value and remeasured at fair value for each subsequent reporting period.</w:t>
      </w:r>
    </w:p>
    <w:p>
      <w:pPr>
        <w:spacing w:after="0" w:line="180" w:lineRule="exact"/>
        <w:rPr>
          <w:sz w:val="20"/>
          <w:szCs w:val="20"/>
          <w:color w:val="auto"/>
        </w:rPr>
      </w:pPr>
    </w:p>
    <w:p>
      <w:pPr>
        <w:ind w:right="60" w:firstLine="599"/>
        <w:spacing w:after="0" w:line="282" w:lineRule="auto"/>
        <w:rPr>
          <w:sz w:val="20"/>
          <w:szCs w:val="20"/>
          <w:color w:val="auto"/>
        </w:rPr>
      </w:pPr>
      <w:r>
        <w:rPr>
          <w:rFonts w:ascii="Times New Roman" w:cs="Times New Roman" w:eastAsia="Times New Roman" w:hAnsi="Times New Roman"/>
          <w:sz w:val="18"/>
          <w:szCs w:val="18"/>
          <w:color w:val="auto"/>
        </w:rPr>
        <w:t>The valuation of the Common Warrants and the Subsequent Closing Warrants is adjusted to fair value (Level 3) at each balance sheet date until the Common Warrants and the Subsequent Closing Warrants are settled or expired.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8"/>
          <w:szCs w:val="18"/>
          <w:color w:val="auto"/>
        </w:rPr>
        <w:t>The following table presents the assumptions used in the Black-Scholes option pricing model to determine the fair value of warrants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880" w:type="dxa"/>
            <w:vAlign w:val="bottom"/>
            <w:tcBorders>
              <w:bottom w:val="single" w:sz="8" w:color="auto"/>
            </w:tcBorders>
            <w:gridSpan w:val="2"/>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3.58%</w:t>
            </w:r>
          </w:p>
        </w:tc>
        <w:tc>
          <w:tcPr>
            <w:tcW w:w="5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- 3.88%</w:t>
            </w:r>
          </w:p>
        </w:tc>
      </w:tr>
      <w:tr>
        <w:trPr>
          <w:trHeight w:val="23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- 98.39%</w:t>
            </w:r>
          </w:p>
        </w:tc>
        <w:tc>
          <w:tcPr>
            <w:tcW w:w="5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- 94.28%</w:t>
            </w: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- 5.25</w:t>
            </w:r>
          </w:p>
        </w:tc>
        <w:tc>
          <w:tcPr>
            <w:tcW w:w="5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3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Securities Purchase Agreement</w:t>
      </w:r>
    </w:p>
    <w:p>
      <w:pPr>
        <w:spacing w:after="0" w:line="121"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On May 6, 2024, the Company entered into a Securities Purchase Agreement (the “2024 Securities Purchase Agreement”) with certain institutional and accredited investors, pursuant to which the Company agreed to issue and sell to the investors in a private placement (the “2024 Private Placement”) an aggregate of 13,110,484 shares (the “2024 Shares”) of the Company’s common stock, $0.001 par value per share at a price of $2.37 per share, and pre-funded warrants (the “2024 Pre-Funded Warrants”) at a price of $2.369 per underlying share, which are exercisable to purchase 7,989,516 shares of common stock at an exercise price of $0.001 per share. The 2024 Pre-Funded Warrants were issued in lieu of shares of common stock and are exercisable immediately and until exercised in full. The 2024 Pre-Funded Warrants are subject to specified beneficial ownership limitations (equal to 4.99% or 9.99% as determined by holder of each such warrant) of the total common stock then issued and outstanding immediately following the exercise of such warrants, and provided that any beneficial ownership limitation may not exceed 19.99% unless otherwise permitted.</w:t>
      </w:r>
    </w:p>
    <w:p>
      <w:pPr>
        <w:spacing w:after="0" w:line="192" w:lineRule="exact"/>
        <w:rPr>
          <w:sz w:val="20"/>
          <w:szCs w:val="20"/>
          <w:color w:val="auto"/>
        </w:rPr>
      </w:pPr>
    </w:p>
    <w:p>
      <w:pPr>
        <w:ind w:right="100" w:firstLine="599"/>
        <w:spacing w:after="0" w:line="258" w:lineRule="auto"/>
        <w:rPr>
          <w:sz w:val="20"/>
          <w:szCs w:val="20"/>
          <w:color w:val="auto"/>
        </w:rPr>
      </w:pPr>
      <w:r>
        <w:rPr>
          <w:rFonts w:ascii="Times New Roman" w:cs="Times New Roman" w:eastAsia="Times New Roman" w:hAnsi="Times New Roman"/>
          <w:sz w:val="18"/>
          <w:szCs w:val="18"/>
          <w:color w:val="auto"/>
        </w:rPr>
        <w:t>The 2024 Pre-Funded Warrants were classified as a component of permanent stockholders’ equity within additional paid-in-capital. The 2024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2024 Pre-Funded Warrants do not provide any guarantee of value or return.</w:t>
      </w:r>
    </w:p>
    <w:p>
      <w:pPr>
        <w:spacing w:after="0" w:line="183" w:lineRule="exact"/>
        <w:rPr>
          <w:sz w:val="20"/>
          <w:szCs w:val="20"/>
          <w:color w:val="auto"/>
        </w:rPr>
      </w:pPr>
    </w:p>
    <w:p>
      <w:pPr>
        <w:ind w:right="140" w:firstLine="599"/>
        <w:spacing w:after="0" w:line="266" w:lineRule="auto"/>
        <w:rPr>
          <w:sz w:val="20"/>
          <w:szCs w:val="20"/>
          <w:color w:val="auto"/>
        </w:rPr>
      </w:pPr>
      <w:r>
        <w:rPr>
          <w:rFonts w:ascii="Times New Roman" w:cs="Times New Roman" w:eastAsia="Times New Roman" w:hAnsi="Times New Roman"/>
          <w:sz w:val="18"/>
          <w:szCs w:val="18"/>
          <w:color w:val="auto"/>
        </w:rPr>
        <w:t>The 2024 Private Placement resulted in gross proceeds to the Company of $50.0 million, or net proceeds of approximately $48.1 million after deducting offering costs. The Company intends to use the net proceeds from the 2024 Private Placement to fund pre-commercial activities for its products and general corporate purposes.</w:t>
      </w:r>
    </w:p>
    <w:p>
      <w:pPr>
        <w:spacing w:after="0" w:line="176"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In connection with the 2024 Private Placement, the Company filed on May 24, 2024, a registration statement on Form S-3 (the “2024 Registration Statement”) with the SEC to register for resale the Shares and the shares of common stock issuable upon the exercise of the Warrants. The 2024 Registration Statement became effective on June 5,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Distribution Agreement</w:t>
      </w:r>
    </w:p>
    <w:p>
      <w:pPr>
        <w:spacing w:after="0" w:line="12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On September 20, 2024, the Company entered into an Open Market Sale Agreement (the “Sales Agreement”) with Guggenheim Securities, LLC (“Guggenheim Securities”) to sell shares of the Company’s common stock, par value $0.001 per share (the “Common Stock”), having aggregate sales proceeds of up to $75.0 million, from time to time, through an “at the market” equity offering program under which Guggenheim Securities will act as sales agent. In connection with the Sales Agreement, the Company filed on September 20, 2024 a registration statement on Form S-3 containing a prospectus and prospectus supplement (the “ATM Registration Statement”) with the SEC. The ATM Registration Statement became effective on October 2, 2024. The Company has not sold any shares under the Sales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Conversion Agreement of Non-Voting Convertible Preferred Stock</w:t>
      </w:r>
    </w:p>
    <w:p>
      <w:pPr>
        <w:spacing w:after="0" w:line="121" w:lineRule="exact"/>
        <w:rPr>
          <w:sz w:val="20"/>
          <w:szCs w:val="20"/>
          <w:color w:val="auto"/>
        </w:rPr>
      </w:pPr>
    </w:p>
    <w:p>
      <w:pPr>
        <w:ind w:firstLine="599"/>
        <w:spacing w:after="0" w:line="230" w:lineRule="auto"/>
        <w:rPr>
          <w:sz w:val="20"/>
          <w:szCs w:val="20"/>
          <w:color w:val="auto"/>
        </w:rPr>
      </w:pPr>
      <w:r>
        <w:rPr>
          <w:rFonts w:ascii="Times New Roman" w:cs="Times New Roman" w:eastAsia="Times New Roman" w:hAnsi="Times New Roman"/>
          <w:sz w:val="18"/>
          <w:szCs w:val="18"/>
          <w:color w:val="auto"/>
        </w:rPr>
        <w:t>On May 16, 2023, Cormorant Global Healthcare Master Fund LP provided notice to convert (i) 1,782 shares of Series X Non-Voting Convertible Preferred Stock for 99,000 shares of common stock in accordance with the Certificate of Designation of Preferences, Rights and Limitations of the Series X Non-Voting Convertible Preferred Stock, and (ii) 7,883.586 shares of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for 437,977 shares of common stock in accordance with the Certificate of Designation of Preferences, Rights and Limitations of the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The conversion was completed on May 23, 2023.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 from 2023 Securities Purchase Agreement</w:t>
      </w:r>
    </w:p>
    <w:p>
      <w:pPr>
        <w:spacing w:after="0" w:line="121" w:lineRule="exact"/>
        <w:rPr>
          <w:sz w:val="20"/>
          <w:szCs w:val="20"/>
          <w:color w:val="auto"/>
        </w:rPr>
      </w:pPr>
    </w:p>
    <w:p>
      <w:pPr>
        <w:ind w:right="160" w:firstLine="599"/>
        <w:spacing w:after="0" w:line="266" w:lineRule="auto"/>
        <w:rPr>
          <w:sz w:val="20"/>
          <w:szCs w:val="20"/>
          <w:color w:val="auto"/>
        </w:rPr>
      </w:pPr>
      <w:r>
        <w:rPr>
          <w:rFonts w:ascii="Times New Roman" w:cs="Times New Roman" w:eastAsia="Times New Roman" w:hAnsi="Times New Roman"/>
          <w:sz w:val="18"/>
          <w:szCs w:val="18"/>
          <w:color w:val="auto"/>
        </w:rPr>
        <w:t>On July 10, 2023, Armistice Capital Master Fund Ltd. (the “Exercising Stockholder”) exercised Pre-Funded Warrants to purchase 501,197 shares of common stock at an exercise price of $0.001 per share, which were issued in conjunction with the 2023 Securities Purchase Agreement. On July 14, 2023, the Company issued 501,197 shares of common stock to the Exercising Stockholder in accordance with such exercise.</w:t>
      </w:r>
    </w:p>
    <w:p>
      <w:pPr>
        <w:spacing w:after="0" w:line="176" w:lineRule="exact"/>
        <w:rPr>
          <w:sz w:val="20"/>
          <w:szCs w:val="20"/>
          <w:color w:val="auto"/>
        </w:rPr>
      </w:pPr>
    </w:p>
    <w:p>
      <w:pPr>
        <w:jc w:val="both"/>
        <w:ind w:right="360" w:firstLine="599"/>
        <w:spacing w:after="0" w:line="266" w:lineRule="auto"/>
        <w:rPr>
          <w:sz w:val="20"/>
          <w:szCs w:val="20"/>
          <w:color w:val="auto"/>
        </w:rPr>
      </w:pPr>
      <w:r>
        <w:rPr>
          <w:rFonts w:ascii="Times New Roman" w:cs="Times New Roman" w:eastAsia="Times New Roman" w:hAnsi="Times New Roman"/>
          <w:sz w:val="18"/>
          <w:szCs w:val="18"/>
          <w:color w:val="auto"/>
        </w:rPr>
        <w:t>On November 2, 2023, the Exercising Stockholder exercised Pre-Funded Warrants to purchase 653,000 shares of common stock at an exercise price of $0.001 per share, which were issued in conjunction with the 2023 Securities Purchase Agreement. On November 6, 2023, the Company issued 653,000 shares of common stock to the Exercising Stockholder in accordance with such exercise.</w:t>
      </w:r>
    </w:p>
    <w:p>
      <w:pPr>
        <w:spacing w:after="0" w:line="176"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On January 30, 2024, the Exercising Stockholder exercised Pre-Funded Warrants to purchase 600,000 shares of common stock at an exercise price of $0.001 per share, which were issued in conjunction with the 2023 Securities Purchase Agreement. On January 30, 2024, the Company issued 600,000 shares of common stock to the Exercising Stockholder in accordance with such exercise.</w:t>
      </w:r>
    </w:p>
    <w:p>
      <w:pPr>
        <w:spacing w:after="0" w:line="176"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On May 7, 2024, the Exercising Stockholder exercised Pre-Funded Warrants to purchase 583,000 shares of common stock at an exercise price of $0.001 per share, which were issued in conjunction with the 2023 Securities Purchase Agreement. On May 9, 2024, the Company issued 583,000 shares of common stock to the Exercising Stockholder in accordance with such exercise.</w:t>
      </w:r>
    </w:p>
    <w:p>
      <w:pPr>
        <w:spacing w:after="0" w:line="176"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On July 11, 2024, the Exercising Stockholder exercised Pre-Funded Warrants to purchase 240,000 shares of common stock at an exercise price of $0.001 per share, which were issued in conjunction with the 2023 Securities Purchase Agreement. On July 11, 2024, the Company issued 240,000 shares of common stock to the Exercising Stockholder in accordance with such exercise.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460" w:firstLine="599"/>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28,121,237 warrants exercisable into common stock (after rounding for fractional shares and subject to beneficial ownership limitations).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warrants to purchase common stock activity: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Roll-Forward of Warrant Activity</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23"/>
        </w:trPr>
        <w:tc>
          <w:tcPr>
            <w:tcW w:w="3700" w:type="dxa"/>
            <w:vAlign w:val="bottom"/>
          </w:tcPr>
          <w:p>
            <w:pPr>
              <w:spacing w:after="0"/>
              <w:rPr>
                <w:sz w:val="19"/>
                <w:szCs w:val="19"/>
                <w:color w:val="auto"/>
              </w:rPr>
            </w:pP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Common Stock Warrants</w:t>
            </w:r>
          </w:p>
        </w:tc>
        <w:tc>
          <w:tcPr>
            <w:tcW w:w="180" w:type="dxa"/>
            <w:vAlign w:val="bottom"/>
          </w:tcPr>
          <w:p>
            <w:pPr>
              <w:spacing w:after="0"/>
              <w:rPr>
                <w:sz w:val="19"/>
                <w:szCs w:val="19"/>
                <w:color w:val="auto"/>
              </w:rPr>
            </w:pPr>
          </w:p>
        </w:tc>
        <w:tc>
          <w:tcPr>
            <w:tcW w:w="1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All Other Warrants</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15,151,518</w:t>
            </w:r>
          </w:p>
        </w:tc>
        <w:tc>
          <w:tcPr>
            <w:tcW w:w="1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5,776,270</w:t>
            </w:r>
          </w:p>
        </w:tc>
        <w:tc>
          <w:tcPr>
            <w:tcW w:w="19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636,514</w:t>
            </w:r>
          </w:p>
        </w:tc>
        <w:tc>
          <w:tcPr>
            <w:tcW w:w="19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21,564,302</w:t>
            </w: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7,989,516</w:t>
            </w:r>
          </w:p>
        </w:tc>
        <w:tc>
          <w:tcPr>
            <w:tcW w:w="140" w:type="dxa"/>
            <w:vAlign w:val="bottom"/>
          </w:tcPr>
          <w:p>
            <w:pPr>
              <w:spacing w:after="0"/>
              <w:rPr>
                <w:sz w:val="20"/>
                <w:szCs w:val="20"/>
                <w:color w:val="auto"/>
              </w:rPr>
            </w:pP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7,989,516</w:t>
            </w: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(1,423,000 )</w:t>
            </w: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(1,423,000 )</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Cancelled/Expired</w:t>
            </w: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(9,581 )</w:t>
            </w:r>
          </w:p>
        </w:tc>
        <w:tc>
          <w:tcPr>
            <w:tcW w:w="14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(9,581 )</w:t>
            </w:r>
          </w:p>
        </w:tc>
      </w:tr>
      <w:tr>
        <w:trPr>
          <w:trHeight w:val="277"/>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15,151,518</w:t>
            </w:r>
          </w:p>
        </w:tc>
        <w:tc>
          <w:tcPr>
            <w:tcW w:w="18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12,342,786</w:t>
            </w:r>
          </w:p>
        </w:tc>
        <w:tc>
          <w:tcPr>
            <w:tcW w:w="14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626,933</w:t>
            </w:r>
          </w:p>
        </w:tc>
        <w:tc>
          <w:tcPr>
            <w:tcW w:w="14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28,121,237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-24765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Warrants</w:t>
      </w:r>
    </w:p>
    <w:p>
      <w:pPr>
        <w:spacing w:after="0" w:line="128" w:lineRule="exact"/>
        <w:rPr>
          <w:sz w:val="20"/>
          <w:szCs w:val="20"/>
          <w:color w:val="auto"/>
        </w:rPr>
      </w:pPr>
    </w:p>
    <w:p>
      <w:pPr>
        <w:ind w:right="580" w:firstLine="599"/>
        <w:spacing w:after="0" w:line="227" w:lineRule="auto"/>
        <w:rPr>
          <w:sz w:val="20"/>
          <w:szCs w:val="20"/>
          <w:color w:val="auto"/>
        </w:rPr>
      </w:pPr>
      <w:r>
        <w:rPr>
          <w:rFonts w:ascii="Times New Roman" w:cs="Times New Roman" w:eastAsia="Times New Roman" w:hAnsi="Times New Roman"/>
          <w:sz w:val="18"/>
          <w:szCs w:val="18"/>
          <w:color w:val="auto"/>
        </w:rPr>
        <w:t>As of September 30, 2024, there were 50,207.419 warrants exercisable into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which are convertible into 2,789,301 shares of common stock (after rounding for fractional shares and subject to beneficial ownership conversion limitations).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4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Roll-Forward of Series X</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Non-</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Voting Convertible Preferred</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Warrant Activity</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50,207.419</w:t>
            </w: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4840" w:type="dxa"/>
            <w:vAlign w:val="bottom"/>
          </w:tcPr>
          <w:p>
            <w:pPr>
              <w:spacing w:after="0"/>
              <w:rPr>
                <w:sz w:val="20"/>
                <w:szCs w:val="20"/>
                <w:color w:val="auto"/>
              </w:rPr>
            </w:pPr>
          </w:p>
        </w:tc>
        <w:tc>
          <w:tcPr>
            <w:tcW w:w="24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4840" w:type="dxa"/>
            <w:vAlign w:val="bottom"/>
            <w:shd w:val="clear" w:color="auto" w:fill="CFF0FC"/>
          </w:tcPr>
          <w:p>
            <w:pPr>
              <w:spacing w:after="0"/>
              <w:rPr>
                <w:sz w:val="21"/>
                <w:szCs w:val="21"/>
                <w:color w:val="auto"/>
              </w:rPr>
            </w:pPr>
          </w:p>
        </w:tc>
        <w:tc>
          <w:tcPr>
            <w:tcW w:w="24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4840" w:type="dxa"/>
            <w:vAlign w:val="bottom"/>
          </w:tcPr>
          <w:p>
            <w:pPr>
              <w:spacing w:after="0"/>
              <w:rPr>
                <w:sz w:val="20"/>
                <w:szCs w:val="20"/>
                <w:color w:val="auto"/>
              </w:rPr>
            </w:pPr>
          </w:p>
        </w:tc>
        <w:tc>
          <w:tcPr>
            <w:tcW w:w="2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50,207.419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40" w:type="dxa"/>
            <w:vAlign w:val="bottom"/>
            <w:vMerge w:val="restart"/>
          </w:tcPr>
          <w:p>
            <w:pPr>
              <w:jc w:val="right"/>
              <w:ind w:right="3030"/>
              <w:spacing w:after="0"/>
              <w:rPr>
                <w:sz w:val="20"/>
                <w:szCs w:val="20"/>
                <w:color w:val="auto"/>
              </w:rPr>
            </w:pPr>
            <w:r>
              <w:rPr>
                <w:rFonts w:ascii="Times New Roman" w:cs="Times New Roman" w:eastAsia="Times New Roman" w:hAnsi="Times New Roman"/>
                <w:sz w:val="18"/>
                <w:szCs w:val="18"/>
                <w:color w:val="auto"/>
              </w:rPr>
              <w:t>24</w:t>
            </w: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recognizes compensation expense for all stock-based awards based on the grant-date estimated fair value.</w:t>
      </w:r>
    </w:p>
    <w:p>
      <w:pPr>
        <w:spacing w:after="0" w:line="225"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Company’s board of directors (the “Board”), the Company determined the expected life assumption using the simplified method as the starting point with an average period of twelve (12) months added to take into account the extended range of time of 12 to 18 months that vested stock options granted to Board members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Restricted Stock Units (“RSUs”) are measured and recognized based on the quoted market price of our common stock on the date of grant.</w:t>
      </w:r>
    </w:p>
    <w:p>
      <w:pPr>
        <w:spacing w:after="0" w:line="225" w:lineRule="exact"/>
        <w:rPr>
          <w:sz w:val="20"/>
          <w:szCs w:val="20"/>
          <w:color w:val="auto"/>
        </w:rPr>
      </w:pPr>
    </w:p>
    <w:p>
      <w:pPr>
        <w:ind w:right="160" w:firstLine="599"/>
        <w:spacing w:after="0" w:line="258" w:lineRule="auto"/>
        <w:rPr>
          <w:sz w:val="20"/>
          <w:szCs w:val="20"/>
          <w:color w:val="auto"/>
        </w:rPr>
      </w:pPr>
      <w:r>
        <w:rPr>
          <w:rFonts w:ascii="Times New Roman" w:cs="Times New Roman" w:eastAsia="Times New Roman" w:hAnsi="Times New Roman"/>
          <w:sz w:val="18"/>
          <w:szCs w:val="18"/>
          <w:color w:val="auto"/>
        </w:rPr>
        <w:t>On July 10, 2024, the Company held its Annual Meeting of Stockholders (the “Annual Meeting”). At the Annual Meeting, the Company’s stockholders approved an amendment to the Company's 2020 Long Term Incentive Plan (the “2020 Plan”). The 2020 Plan, as amended, (i) reflects an increase in the limit on the aggregate number of shares of the Company’s common stock that may be delivered pursuant to all awards granted under the 2020 Incentive Plan by an additional 3,500,000 shares so that the new aggregate share limit under the 2020 Plan is 17,960,000 shares, and (ii) extends the date through which the Company may grant new awards under the 2020 Plan from November 15, 2030 to April 28, 2034.</w:t>
      </w:r>
    </w:p>
    <w:p>
      <w:pPr>
        <w:spacing w:after="0" w:line="183"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On May 1, 2023, the Company issued stock option awards to its employees with both time-based and performance-based vesting requirements, totaling 7,381,857 stock options, with 1,476,372 of the granted stock options subject to the Company’s customary time-based vesting schedule. The remaining 5,905,485 stock options granted are subject to both customary time-based vesting requirements and performance-based vesting requirements that are based on the same clinical development milestones applicable to the Second and Third Closings of the 2023 Private Placement as specified in the 2023 Securities Purchase Agreement.</w:t>
      </w:r>
    </w:p>
    <w:p>
      <w:pPr>
        <w:spacing w:after="0" w:line="183"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In December 2023, the Company amended the performance-based vesting requirements with its named executive officers and other employees that upon the Second Closing and Third Closing, a full or prorated amount of each closing installment shall vest based on the percentage of funding received relative to the total funding opportunity represented by the investors’ Second Closing and Third Closing subscription amounts. On June 13, 2024, the performance-based vesting requirement based on the milestones applicable to the Second Closing were satisfied, and 1,980,952 stock options were issued.</w:t>
      </w:r>
    </w:p>
    <w:p>
      <w:pPr>
        <w:spacing w:after="0" w:line="180" w:lineRule="exact"/>
        <w:rPr>
          <w:sz w:val="20"/>
          <w:szCs w:val="20"/>
          <w:color w:val="auto"/>
        </w:rPr>
      </w:pPr>
    </w:p>
    <w:p>
      <w:pPr>
        <w:ind w:right="200" w:firstLine="599"/>
        <w:spacing w:after="0" w:line="266" w:lineRule="auto"/>
        <w:rPr>
          <w:sz w:val="20"/>
          <w:szCs w:val="20"/>
          <w:color w:val="auto"/>
        </w:rPr>
      </w:pPr>
      <w:r>
        <w:rPr>
          <w:rFonts w:ascii="Times New Roman" w:cs="Times New Roman" w:eastAsia="Times New Roman" w:hAnsi="Times New Roman"/>
          <w:sz w:val="18"/>
          <w:szCs w:val="18"/>
          <w:color w:val="auto"/>
        </w:rPr>
        <w:t>The 2014 Plan was closed to new grants following the initial approval of the 2020 Plan, and therefore, there were no shares reserved for issuance under the 2014 Plan as of September 30, 2024. The number of shares reserved for issuance under the 2020 Plan and ESPP was 6,388,742 and 24,077 shares, respectively, as of September 30, 2024.</w:t>
      </w:r>
    </w:p>
    <w:p>
      <w:pPr>
        <w:spacing w:after="0" w:line="176" w:lineRule="exact"/>
        <w:rPr>
          <w:sz w:val="20"/>
          <w:szCs w:val="20"/>
          <w:color w:val="auto"/>
        </w:rPr>
      </w:pPr>
    </w:p>
    <w:p>
      <w:pPr>
        <w:ind w:right="560" w:firstLine="59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recognized in our condensed consolidated statements of operations and comprehensive loss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940" w:type="dxa"/>
            <w:vAlign w:val="bottom"/>
          </w:tcPr>
          <w:p>
            <w:pPr>
              <w:spacing w:after="0"/>
              <w:rPr>
                <w:sz w:val="13"/>
                <w:szCs w:val="13"/>
                <w:color w:val="auto"/>
              </w:rPr>
            </w:pPr>
          </w:p>
        </w:tc>
      </w:tr>
      <w:tr>
        <w:trPr>
          <w:trHeight w:val="187"/>
        </w:trPr>
        <w:tc>
          <w:tcPr>
            <w:tcW w:w="4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940" w:type="dxa"/>
            <w:vAlign w:val="bottom"/>
            <w:tcBorders>
              <w:bottom w:val="single" w:sz="8" w:color="auto"/>
            </w:tcBorders>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388</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1,552</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1,173</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3,662</w:t>
            </w:r>
          </w:p>
        </w:tc>
      </w:tr>
      <w:tr>
        <w:trPr>
          <w:trHeight w:val="281"/>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1,783</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1,734</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6,540</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4,835</w:t>
            </w:r>
          </w:p>
        </w:tc>
      </w:tr>
      <w:tr>
        <w:trPr>
          <w:trHeight w:val="629"/>
        </w:trPr>
        <w:tc>
          <w:tcPr>
            <w:tcW w:w="466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-933450</wp:posOffset>
            </wp:positionV>
            <wp:extent cx="1543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1543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-933450</wp:posOffset>
            </wp:positionV>
            <wp:extent cx="1454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1454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1460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146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Income/Loss Per Share</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Basic net income/loss per common share is calculated by dividing the net income/loss attributable to common stockholders by the weighted-average number of common shares outstanding during the period, without consideration for potentially dilutive securities. Diluted net income/loss per share is computed by dividing the net income/loss attributable to common stockholders by the weighted-average number of common shares and potentially dilutive securities outstanding for the period determined using the treasury-stock and if-converted methods. For purposes of the diluted net income/loss per share calculation, incentive stock options, restricted stock units, preferred stock and warrants are considered to be potentially dilutive securities and are excluded from the calculation of diluted net income/loss per share because their effect would be anti-dilutive. Basic weighted average shares outstanding for the three and nine months ended September 30, 2024 and 2023 include 12,342,786 and 6,429,270, reflectively, shares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76,971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8,433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(86,438 )</w:t>
            </w:r>
          </w:p>
        </w:tc>
        <w:tc>
          <w:tcPr>
            <w:tcW w:w="0" w:type="dxa"/>
            <w:vAlign w:val="bottom"/>
          </w:tcPr>
          <w:p>
            <w:pPr>
              <w:spacing w:after="0"/>
              <w:rPr>
                <w:sz w:val="1"/>
                <w:szCs w:val="1"/>
                <w:color w:val="auto"/>
              </w:rPr>
            </w:pPr>
          </w:p>
        </w:tc>
      </w:tr>
      <w:tr>
        <w:trPr>
          <w:trHeight w:val="226"/>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(22,542 )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shares - basic</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54,429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5,551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(86,438 )</w:t>
            </w:r>
          </w:p>
        </w:tc>
        <w:tc>
          <w:tcPr>
            <w:tcW w:w="0" w:type="dxa"/>
            <w:vAlign w:val="bottom"/>
          </w:tcPr>
          <w:p>
            <w:pPr>
              <w:spacing w:after="0"/>
              <w:rPr>
                <w:sz w:val="1"/>
                <w:szCs w:val="1"/>
                <w:color w:val="auto"/>
              </w:rPr>
            </w:pPr>
          </w:p>
        </w:tc>
      </w:tr>
      <w:tr>
        <w:trPr>
          <w:trHeight w:val="22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Allocated undistributed earnings allocated to participating securities</w:t>
            </w:r>
          </w:p>
        </w:tc>
        <w:tc>
          <w:tcPr>
            <w:tcW w:w="30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22,542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liabilities and fair value of financial</w:t>
            </w:r>
          </w:p>
        </w:tc>
        <w:tc>
          <w:tcPr>
            <w:tcW w:w="3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(94,475 )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(69,519 )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instruments issued in excess of proceeds, net of tax</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shares, 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(9,906 )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(61,086 )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(86,438 )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shares outstanding</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51,945,920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29,974,400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41,443,049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22,813,085</w:t>
            </w: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Potentially dilutive common shares: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warrants</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3,532,422</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1,663,697</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55,478,342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29,974,400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43,106,746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22,813,085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1.05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0.13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 net loss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-1367155</wp:posOffset>
            </wp:positionV>
            <wp:extent cx="102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-1367155</wp:posOffset>
            </wp:positionV>
            <wp:extent cx="946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-1367155</wp:posOffset>
            </wp:positionV>
            <wp:extent cx="946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-604520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-604520</wp:posOffset>
            </wp:positionV>
            <wp:extent cx="946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-604520</wp:posOffset>
            </wp:positionV>
            <wp:extent cx="94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305" w:lineRule="exact"/>
        <w:rPr>
          <w:sz w:val="20"/>
          <w:szCs w:val="20"/>
          <w:color w:val="auto"/>
        </w:rPr>
      </w:pPr>
    </w:p>
    <w:p>
      <w:pPr>
        <w:ind w:right="260" w:firstLine="599"/>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share excludes incentive stock options, restricted stock units, preferred stock and warrants that are anti-dilutive. The following table provides a summary as of September 30, 2024 and 2023 of common share equivalents that were excluded because their inclusion would have been anti-dilutive.</w:t>
      </w:r>
    </w:p>
    <w:p>
      <w:pPr>
        <w:spacing w:after="0" w:line="29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92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4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7280" w:type="dxa"/>
            <w:vAlign w:val="bottom"/>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6,361,567</w:t>
            </w:r>
          </w:p>
        </w:tc>
        <w:tc>
          <w:tcPr>
            <w:tcW w:w="20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6,361,567</w:t>
            </w: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and other equity awards</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16,543,376</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15,238,434</w:t>
            </w:r>
          </w:p>
        </w:tc>
      </w:tr>
      <w:tr>
        <w:trPr>
          <w:trHeight w:val="24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and preferred warrants outstanding</w:t>
            </w:r>
          </w:p>
        </w:tc>
        <w:tc>
          <w:tcPr>
            <w:tcW w:w="1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18,567,751</w:t>
            </w:r>
          </w:p>
        </w:tc>
        <w:tc>
          <w:tcPr>
            <w:tcW w:w="14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18,577,332</w:t>
            </w:r>
          </w:p>
        </w:tc>
      </w:tr>
      <w:tr>
        <w:trPr>
          <w:trHeight w:val="241"/>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41,472,694</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40,177,333</w:t>
            </w:r>
          </w:p>
        </w:tc>
      </w:tr>
      <w:tr>
        <w:trPr>
          <w:trHeight w:val="20"/>
        </w:trPr>
        <w:tc>
          <w:tcPr>
            <w:tcW w:w="72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right="140" w:firstLine="599"/>
        <w:spacing w:after="0" w:line="258" w:lineRule="auto"/>
        <w:rPr>
          <w:sz w:val="20"/>
          <w:szCs w:val="20"/>
          <w:color w:val="auto"/>
        </w:rPr>
      </w:pPr>
      <w:r>
        <w:rPr>
          <w:rFonts w:ascii="Times New Roman" w:cs="Times New Roman" w:eastAsia="Times New Roman" w:hAnsi="Times New Roman"/>
          <w:sz w:val="18"/>
          <w:szCs w:val="18"/>
          <w:color w:val="auto"/>
        </w:rPr>
        <w:t>On October 29, 2024, the Company entered into an underwriting agreement (the “Underwriting Agreement”) with Leerink Partners, LLC, as representative of the several underwriters named therein (the “Underwriters”) in connection with the underwritten offering, issuance and sale by the Company (the “Offering”) of 18,356,173 shares (the “Shares”) of the Company’s common stock, par value $0.001 per share (the “Common Stock”), at an offering price of $3.65 per share (the “Common Stock Purchase Price”), and pre-funded warrants (the “Pre-Funded Warrants”) at a price of $3.649 per Pre-Funded Warrant, which are exercisable to purchase 4,931,507 shares of Common Stock at an exercise price of $0.001 per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right="900"/>
        <w:spacing w:after="0" w:line="282" w:lineRule="auto"/>
        <w:rPr>
          <w:sz w:val="20"/>
          <w:szCs w:val="20"/>
          <w:color w:val="auto"/>
        </w:rPr>
      </w:pPr>
      <w:r>
        <w:rPr>
          <w:rFonts w:ascii="Times New Roman" w:cs="Times New Roman" w:eastAsia="Times New Roman" w:hAnsi="Times New Roman"/>
          <w:sz w:val="18"/>
          <w:szCs w:val="18"/>
          <w:color w:val="auto"/>
        </w:rPr>
        <w:t>share. The Offering resulted in gross proceeds to the Company of $85.0 million, or net proceeds of approximately $79.5 million after deducting underwriting discounts and commissions and offering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Restatement of Previously Issued Consolidated Financial Statements</w:t>
      </w:r>
    </w:p>
    <w:p>
      <w:pPr>
        <w:spacing w:after="0" w:line="121" w:lineRule="exact"/>
        <w:rPr>
          <w:sz w:val="20"/>
          <w:szCs w:val="20"/>
          <w:color w:val="auto"/>
        </w:rPr>
      </w:pPr>
    </w:p>
    <w:p>
      <w:pPr>
        <w:jc w:val="both"/>
        <w:ind w:right="300" w:firstLine="599"/>
        <w:spacing w:after="0" w:line="261" w:lineRule="auto"/>
        <w:rPr>
          <w:sz w:val="20"/>
          <w:szCs w:val="20"/>
          <w:color w:val="auto"/>
        </w:rPr>
      </w:pPr>
      <w:r>
        <w:rPr>
          <w:rFonts w:ascii="Times New Roman" w:cs="Times New Roman" w:eastAsia="Times New Roman" w:hAnsi="Times New Roman"/>
          <w:sz w:val="18"/>
          <w:szCs w:val="18"/>
          <w:color w:val="auto"/>
        </w:rPr>
        <w:t>In the course of preparing the Company’s Condensed Consolidated Financial Statements as of and for the three and six months ended June 30, 2024, the Company determined that a correction was necessary with respect to the Company’s reporting and recording of the fair value of the Common Warrants and the Subsequent Closing Warrants, issuable by the Company in the Second and Third Closing contingent upon the satisfaction or waiver of certain specified conditions set forth therein (See Note 8).</w:t>
      </w:r>
    </w:p>
    <w:p>
      <w:pPr>
        <w:spacing w:after="0" w:line="112" w:lineRule="exact"/>
        <w:rPr>
          <w:sz w:val="20"/>
          <w:szCs w:val="20"/>
          <w:color w:val="auto"/>
        </w:rPr>
      </w:pPr>
    </w:p>
    <w:p>
      <w:pPr>
        <w:ind w:right="220" w:firstLine="599"/>
        <w:spacing w:after="0" w:line="254" w:lineRule="auto"/>
        <w:rPr>
          <w:sz w:val="20"/>
          <w:szCs w:val="20"/>
          <w:color w:val="auto"/>
        </w:rPr>
      </w:pPr>
      <w:r>
        <w:rPr>
          <w:rFonts w:ascii="Times New Roman" w:cs="Times New Roman" w:eastAsia="Times New Roman" w:hAnsi="Times New Roman"/>
          <w:sz w:val="18"/>
          <w:szCs w:val="18"/>
          <w:color w:val="auto"/>
        </w:rPr>
        <w:t>The Company has historically reported the Common Warrants and Subsequent Closing Warrants as equity instruments, because (i) of the respective holders’ ability to settle the Common Warrants and Subsequent Closing Warrants by issuance of a fixed number of shares of common stock or Pre-funded Warrants and (ii) the Common Warrants and Subsequent Closing Warrants contain a fixed exercise price and contain no cash settlement obligation. However, in the course of preparing the Company’s Condensed Consolidated Financial Statements as of and for the three and six months ended June 30, 2024, management of the Company concluded that the Common Warrants and the Subsequent Closing Warrants do not meet the conditions to be classified as equity instruments under ASC 815-40, and must instead be recorded as liabilities on the Company’s balance sheet at their fair value and remeasured at fair value for each subsequent reporting period, with the initial fair value and fair value of financial instruments issued in excess of proceeds and any change in fair value recorded in the condensed consolidated statements of operations and comprehensive income as a gain or loss.</w:t>
      </w:r>
    </w:p>
    <w:p>
      <w:pPr>
        <w:spacing w:after="0" w:line="107" w:lineRule="exact"/>
        <w:rPr>
          <w:sz w:val="20"/>
          <w:szCs w:val="20"/>
          <w:color w:val="auto"/>
        </w:rPr>
      </w:pPr>
    </w:p>
    <w:p>
      <w:pPr>
        <w:ind w:right="200" w:firstLine="599"/>
        <w:spacing w:after="0" w:line="255" w:lineRule="auto"/>
        <w:rPr>
          <w:sz w:val="20"/>
          <w:szCs w:val="20"/>
          <w:color w:val="auto"/>
        </w:rPr>
      </w:pPr>
      <w:r>
        <w:rPr>
          <w:rFonts w:ascii="Times New Roman" w:cs="Times New Roman" w:eastAsia="Times New Roman" w:hAnsi="Times New Roman"/>
          <w:sz w:val="18"/>
          <w:szCs w:val="18"/>
          <w:color w:val="auto"/>
        </w:rPr>
        <w:t>Management prepared a quantitative and qualitative analysis of the errors in accordance with the U.S. SEC Staff's Accounting Bulletin Nos. 99 and 108, Materiality, and concluded the impact of the errors are material to the Company's previously reported interim unaudited condensed consolidated financial statements as of and for the three and nine months ended September 30, 2023. As a result, the Company has restated its Condensed Consolidated Balance Sheet, Condensed Consolidated Statement of Operations and Comprehensive Loss, Condensed Consolidated Statement of Stockholders' Equity, and Condensed Consolidated Statement of Cash Flows as of and for the three and nine months ended September 30, 2023. The restatement includes adjustments to Change in fair value of warrant liabilities and fair value of financial instruments issued in excess of proceeds, Additional paid-in capital, and Accumulated Deficit.</w:t>
      </w:r>
    </w:p>
    <w:p>
      <w:pPr>
        <w:spacing w:after="0" w:line="2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impact of the correction of the misstatements is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6"/>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 Balance Sheets (Unaudited)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55,738</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55,738</w:t>
            </w: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4,734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55,738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60,472</w:t>
            </w:r>
          </w:p>
        </w:tc>
        <w:tc>
          <w:tcPr>
            <w:tcW w:w="0" w:type="dxa"/>
            <w:vAlign w:val="bottom"/>
          </w:tcPr>
          <w:p>
            <w:pPr>
              <w:spacing w:after="0"/>
              <w:rPr>
                <w:sz w:val="1"/>
                <w:szCs w:val="1"/>
                <w:color w:val="auto"/>
              </w:rPr>
            </w:pP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324,876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324,876</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(233,565 )</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(55,738 )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(289,303 )</w:t>
            </w: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91,335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(55,738 )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35,597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22"/>
              <w:spacing w:after="0" w:line="131" w:lineRule="exact"/>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Corrected Condensed Consolidated Statements of Operations and</w:t>
            </w:r>
          </w:p>
        </w:tc>
        <w:tc>
          <w:tcPr>
            <w:tcW w:w="140" w:type="dxa"/>
            <w:vAlign w:val="bottom"/>
          </w:tcPr>
          <w:p>
            <w:pPr>
              <w:spacing w:after="0"/>
              <w:rPr>
                <w:sz w:val="13"/>
                <w:szCs w:val="13"/>
                <w:color w:val="auto"/>
              </w:rPr>
            </w:pPr>
          </w:p>
        </w:tc>
        <w:tc>
          <w:tcPr>
            <w:tcW w:w="9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gridSpan w:val="4"/>
          </w:tcPr>
          <w:p>
            <w:pPr>
              <w:jc w:val="center"/>
              <w:ind w:right="42"/>
              <w:spacing w:after="0" w:line="160"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 w:type="dxa"/>
            <w:vAlign w:val="bottom"/>
          </w:tcPr>
          <w:p>
            <w:pPr>
              <w:spacing w:after="0"/>
              <w:rPr>
                <w:sz w:val="13"/>
                <w:szCs w:val="13"/>
                <w:color w:val="auto"/>
              </w:rPr>
            </w:pPr>
          </w:p>
        </w:tc>
        <w:tc>
          <w:tcPr>
            <w:tcW w:w="1040" w:type="dxa"/>
            <w:vAlign w:val="bottom"/>
            <w:gridSpan w:val="4"/>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53"/>
              <w:spacing w:after="0" w:line="160"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 (Unaudited)</w:t>
            </w:r>
          </w:p>
        </w:tc>
        <w:tc>
          <w:tcPr>
            <w:tcW w:w="140" w:type="dxa"/>
            <w:vAlign w:val="bottom"/>
          </w:tcPr>
          <w:p>
            <w:pPr>
              <w:spacing w:after="0"/>
              <w:rPr>
                <w:sz w:val="15"/>
                <w:szCs w:val="15"/>
                <w:color w:val="auto"/>
              </w:rPr>
            </w:pPr>
          </w:p>
        </w:tc>
        <w:tc>
          <w:tcPr>
            <w:tcW w:w="9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040" w:type="dxa"/>
            <w:vAlign w:val="bottom"/>
            <w:gridSpan w:val="4"/>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w w:val="99"/>
              </w:rPr>
              <w:t>Restated</w:t>
            </w:r>
          </w:p>
        </w:tc>
        <w:tc>
          <w:tcPr>
            <w:tcW w:w="0" w:type="dxa"/>
            <w:vAlign w:val="bottom"/>
          </w:tcPr>
          <w:p>
            <w:pPr>
              <w:spacing w:after="0"/>
              <w:rPr>
                <w:sz w:val="1"/>
                <w:szCs w:val="1"/>
                <w:color w:val="auto"/>
              </w:rPr>
            </w:pPr>
          </w:p>
        </w:tc>
      </w:tr>
      <w:tr>
        <w:trPr>
          <w:trHeight w:val="205"/>
        </w:trPr>
        <w:tc>
          <w:tcPr>
            <w:tcW w:w="45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in fair value of warrant liabilities and fair value of</w:t>
            </w: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(55,738 )</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(55,738 )</w:t>
            </w:r>
          </w:p>
        </w:tc>
        <w:tc>
          <w:tcPr>
            <w:tcW w:w="0" w:type="dxa"/>
            <w:vAlign w:val="bottom"/>
          </w:tcPr>
          <w:p>
            <w:pPr>
              <w:spacing w:after="0"/>
              <w:rPr>
                <w:sz w:val="1"/>
                <w:szCs w:val="1"/>
                <w:color w:val="auto"/>
              </w:rPr>
            </w:pPr>
          </w:p>
        </w:tc>
      </w:tr>
      <w:tr>
        <w:trPr>
          <w:trHeight w:val="234"/>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instruments issued in excess of proceeds</w:t>
            </w: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(9,906 )</w:t>
            </w:r>
          </w:p>
        </w:tc>
        <w:tc>
          <w:tcPr>
            <w:tcW w:w="100" w:type="dxa"/>
            <w:vAlign w:val="bottom"/>
          </w:tcPr>
          <w:p>
            <w:pPr>
              <w:spacing w:after="0"/>
              <w:rPr>
                <w:sz w:val="20"/>
                <w:szCs w:val="20"/>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(30,700 )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(55,738 )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(86,438 )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849"/>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-2682240</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-2682240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-1414145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-1414145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-1414145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-1414145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-1414145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-1071245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-1053465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-1071245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-1053465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-1071245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-1053465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-1071245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-1053465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-1071245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-1053465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6"/>
        </w:trPr>
        <w:tc>
          <w:tcPr>
            <w:tcW w:w="3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9"/>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272"/>
              <w:spacing w:after="0" w:line="116" w:lineRule="exact"/>
              <w:rPr>
                <w:sz w:val="20"/>
                <w:szCs w:val="20"/>
                <w:color w:val="auto"/>
              </w:rPr>
            </w:pPr>
            <w:r>
              <w:rPr>
                <w:rFonts w:ascii="Times New Roman" w:cs="Times New Roman" w:eastAsia="Times New Roman" w:hAnsi="Times New Roman"/>
                <w:sz w:val="11"/>
                <w:szCs w:val="11"/>
                <w:b w:val="1"/>
                <w:bCs w:val="1"/>
                <w:color w:val="auto"/>
                <w:w w:val="97"/>
              </w:rPr>
              <w:t>As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left="415"/>
              <w:spacing w:after="0" w:line="116" w:lineRule="exact"/>
              <w:rPr>
                <w:sz w:val="20"/>
                <w:szCs w:val="20"/>
                <w:color w:val="auto"/>
              </w:rPr>
            </w:pPr>
            <w:r>
              <w:rPr>
                <w:rFonts w:ascii="Times New Roman" w:cs="Times New Roman" w:eastAsia="Times New Roman" w:hAnsi="Times New Roman"/>
                <w:sz w:val="11"/>
                <w:szCs w:val="11"/>
                <w:b w:val="1"/>
                <w:bCs w:val="1"/>
                <w:color w:val="auto"/>
                <w:w w:val="97"/>
              </w:rPr>
              <w:t>As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4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Corrected Condensed Consolidated Statements of Stockholders' Equity</w:t>
            </w:r>
          </w:p>
        </w:tc>
        <w:tc>
          <w:tcPr>
            <w:tcW w:w="200" w:type="dxa"/>
            <w:vAlign w:val="bottom"/>
          </w:tcPr>
          <w:p>
            <w:pPr>
              <w:spacing w:after="0"/>
              <w:rPr>
                <w:sz w:val="10"/>
                <w:szCs w:val="10"/>
                <w:color w:val="auto"/>
              </w:rPr>
            </w:pPr>
          </w:p>
        </w:tc>
        <w:tc>
          <w:tcPr>
            <w:tcW w:w="980" w:type="dxa"/>
            <w:vAlign w:val="bottom"/>
          </w:tcPr>
          <w:p>
            <w:pPr>
              <w:jc w:val="center"/>
              <w:ind w:right="252"/>
              <w:spacing w:after="0" w:line="124" w:lineRule="exact"/>
              <w:rPr>
                <w:sz w:val="20"/>
                <w:szCs w:val="20"/>
                <w:color w:val="auto"/>
              </w:rPr>
            </w:pPr>
            <w:r>
              <w:rPr>
                <w:rFonts w:ascii="Times New Roman" w:cs="Times New Roman" w:eastAsia="Times New Roman" w:hAnsi="Times New Roman"/>
                <w:sz w:val="11"/>
                <w:szCs w:val="11"/>
                <w:b w:val="1"/>
                <w:bCs w:val="1"/>
                <w:color w:val="auto"/>
              </w:rPr>
              <w:t>Previously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69"/>
              <w:spacing w:after="0" w:line="124"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470"/>
              <w:spacing w:after="0" w:line="124" w:lineRule="exact"/>
              <w:rPr>
                <w:sz w:val="20"/>
                <w:szCs w:val="20"/>
                <w:color w:val="auto"/>
              </w:rPr>
            </w:pPr>
            <w:r>
              <w:rPr>
                <w:rFonts w:ascii="Times New Roman" w:cs="Times New Roman" w:eastAsia="Times New Roman" w:hAnsi="Times New Roman"/>
                <w:sz w:val="11"/>
                <w:szCs w:val="11"/>
                <w:b w:val="1"/>
                <w:bCs w:val="1"/>
                <w:color w:val="auto"/>
              </w:rPr>
              <w:t>As</w:t>
            </w:r>
          </w:p>
        </w:tc>
        <w:tc>
          <w:tcPr>
            <w:tcW w:w="100" w:type="dxa"/>
            <w:vAlign w:val="bottom"/>
          </w:tcPr>
          <w:p>
            <w:pPr>
              <w:spacing w:after="0"/>
              <w:rPr>
                <w:sz w:val="10"/>
                <w:szCs w:val="10"/>
                <w:color w:val="auto"/>
              </w:rPr>
            </w:pPr>
          </w:p>
        </w:tc>
        <w:tc>
          <w:tcPr>
            <w:tcW w:w="114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Previously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right"/>
              <w:ind w:right="320"/>
              <w:spacing w:after="0" w:line="124"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467"/>
              <w:spacing w:after="0" w:line="124" w:lineRule="exact"/>
              <w:rPr>
                <w:sz w:val="20"/>
                <w:szCs w:val="20"/>
                <w:color w:val="auto"/>
              </w:rPr>
            </w:pPr>
            <w:r>
              <w:rPr>
                <w:rFonts w:ascii="Times New Roman" w:cs="Times New Roman" w:eastAsia="Times New Roman" w:hAnsi="Times New Roman"/>
                <w:sz w:val="11"/>
                <w:szCs w:val="11"/>
                <w:b w:val="1"/>
                <w:bCs w:val="1"/>
                <w:color w:val="auto"/>
              </w:rPr>
              <w:t>As</w:t>
            </w: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1"/>
                <w:szCs w:val="11"/>
                <w:b w:val="1"/>
                <w:bCs w:val="1"/>
                <w:color w:val="auto"/>
                <w:w w:val="95"/>
              </w:rPr>
              <w:t>Reported</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tcPr>
          <w:p>
            <w:pPr>
              <w:spacing w:after="0"/>
              <w:rPr>
                <w:sz w:val="12"/>
                <w:szCs w:val="12"/>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Reported</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0" w:type="dxa"/>
            <w:vAlign w:val="bottom"/>
          </w:tcPr>
          <w:p>
            <w:pPr>
              <w:spacing w:after="0"/>
              <w:rPr>
                <w:sz w:val="1"/>
                <w:szCs w:val="1"/>
                <w:color w:val="auto"/>
              </w:rPr>
            </w:pPr>
          </w:p>
        </w:tc>
      </w:tr>
      <w:tr>
        <w:trPr>
          <w:trHeight w:val="16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(202,865 )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(202,865 )</w:t>
            </w:r>
          </w:p>
        </w:tc>
        <w:tc>
          <w:tcPr>
            <w:tcW w:w="700" w:type="dxa"/>
            <w:vAlign w:val="bottom"/>
            <w:gridSpan w:val="2"/>
            <w:shd w:val="clear" w:color="auto" w:fill="CFF0FC"/>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84,183</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84,183</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1,381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76"/>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(10,772 )</w:t>
            </w: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(213,637 )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(213,637 )</w:t>
            </w:r>
          </w:p>
        </w:tc>
        <w:tc>
          <w:tcPr>
            <w:tcW w:w="70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74,792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74,792</w:t>
            </w:r>
          </w:p>
        </w:tc>
        <w:tc>
          <w:tcPr>
            <w:tcW w:w="0" w:type="dxa"/>
            <w:vAlign w:val="bottom"/>
          </w:tcPr>
          <w:p>
            <w:pPr>
              <w:spacing w:after="0"/>
              <w:rPr>
                <w:sz w:val="1"/>
                <w:szCs w:val="1"/>
                <w:color w:val="auto"/>
              </w:rPr>
            </w:pPr>
          </w:p>
        </w:tc>
      </w:tr>
      <w:tr>
        <w:trPr>
          <w:trHeight w:val="133"/>
        </w:trPr>
        <w:tc>
          <w:tcPr>
            <w:tcW w:w="39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Issuance of common stock and pre-funded warrants in connection</w:t>
            </w:r>
          </w:p>
        </w:tc>
        <w:tc>
          <w:tcPr>
            <w:tcW w:w="20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vMerge w:val="restart"/>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33,017</w:t>
            </w:r>
          </w:p>
        </w:tc>
        <w:tc>
          <w:tcPr>
            <w:tcW w:w="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33,017</w:t>
            </w:r>
          </w:p>
        </w:tc>
        <w:tc>
          <w:tcPr>
            <w:tcW w:w="0" w:type="dxa"/>
            <w:vAlign w:val="bottom"/>
          </w:tcPr>
          <w:p>
            <w:pPr>
              <w:spacing w:after="0"/>
              <w:rPr>
                <w:sz w:val="1"/>
                <w:szCs w:val="1"/>
                <w:color w:val="auto"/>
              </w:rPr>
            </w:pPr>
          </w:p>
        </w:tc>
      </w:tr>
      <w:tr>
        <w:trPr>
          <w:trHeight w:val="18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 Securities Purchase Agreement, net of issuance costs</w:t>
            </w:r>
          </w:p>
        </w:tc>
        <w:tc>
          <w:tcPr>
            <w:tcW w:w="2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54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40" w:type="dxa"/>
            <w:vAlign w:val="bottom"/>
          </w:tcPr>
          <w:p>
            <w:pPr>
              <w:ind w:left="20"/>
              <w:spacing w:after="0" w:line="207" w:lineRule="exact"/>
              <w:rPr>
                <w:sz w:val="20"/>
                <w:szCs w:val="20"/>
                <w:color w:val="auto"/>
              </w:rPr>
            </w:pPr>
            <w:r>
              <w:rPr>
                <w:rFonts w:ascii="Times New Roman" w:cs="Times New Roman" w:eastAsia="Times New Roman" w:hAnsi="Times New Roman"/>
                <w:sz w:val="14"/>
                <w:szCs w:val="14"/>
                <w:color w:val="auto"/>
              </w:rPr>
              <w:t>Issuance of common stock in connection with conversion of X</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non-voting convertible preferred stock</w:t>
            </w:r>
          </w:p>
        </w:tc>
        <w:tc>
          <w:tcPr>
            <w:tcW w:w="20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1,720</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(9,579 )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(56,181 )</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(65,760 )</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(9,579 )</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(56,181 )</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(65,760 )</w:t>
            </w: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(223,216 )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(56,181 )</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(279,397 )</w:t>
            </w:r>
          </w:p>
        </w:tc>
        <w:tc>
          <w:tcPr>
            <w:tcW w:w="700" w:type="dxa"/>
            <w:vAlign w:val="bottom"/>
            <w:gridSpan w:val="2"/>
            <w:shd w:val="clear" w:color="auto" w:fill="CFF0FC"/>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99,949</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(56,181 )</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43,768</w:t>
            </w:r>
          </w:p>
        </w:tc>
        <w:tc>
          <w:tcPr>
            <w:tcW w:w="0" w:type="dxa"/>
            <w:vAlign w:val="bottom"/>
          </w:tcPr>
          <w:p>
            <w:pPr>
              <w:spacing w:after="0"/>
              <w:rPr>
                <w:sz w:val="1"/>
                <w:szCs w:val="1"/>
                <w:color w:val="auto"/>
              </w:rPr>
            </w:pPr>
          </w:p>
        </w:tc>
      </w:tr>
      <w:tr>
        <w:trPr>
          <w:trHeight w:val="120"/>
        </w:trPr>
        <w:tc>
          <w:tcPr>
            <w:tcW w:w="3940" w:type="dxa"/>
            <w:vAlign w:val="bottom"/>
            <w:tcBorders>
              <w:top w:val="single" w:sz="8" w:color="CFF0FC"/>
            </w:tcBorders>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in connection with exercise of pre-</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3"/>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warrants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1,734</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(10,349 )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(9,906 )</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(10,349 )</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5"/>
              </w:rPr>
              <w:t>443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(9,906 )</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(233,565 )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(55,738 )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(289,303 )</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91,335</w:t>
            </w: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(55,738 )</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35,597</w:t>
            </w:r>
          </w:p>
        </w:tc>
        <w:tc>
          <w:tcPr>
            <w:tcW w:w="0" w:type="dxa"/>
            <w:vAlign w:val="bottom"/>
          </w:tcPr>
          <w:p>
            <w:pPr>
              <w:spacing w:after="0"/>
              <w:rPr>
                <w:sz w:val="1"/>
                <w:szCs w:val="1"/>
                <w:color w:val="auto"/>
              </w:rPr>
            </w:pPr>
          </w:p>
        </w:tc>
      </w:tr>
      <w:tr>
        <w:trPr>
          <w:trHeight w:val="588"/>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Borders>
              <w:bottom w:val="single" w:sz="8" w:color="auto"/>
            </w:tcBorders>
            <w:gridSpan w:val="16"/>
          </w:tcPr>
          <w:p>
            <w:pPr>
              <w:jc w:val="right"/>
              <w:ind w:right="72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5"/>
          </w:tcPr>
          <w:p>
            <w:pPr>
              <w:jc w:val="right"/>
              <w:ind w:right="226"/>
              <w:spacing w:after="0" w:line="131"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 Statements of Cash Flows (Unaudited)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(30,700 )</w:t>
            </w:r>
          </w:p>
        </w:tc>
        <w:tc>
          <w:tcPr>
            <w:tcW w:w="540" w:type="dxa"/>
            <w:vAlign w:val="bottom"/>
            <w:gridSpan w:val="3"/>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(55,738 )</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(86,438 )</w:t>
            </w:r>
          </w:p>
        </w:tc>
        <w:tc>
          <w:tcPr>
            <w:tcW w:w="0" w:type="dxa"/>
            <w:vAlign w:val="bottom"/>
          </w:tcPr>
          <w:p>
            <w:pPr>
              <w:spacing w:after="0"/>
              <w:rPr>
                <w:sz w:val="1"/>
                <w:szCs w:val="1"/>
                <w:color w:val="auto"/>
              </w:rPr>
            </w:pPr>
          </w:p>
        </w:tc>
      </w:tr>
      <w:tr>
        <w:trPr>
          <w:trHeight w:val="211"/>
        </w:trPr>
        <w:tc>
          <w:tcPr>
            <w:tcW w:w="66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 and fair value of financial instruments issued in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restart"/>
          </w:tcPr>
          <w:p>
            <w:pPr>
              <w:jc w:val="right"/>
              <w:ind w:right="26"/>
              <w:spacing w:after="0"/>
              <w:rPr>
                <w:sz w:val="20"/>
                <w:szCs w:val="20"/>
                <w:color w:val="auto"/>
              </w:rPr>
            </w:pPr>
            <w:r>
              <w:rPr>
                <w:rFonts w:ascii="Times New Roman" w:cs="Times New Roman" w:eastAsia="Times New Roman" w:hAnsi="Times New Roman"/>
                <w:sz w:val="18"/>
                <w:szCs w:val="18"/>
                <w:color w:val="auto"/>
              </w:rPr>
              <w:t>55,738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Times New Roman" w:cs="Times New Roman" w:eastAsia="Times New Roman" w:hAnsi="Times New Roman"/>
                <w:sz w:val="18"/>
                <w:szCs w:val="18"/>
                <w:color w:val="auto"/>
              </w:rPr>
              <w:t>55,738</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proceeds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9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(30,396 )</w:t>
            </w:r>
          </w:p>
        </w:tc>
        <w:tc>
          <w:tcPr>
            <w:tcW w:w="540" w:type="dxa"/>
            <w:vAlign w:val="bottom"/>
            <w:gridSpan w:val="3"/>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(30,396 )</w:t>
            </w:r>
          </w:p>
        </w:tc>
        <w:tc>
          <w:tcPr>
            <w:tcW w:w="0" w:type="dxa"/>
            <w:vAlign w:val="bottom"/>
          </w:tcPr>
          <w:p>
            <w:pPr>
              <w:spacing w:after="0"/>
              <w:rPr>
                <w:sz w:val="1"/>
                <w:szCs w:val="1"/>
                <w:color w:val="auto"/>
              </w:rPr>
            </w:pPr>
          </w:p>
        </w:tc>
      </w:tr>
      <w:tr>
        <w:trPr>
          <w:trHeight w:val="633"/>
        </w:trPr>
        <w:tc>
          <w:tcPr>
            <w:tcW w:w="39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ind w:right="56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-3668395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-3668395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-3668395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-3668395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-3668395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-2742565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-2725420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-2742565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-2725420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-2742565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-2725420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-2742565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-2725420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-2742565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-2725420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-2167890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-2150745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-2167890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-2150745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-2167890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-2150745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-2167890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-2150745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-2167890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-2150745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-934085</wp:posOffset>
            </wp:positionV>
            <wp:extent cx="111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-916940</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-934085</wp:posOffset>
            </wp:positionV>
            <wp:extent cx="102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-916940</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 xml:space="preserve">The unaudited interim condensed consolidated financial statements and this Management’s Discussion and Analysis of Financial Condition and Results of Operations should be read together with the Notes to Financial Statements included in this Quarterly Report on Form 10-Q and our audited condensed consolidated financial statements and accompanying notes for the year ended December 31, 2023 included in the Annual Report on Form 10-K filed by the Company with the Securities and Exchange Commission (the “SEC”) on March 28, 2024, as amended on each of April 26, 2024 and August 19, 2024 (together, the “Amended Form 10-K”). In addition to historical information, this discussion and analysis contains forward-looking statements within the meaning of the Private Securities Litigation Reform Act of 1995. Please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for a discussion of certain risk factors applicable to our business, financial condition, and results of operations. Operating results are not necessarily indicative of results that may occur for the full fiscal year or any other future period. See also “Special Note Regarding Forward-Looking Statements” in this Quarterly Report on Form 10-Q. Unless otherwise indicated, references to the terms “Eledon”, the “Company”, “we”, “our”, and “us” refer to Eledon Pharmaceuticals, Inc.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ELEDON 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Eledon is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 Ligand,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w:t>
      </w:r>
    </w:p>
    <w:p>
      <w:pPr>
        <w:spacing w:after="0" w:line="183"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w:t>
      </w:r>
    </w:p>
    <w:p>
      <w:pPr>
        <w:spacing w:after="0" w:line="192" w:lineRule="exact"/>
        <w:rPr>
          <w:sz w:val="20"/>
          <w:szCs w:val="20"/>
          <w:color w:val="auto"/>
        </w:rPr>
      </w:pPr>
    </w:p>
    <w:p>
      <w:pPr>
        <w:jc w:val="both"/>
        <w:ind w:right="120" w:firstLine="599"/>
        <w:spacing w:after="0" w:line="261" w:lineRule="auto"/>
        <w:rPr>
          <w:sz w:val="20"/>
          <w:szCs w:val="20"/>
          <w:color w:val="auto"/>
        </w:rPr>
      </w:pPr>
      <w:r>
        <w:rPr>
          <w:rFonts w:ascii="Times New Roman" w:cs="Times New Roman" w:eastAsia="Times New Roman" w:hAnsi="Times New Roman"/>
          <w:sz w:val="18"/>
          <w:szCs w:val="18"/>
          <w:color w:val="auto"/>
        </w:rPr>
        <w:t>Tegoprubart is designed to negate the risk of thrombolytic events seen in the first generation of anti-CD40L antibodies by introducing structural modifications that have been shown in preclinical models to eliminate binding to the Fcγ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Our business strategy is to optimize the clinical and commercial value of tegoprubart and become a global biopharmaceutical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autoimmune diseases such as ALS. We selected our indications based on preclinical and clinical data that was generated with either tegoprubart or historical anti-CD40L molecules. In January 2023, we announced plans to prioritize and focus resources on our kidney transplantation programs, discontinue our IgAN program and the funding of our islet cell transplantation program. We remain committed to further progressing ALS clinical development and are working with key stakeholders on potential next steps to do so. However, we are unable to continue our clinical development of tegoprubart for people with ALS without additional financing.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21"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In September 2020, we acquired Anelixis Therapeutics, Inc. (“Anelixis”), the company that owned and controlled the intellectual property related to tegoprubart. See Note 7 of the Notes to Financial Statements included in this Quarterly Report on Form 10-Q for further details of grants and licenses related to this acquisition.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9" w:name="page30"/>
    <w:bookmarkEnd w:id="29"/>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Prior to our acquisition of Anelixis, we focused on developing medicines for patients with disorders of the ear, nose, and throat (“ENT”). In June 2020, we announced that our lead program did not achieve statistical significance for the primary efficacy endpoints in the treatment of acute otitis media. As a result of this failure to achieve the primary study endpoint, we suspended the clinical development of our legacy ENT assets while we assessed potential development strategies.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 After acquiring Anelixis, we terminated our ENT activities and returned our product rights to the original license holders in July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the Prevention of Allograft Rejection in Kidney Transplantation</w:t>
      </w:r>
    </w:p>
    <w:p>
      <w:pPr>
        <w:spacing w:after="0" w:line="121" w:lineRule="exact"/>
        <w:rPr>
          <w:sz w:val="20"/>
          <w:szCs w:val="20"/>
          <w:color w:val="auto"/>
        </w:rPr>
      </w:pPr>
    </w:p>
    <w:p>
      <w:pPr>
        <w:ind w:right="200" w:firstLine="599"/>
        <w:spacing w:after="0" w:line="277" w:lineRule="auto"/>
        <w:rPr>
          <w:sz w:val="20"/>
          <w:szCs w:val="20"/>
          <w:color w:val="auto"/>
        </w:rPr>
      </w:pPr>
      <w:r>
        <w:rPr>
          <w:rFonts w:ascii="Times New Roman" w:cs="Times New Roman" w:eastAsia="Times New Roman" w:hAnsi="Times New Roman"/>
          <w:sz w:val="17"/>
          <w:szCs w:val="17"/>
          <w:color w:val="auto"/>
        </w:rPr>
        <w:t>In January 2023, we announced plans to prioritize and focus resources on our kidney transplantation programs. We are first focusing on kidney transplantation as this is the most common type of solid organ transplantation in the U.S. with an estimated 255,000 Americans living with a transplanted kidney. There are an estimated 25,000 kidneys transplanted annually in the U.S. Over 97,000 people in the U.S. wait 3-5 years on average for a kidney transplant and about 5,000 people in need of a kidney transplant die each year while waiting for a suitable kidney. Approximately 11% of U.S. people on the waiting list are waiting for a repeat transplant. There remains a critical shortage of kidneys and other organs available for transplantation.</w:t>
      </w:r>
    </w:p>
    <w:p>
      <w:pPr>
        <w:spacing w:after="0" w:line="168" w:lineRule="exact"/>
        <w:rPr>
          <w:sz w:val="20"/>
          <w:szCs w:val="20"/>
          <w:color w:val="auto"/>
        </w:rPr>
      </w:pPr>
    </w:p>
    <w:p>
      <w:pPr>
        <w:ind w:right="60" w:firstLine="599"/>
        <w:spacing w:after="0" w:line="253" w:lineRule="auto"/>
        <w:rPr>
          <w:sz w:val="20"/>
          <w:szCs w:val="20"/>
          <w:color w:val="auto"/>
        </w:rPr>
      </w:pPr>
      <w:r>
        <w:rPr>
          <w:rFonts w:ascii="Times New Roman" w:cs="Times New Roman" w:eastAsia="Times New Roman" w:hAnsi="Times New Roman"/>
          <w:sz w:val="18"/>
          <w:szCs w:val="18"/>
          <w:color w:val="auto"/>
        </w:rPr>
        <w:t>There has been little innovation in immunosuppression therapy for organ transplant patients over the past 30 years. The standard of care immunosuppressive drugs used post-transplant have been shown to reduce the risk of organ rejection, but they are also associated with potentially toxic side effects. Organ transplant recipients require immunosuppression on a lifelong basis, and any disruption in the immunosuppression therapy can trigger transplant rejection. Calcineurin inhibitors (“CNI”s) are a critical component of most immunosuppressive regimens to prevent acute and long-term kidney transplant rejection. However, chronic exposure to CNIs (tacrolimus is the drug most commonly used) is associated with nephrotoxicity, hypertension, new onset diabetes due to pancreatic beta cell toxicity, as well as central nervous system (“CNS”) side effects, like tremor. Over time, these CNI side effects may significantly damage the transplanted kidneys or result in a requirement for reduced exposures to CNIs which can lead to an increased risk of rejection. Moreover, CNS side effects like tremors may result in patients decreasing their adherence to their medicines. Today, an implanted kidney is expected to fail within 10-15 years on average using currently available immunosuppression options. The fact that American transplant patients are on average in their 50s means that many of them will ultimately need a second or even third transplant procedure during their lifetime or a return to dialysis.</w:t>
      </w:r>
    </w:p>
    <w:p>
      <w:pPr>
        <w:spacing w:after="0" w:line="194"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The central role of CD40L signaling in generating pro-inflammatory responses makes it a highly attractive candidate for therapeutic intervention in the protection of transplanted organs and prevention of transplant rejection. Results from prior studies demonstrate that targeting and blocking CD40L has the potential for better efficacy and improved safety, including reduced risk of nephrotoxicity, diabetes, hypertension, and other side effects associated with standard-of-care CNIs such as tacrolimus.</w:t>
      </w:r>
    </w:p>
    <w:p>
      <w:pPr>
        <w:spacing w:after="0" w:line="180"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Tegoprubart seeks to address challenges associated with current immunosuppressive transplantation regimens using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thus potentially decreasing the need for repeat kidney transplants and increasing organ availability for other patients on the wait list. By identifying and advancing novel strategies in immunosuppression including targeting the CD40L pathway, we may be able to help organs remain functional for longer and potentially throughout the natural lifespan of each recipient.</w:t>
      </w:r>
    </w:p>
    <w:p>
      <w:pPr>
        <w:spacing w:after="0" w:line="187" w:lineRule="exact"/>
        <w:rPr>
          <w:sz w:val="20"/>
          <w:szCs w:val="20"/>
          <w:color w:val="auto"/>
        </w:rPr>
      </w:pPr>
    </w:p>
    <w:p>
      <w:pPr>
        <w:ind w:right="80" w:firstLine="599"/>
        <w:spacing w:after="0" w:line="277" w:lineRule="auto"/>
        <w:rPr>
          <w:sz w:val="20"/>
          <w:szCs w:val="20"/>
          <w:color w:val="auto"/>
        </w:rPr>
      </w:pPr>
      <w:r>
        <w:rPr>
          <w:rFonts w:ascii="Times New Roman" w:cs="Times New Roman" w:eastAsia="Times New Roman" w:hAnsi="Times New Roman"/>
          <w:sz w:val="17"/>
          <w:szCs w:val="17"/>
          <w:color w:val="auto"/>
        </w:rPr>
        <w:t>We have received regulatory approvals in the United States, Canada, the United Kingdom and Australia, for a Phase 1b clinical trial of tegoprubart in up to 24 subjects, replacing tacrolimus as an immunosuppressive regimen component in patients undergoing de novo kidney transplantation. Each participant will receive rabbit antithymocyte globulin (ATG) induction and a maintenance regimen consisting of tegoprubart, mycophenolate mofetil, and corticosteroids. The primary endpoint of the study is safety. Other endpoints include glomerular filtration rate (eGFR), characterizing the pharmacokinetic profile of tegoprubart, and the incidence of biopsy proven rejection. The first subject in the Phase 1b study was dosed in July 2022.</w:t>
      </w:r>
    </w:p>
    <w:p>
      <w:pPr>
        <w:spacing w:after="0" w:line="168" w:lineRule="exact"/>
        <w:rPr>
          <w:sz w:val="20"/>
          <w:szCs w:val="20"/>
          <w:color w:val="auto"/>
        </w:rPr>
      </w:pPr>
    </w:p>
    <w:p>
      <w:pPr>
        <w:ind w:right="440" w:firstLine="599"/>
        <w:spacing w:after="0" w:line="282" w:lineRule="auto"/>
        <w:rPr>
          <w:sz w:val="20"/>
          <w:szCs w:val="20"/>
          <w:color w:val="auto"/>
        </w:rPr>
      </w:pPr>
      <w:r>
        <w:rPr>
          <w:rFonts w:ascii="Times New Roman" w:cs="Times New Roman" w:eastAsia="Times New Roman" w:hAnsi="Times New Roman"/>
          <w:sz w:val="18"/>
          <w:szCs w:val="18"/>
          <w:color w:val="auto"/>
        </w:rPr>
        <w:t>Better graft function as assessed by eGFR, has been associated with improved long-term patient and graft survival and is an early predictor of future graft failure. Historical studies have reported average eGFRs generally in the low 50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60"/>
        <w:spacing w:after="0" w:line="282" w:lineRule="auto"/>
        <w:rPr>
          <w:sz w:val="20"/>
          <w:szCs w:val="20"/>
          <w:color w:val="auto"/>
        </w:rPr>
      </w:pPr>
      <w:r>
        <w:rPr>
          <w:rFonts w:ascii="Times New Roman" w:cs="Times New Roman" w:eastAsia="Times New Roman" w:hAnsi="Times New Roman"/>
          <w:sz w:val="18"/>
          <w:szCs w:val="18"/>
          <w:color w:val="auto"/>
        </w:rPr>
        <w:t>mL/min/1.73m2 range during the first year after kidney transplant using current standard of care immunosuppression. An eGFR of 50 mL/min/1.73m2 or below indicates chronic kidney disease.</w:t>
      </w:r>
    </w:p>
    <w:p>
      <w:pPr>
        <w:spacing w:after="0" w:line="162"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We reported interim safety and efficacy results from the Phase 1b clinical trial in March 2023, and provided updated data in November 2023 and June 2024. At the time of the June 2024 update, which reported data as of April 3, 2024, results from the 13 participants in the Phase 1b trial support tegoprubart’s potential to protect organ function in patients undergoing kidney transplantation. Data from historical studies using standard of care, calcineurin inhibitor-based, immunosuppression therapy typically report aggregate mean estimated glomerular filtration rates (eGFRs) of approximately 50 mL/min/1.73m2 during the first year after kidney transplant. In the ongoing Phase 1b trial, as of April 3, 2024, mean eGFR was above 60 mL/min/1.73m² at each reported time points after day 30, with an overall mean eGFR of 70.5 mL/min/1.73m² for all the reported time points after day 30 post-transplant. Two participants completed 12 months on therapy post-transplant, and both demonstrated mean eGFRs above 90 mL/min/1.73m² at one-year post-transplant. The interim results demonstrated that tegoprubart is generally safe and well tolerated in patients undergoing de novo kidney transplantation. As of April 3, 2024, three subjects have discontinued the study due to hair loss and fatigue, viral infection, and rejection, respectively. There have been no cases of hyperglycemia, new onset diabetes, or tremor, all of which are side effects often associated with standard of care immunosuppression therapy. There have been no cases of graft loss or death.</w:t>
      </w:r>
    </w:p>
    <w:p>
      <w:pPr>
        <w:spacing w:after="0" w:line="192" w:lineRule="exact"/>
        <w:rPr>
          <w:sz w:val="20"/>
          <w:szCs w:val="20"/>
          <w:color w:val="auto"/>
        </w:rPr>
      </w:pPr>
    </w:p>
    <w:p>
      <w:pPr>
        <w:ind w:right="80" w:firstLine="599"/>
        <w:spacing w:after="0" w:line="254" w:lineRule="auto"/>
        <w:rPr>
          <w:sz w:val="20"/>
          <w:szCs w:val="20"/>
          <w:color w:val="auto"/>
        </w:rPr>
      </w:pPr>
      <w:r>
        <w:rPr>
          <w:rFonts w:ascii="Times New Roman" w:cs="Times New Roman" w:eastAsia="Times New Roman" w:hAnsi="Times New Roman"/>
          <w:sz w:val="18"/>
          <w:szCs w:val="18"/>
          <w:color w:val="auto"/>
        </w:rPr>
        <w:t>In July 2022, we received Investigational New Drug (IND) application clearance from the FDA for our controlled, Phase 2 BESTOW trial of tegoprubart for the prevention of transplant rejection in persons receiving a kidney transplant. The BESTOW study is a multi-center, two-arm, active comparator, head-to-head superiority clinical study, and will enroll approximately 120 participants undergoing kidney transplantation in the U.S. and other countries to evaluate the safety, pharmacokinetics, and efficacy of tegoprubart compared to the calcineurin inhibitor tacrolimus. The study’s primary objective is to assess graft function as measured by estimated eGFR at 12 months post-transplant in participants treated with tegoprubart compared to tacrolimus. Secondary objectives will include assessment of graft survival, biopsy-proven acute rejection, and the incidence of new onset diabetes mellitus after transplant. The BESTOW study is running in parallel to the ongoing Phase 1b clinical trial of tegoprubart in kidney transplantation. The first subject in the BESTOW study was dosed in August 2023. On September 4, 2024, we announced the completion of enrollment in the BESTOW study.</w:t>
      </w:r>
    </w:p>
    <w:p>
      <w:pPr>
        <w:spacing w:after="0" w:line="192" w:lineRule="exact"/>
        <w:rPr>
          <w:sz w:val="20"/>
          <w:szCs w:val="20"/>
          <w:color w:val="auto"/>
        </w:rPr>
      </w:pPr>
    </w:p>
    <w:p>
      <w:pPr>
        <w:jc w:val="both"/>
        <w:ind w:firstLine="599"/>
        <w:spacing w:after="0" w:line="266" w:lineRule="auto"/>
        <w:rPr>
          <w:sz w:val="20"/>
          <w:szCs w:val="20"/>
          <w:color w:val="auto"/>
        </w:rPr>
      </w:pPr>
      <w:r>
        <w:rPr>
          <w:rFonts w:ascii="Times New Roman" w:cs="Times New Roman" w:eastAsia="Times New Roman" w:hAnsi="Times New Roman"/>
          <w:sz w:val="18"/>
          <w:szCs w:val="18"/>
          <w:color w:val="auto"/>
        </w:rPr>
        <w:t>In October 2023, we enrolled the first participant in a Phase 2 open-label extension (OLE) study which is designed to evaluate the long-term safety, pharmacokinetics, and efficacy of tegoprubart in participants who have completed one year of treatment in either the ongoing Phase 1b study or the Phase 2 BESTOW study.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the Prevention of Allograft Rejection in Xenotransplantation</w:t>
      </w:r>
    </w:p>
    <w:p>
      <w:pPr>
        <w:spacing w:after="0" w:line="121" w:lineRule="exact"/>
        <w:rPr>
          <w:sz w:val="20"/>
          <w:szCs w:val="20"/>
          <w:color w:val="auto"/>
        </w:rPr>
      </w:pPr>
    </w:p>
    <w:p>
      <w:pPr>
        <w:ind w:right="140" w:firstLine="599"/>
        <w:spacing w:after="0" w:line="282" w:lineRule="auto"/>
        <w:rPr>
          <w:sz w:val="20"/>
          <w:szCs w:val="20"/>
          <w:color w:val="auto"/>
        </w:rPr>
      </w:pPr>
      <w:r>
        <w:rPr>
          <w:rFonts w:ascii="Times New Roman" w:cs="Times New Roman" w:eastAsia="Times New Roman" w:hAnsi="Times New Roman"/>
          <w:sz w:val="18"/>
          <w:szCs w:val="18"/>
          <w:color w:val="auto"/>
        </w:rPr>
        <w:t>While inhibition of CD40L has shown it may play an important role in immunosuppression in allograft kidney transplantation, this mechanism of action may also play a role in the prevention of xenotransplant rejection (i.e., transplanting an organ from an animal to a human).</w:t>
      </w:r>
    </w:p>
    <w:p>
      <w:pPr>
        <w:spacing w:after="0" w:line="162"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In January 2023, we entered into a non-exclusive collaborative research agreement with eGenesis, Inc., ("eGenesis"), under which eGenesis gained access to tegoprubart for preclinical and clinical xenotransplantation studies in support of eGenesis’ kidney, heart and islet cell xenotransplantation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the Prevention of Allograft Rejection in Islet Cell Transplantation ("ICT")</w:t>
      </w:r>
    </w:p>
    <w:p>
      <w:pPr>
        <w:spacing w:after="0" w:line="121"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Type 1 diabetes ("T1D") is a T cell mediated autoimmune disease with progressive loss of insulin producing pancreatic beta cells and affects approximately 2 million persons in the United States. Approximately 33% of people with T1D report impaired awareness of hypoglycemia regardless of continuous glucose monitoring or automated insulin usage. Approximately 12% of people with T1D experience recurrent severe hypoglycemic events annually, putting them at higher risk for adverse outcomes. Approximately 5% to 8% of adults with T1D experience diabetic ketoacidosis annually, often as a result of poor glycemic control. ICT is gaining attention as a thera</w:t>
      </w:r>
      <w:r>
        <w:rPr>
          <w:rFonts w:ascii="Times New Roman" w:cs="Times New Roman" w:eastAsia="Times New Roman" w:hAnsi="Times New Roman"/>
          <w:sz w:val="18"/>
          <w:szCs w:val="18"/>
          <w:color w:val="231F20"/>
        </w:rPr>
        <w:t>peutic option for T1D because it can restore physiological insulin secretion, minimize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risk of hypoglycemic unawareness, and reduce the risk of death due to severe hypoglycemia. The advances made in this field over the past decade have improved patient outcomes, and the procedure has been evolving from an experimental treatment to a clinical treatment option.</w:t>
      </w:r>
    </w:p>
    <w:p>
      <w:pPr>
        <w:spacing w:after="0" w:line="189"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231F20"/>
        </w:rPr>
        <w:t>A number of issues are believed to continue to hamper the overall success of ICT and to need to be addressed in order for there to be widespread clinical acceptance. These include the acute loss of transplanted islets with current immunosuppressive treatments, particularly those with CNI-based therapies, due to islet cell toxicity and alloreactive immunologic responses to transplanted islets. Over time, the progressive loss of islet cells and decline in islet cell function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1" w:name="page32"/>
    <w:bookmarkEnd w:id="31"/>
    <w:p>
      <w:pPr>
        <w:ind w:right="420"/>
        <w:spacing w:after="0" w:line="261" w:lineRule="auto"/>
        <w:rPr>
          <w:sz w:val="20"/>
          <w:szCs w:val="20"/>
          <w:color w:val="auto"/>
        </w:rPr>
      </w:pPr>
      <w:r>
        <w:rPr>
          <w:rFonts w:ascii="Times New Roman" w:cs="Times New Roman" w:eastAsia="Times New Roman" w:hAnsi="Times New Roman"/>
          <w:sz w:val="18"/>
          <w:szCs w:val="18"/>
          <w:color w:val="231F20"/>
        </w:rPr>
        <w:t>can lead to the need for multiple transplants in order for T1D patients to have optimal response to blood glucose levels and possibly achieve insulin independence. Tegoprubart seeks to address the challenges associated with current ICT immunosuppressive regimens using CNI-based therapies, by replacing the CNIs with tegoprubart to prevent rejection and protect the transplanted cells. We believe that tegoprubart may unlock the ICT market by potentially improving islet cell graft survival and reduce the side effects associated with standard of care regimens.</w:t>
      </w:r>
    </w:p>
    <w:p>
      <w:pPr>
        <w:spacing w:after="0" w:line="180"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Historical studies in nonhuman primate models of ICT have demonstrated that treatment with anti-CD40L antibodies induces long term islet cell function and graft survival, even as a monotherapy. Tegoprubart has shown pre-clinical, proof-of-concept efficacy in a non-human primate model of T1D, where animals undergoing ICT maintained glucose control and sustained levels of C-peptide with chronic tegoprubart treatment for up to a year. Compared to combination immunosuppressive therapy including CNIs, tegoprubart monotherapy was more effective in preventing long term islet cell rejection, associated with better graft function, and showed an improved safety profile.</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2022, the FDA granted orphan designation to tegoprubart for the prevention of allograft rejection in pancreatic islet cell transplantation.</w:t>
      </w:r>
    </w:p>
    <w:p>
      <w:pPr>
        <w:spacing w:after="0" w:line="225"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In January 2024, we announced that tegoprubart would be utilized in an investigator-initiated trial, conducted at the University of Chicago Medicine's Transplantation Institute. This pilot study is assessing the safety of using a monoclonal antibody against CD40 ligand to achieve a calcineurin inhibitor-free immunosuppression regimen in patients with T1D mellitus undergoing islet cell transplantation. The Company is not funding this trial but is providing tegoprubart for use in the study.</w:t>
      </w:r>
    </w:p>
    <w:p>
      <w:pPr>
        <w:spacing w:after="0" w:line="180"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231F20"/>
        </w:rPr>
        <w:t>On October 29, 2024, positive data were reported for the first three islet transplant recipients in the study, potentially demonstrating the first human cases of insulin independence achieved using an anti-CD40L monoclonal antibody therapy without the use of tacrolimus. The first two subjects achieved insulin independence and normal hemoglobin A1C (HbA1c) levels, a measure of average blood glucose, post-transplant. The third subject, decreased insulin use by more than 60% three days following the procedure and continues on insulin independence trajectory typically observed one-to-two months post-transplant. Subjects in the study received islet transplants combined with induction therapy and for chronic maintenance therapy, mycophenolate mofetil plus tegoprubart given every third week by intravenous infusion. The first two subjects achieved insulin independence and presented stable islet graft function at approximately three months and six months post-transplant, respectively. Islet engraftment, measured by graft function standardized to the number of islets infused, was three to five times higher than three comparable subjects who received tacrolimus-based immunosuppression, suggesting treatment with tegoprubart is less toxic to transplanted islets resulting in improved graft survival and function. Treatment was generally well tolerated in all subjects with no unexpected adverse events or hypoglycemic episodes. After initial islet transplant, the first participant reduced insulin requirements by over 60% and normalized blood glucose control. The first patient then achieved insulin independence within approximately a week after the second islet transplantation procedure.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ALS</w:t>
      </w:r>
    </w:p>
    <w:p>
      <w:pPr>
        <w:spacing w:after="0" w:line="121" w:lineRule="exact"/>
        <w:rPr>
          <w:sz w:val="20"/>
          <w:szCs w:val="20"/>
          <w:color w:val="auto"/>
        </w:rPr>
      </w:pPr>
    </w:p>
    <w:p>
      <w:pPr>
        <w:jc w:val="both"/>
        <w:ind w:right="180" w:firstLine="599"/>
        <w:spacing w:after="0" w:line="261" w:lineRule="auto"/>
        <w:rPr>
          <w:sz w:val="20"/>
          <w:szCs w:val="20"/>
          <w:color w:val="auto"/>
        </w:rPr>
      </w:pPr>
      <w:r>
        <w:rPr>
          <w:rFonts w:ascii="Times New Roman" w:cs="Times New Roman" w:eastAsia="Times New Roman" w:hAnsi="Times New Roman"/>
          <w:sz w:val="18"/>
          <w:szCs w:val="18"/>
          <w:color w:val="auto"/>
        </w:rPr>
        <w:t>ALS is a progressive, paralytic disorder characterized by degeneration of motor neurons in the brain and spinal cord. In the U.S., the incidence is estimated at approximately 5,000 cases per year with a prevalence of approximately 30,000 cases overall. Despite 3 approved drugs, in most cases, death from respiratory failure occurs between 3 to 5 years from diagnosis, with 50% of patients living at least 3 years from diagnosis and only 20% of patients living at least 5 years from diagnosis.</w:t>
      </w:r>
    </w:p>
    <w:p>
      <w:pPr>
        <w:spacing w:after="0" w:line="180" w:lineRule="exact"/>
        <w:rPr>
          <w:sz w:val="20"/>
          <w:szCs w:val="20"/>
          <w:color w:val="auto"/>
        </w:rPr>
      </w:pPr>
    </w:p>
    <w:p>
      <w:pPr>
        <w:ind w:right="280" w:firstLine="599"/>
        <w:spacing w:after="0" w:line="258" w:lineRule="auto"/>
        <w:rPr>
          <w:sz w:val="20"/>
          <w:szCs w:val="20"/>
          <w:color w:val="auto"/>
        </w:rPr>
      </w:pPr>
      <w:r>
        <w:rPr>
          <w:rFonts w:ascii="Times New Roman" w:cs="Times New Roman" w:eastAsia="Times New Roman" w:hAnsi="Times New Roman"/>
          <w:sz w:val="18"/>
          <w:szCs w:val="18"/>
          <w:color w:val="auto"/>
        </w:rPr>
        <w:t>While the exact pathogenic mechanism of ALS is still not fully understood, there is strong evidence indicating that neuroinflammation plays an important role in the disease’s pathogenesis. Neuroinflammation in ALS is characterized by the infiltration of lymphocytes and macrophages into the central nervous system, and the activation of microglia and reactive astrocytes. Reactive astrocytes and microglia as well as infiltrating lymphocytes, dendritic cells, monocytes, macrophages and immune complexes have been identified in cerebrospinal fluid and neural tissues in both animal models of ALS and at autopsy in ALS patients.</w:t>
      </w:r>
    </w:p>
    <w:p>
      <w:pPr>
        <w:spacing w:after="0" w:line="183" w:lineRule="exact"/>
        <w:rPr>
          <w:sz w:val="20"/>
          <w:szCs w:val="20"/>
          <w:color w:val="auto"/>
        </w:rPr>
      </w:pPr>
    </w:p>
    <w:p>
      <w:pPr>
        <w:ind w:right="180" w:firstLine="599"/>
        <w:spacing w:after="0" w:line="256" w:lineRule="auto"/>
        <w:rPr>
          <w:sz w:val="20"/>
          <w:szCs w:val="20"/>
          <w:color w:val="auto"/>
        </w:rPr>
      </w:pPr>
      <w:r>
        <w:rPr>
          <w:rFonts w:ascii="Times New Roman" w:cs="Times New Roman" w:eastAsia="Times New Roman" w:hAnsi="Times New Roman"/>
          <w:sz w:val="18"/>
          <w:szCs w:val="18"/>
          <w:color w:val="auto"/>
        </w:rPr>
        <w:t>Tegoprubart is designed to block CD40L binding to CD40, thereby potentially inhibiting neuroinflammatory pathways leading to disease progression in ALS. In vitro proof-of-concept studies have shown that tegoprubart binds to CD40L in human cells and blocks CD40L binding on antigen presenting cells and activated T cells. The potential for therapeutic benefit of CD40L blockage in treating ALS has been demonstrated in a SOD1 mouse model of ALS, where a murine anti-CD40L antibody, MR1, prolonged survival and delayed the onset of neurological disease progression. These pathophysiological manifestations are believed to be due to reduced immune cell infiltration of macrophages into skeletal muscle and their destroying denervated nerves. The plasticity of the nervous system to repair itself in the absence of this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2" w:name="page33"/>
    <w:bookmarkEnd w:id="32"/>
    <w:p>
      <w:pPr>
        <w:ind w:right="320"/>
        <w:spacing w:after="0" w:line="282" w:lineRule="auto"/>
        <w:rPr>
          <w:sz w:val="20"/>
          <w:szCs w:val="20"/>
          <w:color w:val="auto"/>
        </w:rPr>
      </w:pPr>
      <w:r>
        <w:rPr>
          <w:rFonts w:ascii="Times New Roman" w:cs="Times New Roman" w:eastAsia="Times New Roman" w:hAnsi="Times New Roman"/>
          <w:sz w:val="18"/>
          <w:szCs w:val="18"/>
          <w:color w:val="auto"/>
        </w:rPr>
        <w:t>immune cell attack is believed to result in improved neuromuscular junction occupancy and improved muscle function. Blocking CD40L signaling also prevents pro-inflammatory polarization of lymphocytes, reduced neuroinflammation and improved motor neuron survival in rodent ALS models.</w:t>
      </w:r>
    </w:p>
    <w:p>
      <w:pPr>
        <w:spacing w:after="0" w:line="162" w:lineRule="exact"/>
        <w:rPr>
          <w:sz w:val="20"/>
          <w:szCs w:val="20"/>
          <w:color w:val="auto"/>
        </w:rPr>
      </w:pPr>
    </w:p>
    <w:p>
      <w:pPr>
        <w:ind w:right="40" w:firstLine="599"/>
        <w:spacing w:after="0" w:line="261" w:lineRule="auto"/>
        <w:rPr>
          <w:sz w:val="20"/>
          <w:szCs w:val="20"/>
          <w:color w:val="auto"/>
        </w:rPr>
      </w:pPr>
      <w:r>
        <w:rPr>
          <w:rFonts w:ascii="Times New Roman" w:cs="Times New Roman" w:eastAsia="Times New Roman" w:hAnsi="Times New Roman"/>
          <w:sz w:val="18"/>
          <w:szCs w:val="18"/>
          <w:color w:val="auto"/>
        </w:rPr>
        <w:t>In 2018, the FDA granted orphan drug designation to tegoprubart for ALS. In 2019, we completed a single ascending dose Phase 1 study of tegoprubart in healthy volunteers and people with ALS. In this study, the doses of tegoprubart studied were well tolerated in healthy adult subjects and adults with ALS. Tegoprubart demonstrated low anti-drug antibody responses that were not dose related, linear dose proportionality across the dose ranges, and a half-life of up to 26 days.</w:t>
      </w:r>
    </w:p>
    <w:p>
      <w:pPr>
        <w:spacing w:after="0" w:line="180" w:lineRule="exact"/>
        <w:rPr>
          <w:sz w:val="20"/>
          <w:szCs w:val="20"/>
          <w:color w:val="auto"/>
        </w:rPr>
      </w:pPr>
    </w:p>
    <w:p>
      <w:pPr>
        <w:ind w:right="120" w:firstLine="599"/>
        <w:spacing w:after="0" w:line="253" w:lineRule="auto"/>
        <w:rPr>
          <w:sz w:val="20"/>
          <w:szCs w:val="20"/>
          <w:color w:val="auto"/>
        </w:rPr>
      </w:pPr>
      <w:r>
        <w:rPr>
          <w:rFonts w:ascii="Times New Roman" w:cs="Times New Roman" w:eastAsia="Times New Roman" w:hAnsi="Times New Roman"/>
          <w:sz w:val="18"/>
          <w:szCs w:val="18"/>
          <w:color w:val="auto"/>
        </w:rPr>
        <w:t>In October 2020, we initiated a Phase 2a, open-label, multi-center study to evaluate the safety and tolerability of multiple doses of tegoprubart in adult subjects with ALS. Fifty-four subjects with ALS were enrolled into the study in the United States and Canada at 13 ALS treatment sites. Ascending doses of tegoprubart were administered as IV infusions to four sequentially enrolling cohorts. The first two cohorts consisted of nine participants, and the last two cohorts of 18 participants each. All enrolled subjects received six infusions of tegoprubart over a 12 week period. Blood samples for target engagement, and exploratory biomarkers for inflammation and neurodegeneration were taken and analyzed. Participant-focused clinical outcomes were also assessed. In May 2022, we completed the Phase 2a study and released positive topline results. Tegoprubart successfully met the primary endpoints of safety and tolerability. Fifty of the fifty-four subjects completed all six study infusions, and adverse events were typical of an ALS patient population. Tegoprubart was well-tolerated, and no drug-related serious adverse events were observed. No new safety signals emerged. Anti-drug antibodies (ADAs) were present in less than 5 percent of samples. All ADAs were of low titer and did not impact tegoprubart drug levels. Tegoprubart target engagement was demonstrated in all dose cohorts with increasing target engagement in a dose-dependent manner, plateauing at the 4 and 8 mg / kg dosing levels using CD40L and CXCL13 biomarkers related to T cell and B cell function, respectively. Tegoprubart exposure decreased inflammatory biomarker levels, in a dose dependent manner, in 20 of 32 pro-inflammatory proteins. Pro-inflammatory biomarkers reduced included biomarkers also associated with IgA nephropathy and kidney transplant rejection, such as IgA, IgE, IgM, C3, CXCL9, and CXCL10.</w:t>
      </w:r>
    </w:p>
    <w:p>
      <w:pPr>
        <w:spacing w:after="0" w:line="187"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We are seeking to further progress ALS clinical development and plan to work with key stakeholders on potential next steps to do so. However, we will be unable to continue our clinical development of tegoprubart for people with ALS without additional financing specific for our ALS program, and we can provide no assurances that we will be able to obtain financing on acceptable terms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IgA Nephropathy</w:t>
      </w:r>
    </w:p>
    <w:p>
      <w:pPr>
        <w:spacing w:after="0" w:line="121"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In January 2023, the Company announced the deprioritization of its IgAN program and all IgAN clinical development activities were discontinued in 2023. IgAN is the leading cause of chronic glomerulonephritis, a state of inflammation producing damage to the filtering part of the kidney. Disease manifestation and clinical presentation involves renal dysfunction characterized by proteinuria with a slow relentless course. Approximately 30%-40% of persons living with IgAN ultimately reach end stage renal disease (ESRD). The standard of care for ESRD is dialysis or kidney transplant, which represents a significant economic burden as well as a major impact on a patient’s quality of life. With an estimated prevalence of approximately 150,000 persons in the United States, IgAN is one of the most common autoimmune glomerulonephropathies. In the United States, oral budesonide Tarpeyo was approved for use in IgAN by the FDA in December 2021 and Kinpeygo received conditional approval by the European Medicines Agency (“EMA”) in July 2022.</w:t>
      </w:r>
    </w:p>
    <w:p>
      <w:pPr>
        <w:spacing w:after="0" w:line="189" w:lineRule="exact"/>
        <w:rPr>
          <w:sz w:val="20"/>
          <w:szCs w:val="20"/>
          <w:color w:val="auto"/>
        </w:rPr>
      </w:pPr>
    </w:p>
    <w:p>
      <w:pPr>
        <w:ind w:right="180" w:firstLine="599"/>
        <w:spacing w:after="0" w:line="261" w:lineRule="auto"/>
        <w:rPr>
          <w:sz w:val="20"/>
          <w:szCs w:val="20"/>
          <w:color w:val="auto"/>
        </w:rPr>
      </w:pPr>
      <w:r>
        <w:rPr>
          <w:rFonts w:ascii="Times New Roman" w:cs="Times New Roman" w:eastAsia="Times New Roman" w:hAnsi="Times New Roman"/>
          <w:sz w:val="18"/>
          <w:szCs w:val="18"/>
          <w:color w:val="auto"/>
        </w:rPr>
        <w:t>In August 2022, we received IND clearance from the FDA to evaluate tegoprubart for the treatment of IgAN. The Phase 2 global study was a 96-week open-label, dose ranging trial, and included both a high dose and a low dose cohort. The primary endpoint was change in urinary protein:creatinine ratio at week twenty-four. Secondary endpoints included change in estimated Glomerular Filtration Rate (eGFR) at week 96 as well as safety and tolerability. The first subject was dosed in May 2022.</w:t>
      </w:r>
    </w:p>
    <w:p>
      <w:pPr>
        <w:spacing w:after="0" w:line="180" w:lineRule="exact"/>
        <w:rPr>
          <w:sz w:val="20"/>
          <w:szCs w:val="20"/>
          <w:color w:val="auto"/>
        </w:rPr>
      </w:pPr>
    </w:p>
    <w:p>
      <w:pPr>
        <w:ind w:right="140" w:firstLine="599"/>
        <w:spacing w:after="0" w:line="282" w:lineRule="auto"/>
        <w:rPr>
          <w:sz w:val="20"/>
          <w:szCs w:val="20"/>
          <w:color w:val="auto"/>
        </w:rPr>
      </w:pPr>
      <w:r>
        <w:rPr>
          <w:rFonts w:ascii="Times New Roman" w:cs="Times New Roman" w:eastAsia="Times New Roman" w:hAnsi="Times New Roman"/>
          <w:sz w:val="18"/>
          <w:szCs w:val="18"/>
          <w:color w:val="auto"/>
        </w:rPr>
        <w:t>In January 2023, we announced the deprioritization of our IgAN program to focus resources on our kidney transplantation programs. We reported interim safety data from the Phase 2 high dose cohort in March 2023. All IgAN clinical development activities were discontinued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Securities Purchase Agreement</w:t>
      </w:r>
    </w:p>
    <w:p>
      <w:pPr>
        <w:spacing w:after="0" w:line="121" w:lineRule="exact"/>
        <w:rPr>
          <w:sz w:val="20"/>
          <w:szCs w:val="20"/>
          <w:color w:val="auto"/>
        </w:rPr>
      </w:pPr>
    </w:p>
    <w:p>
      <w:pPr>
        <w:ind w:right="340" w:firstLine="599"/>
        <w:spacing w:after="0" w:line="282" w:lineRule="auto"/>
        <w:rPr>
          <w:sz w:val="20"/>
          <w:szCs w:val="20"/>
          <w:color w:val="auto"/>
        </w:rPr>
      </w:pPr>
      <w:r>
        <w:rPr>
          <w:rFonts w:ascii="Times New Roman" w:cs="Times New Roman" w:eastAsia="Times New Roman" w:hAnsi="Times New Roman"/>
          <w:sz w:val="18"/>
          <w:szCs w:val="18"/>
          <w:color w:val="auto"/>
        </w:rPr>
        <w:t>On April 28, 2023, we entered into a Securities Purchase Agreement (the “2023 Securities Purchase Agreement”) with certain institutional and accredited investors, pursuant to which we agreed to issue and sell to the investors in a private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placement (the “2023 Private Placement”) (i) in an initial closing, (a) an aggregate of 15,151,518 shares (the “Shares”) of our common stock, $0.001 par value per share, or pre-funded warrants in lieu thereof (the “Pre-Funded Warrants”), and (b) common stock warrants exercisable into an aggregate of 15,151,518 shares of common stock (or Pre-Funded Warrants in lieu thereof) (the “Common Warrants” and, together with the Pre-Funded Warrants, the “Warrants”); (ii) in a second closing (the “Second Closing”), upon the satisfaction or waiver of specified conditions set forth in the 2023 Securities Purchase Agreement, an aggregate of 20,202,024 shares of common stock (or Pre-Funded Warrants); and (iii) in a third closing (the “Third Closing”), upon the satisfaction or waiver of specified conditions set forth in the 2023 Securities Purchase Agreement, an aggregate of 25,252,530 shares of common stock (or Pre-Funded Warrants), in each case subject to customary adjustments as provided in the 2023 Securities Purchase Agreement, Pre-Funded Warrant or Common Warrant, as applicable. Each Common Warrant has an exercise price of $3.00 per share and expires five years after issuance. The Pre-Funded Warrants are exercisable immediately and until exercised in full, with an exercise price of $0.001 per share. The Pre-Funded Warrants and Common Warrants are subject to specified beneficial ownership limitations, which are generally set at 9.99% of the total common stock then issued and outstanding immediately following the exercise of such warrants, and provided that any beneficial ownership limitation may not exceed 19.99% unless otherwise permitted. The Shares, the Warrants, and the shares of common stock issuable upon the exercise of the Warrants, have not been registered under the Securities Act of 1933, as amended, and were offered pursuant to the exemption from registration provided in Section 4(a)(2) under the Securities Act of 1933, as amended, and Rule 506(b) promulgated thereunder.</w:t>
      </w:r>
    </w:p>
    <w:p>
      <w:pPr>
        <w:spacing w:after="0" w:line="197" w:lineRule="exact"/>
        <w:rPr>
          <w:sz w:val="20"/>
          <w:szCs w:val="20"/>
          <w:color w:val="auto"/>
        </w:rPr>
      </w:pPr>
    </w:p>
    <w:p>
      <w:pPr>
        <w:jc w:val="both"/>
        <w:ind w:right="20" w:firstLine="599"/>
        <w:spacing w:after="0" w:line="266" w:lineRule="auto"/>
        <w:rPr>
          <w:sz w:val="20"/>
          <w:szCs w:val="20"/>
          <w:color w:val="auto"/>
        </w:rPr>
      </w:pPr>
      <w:r>
        <w:rPr>
          <w:rFonts w:ascii="Times New Roman" w:cs="Times New Roman" w:eastAsia="Times New Roman" w:hAnsi="Times New Roman"/>
          <w:sz w:val="18"/>
          <w:szCs w:val="18"/>
          <w:color w:val="auto"/>
        </w:rPr>
        <w:t>On May 5, 2023, the initial closing occurred and we received gross proceeds of $35.0 million, or net proceeds of approximately $33.0 million after deducting underwriting discounts and commissions and offering expenses, in exchange for 8,730,168 shares of common stock and Pre-Funded Warrants to purchase 6,421,350 shares of common stock.</w:t>
      </w:r>
    </w:p>
    <w:p>
      <w:pPr>
        <w:spacing w:after="0" w:line="176" w:lineRule="exact"/>
        <w:rPr>
          <w:sz w:val="20"/>
          <w:szCs w:val="20"/>
          <w:color w:val="auto"/>
        </w:rPr>
      </w:pPr>
    </w:p>
    <w:p>
      <w:pPr>
        <w:ind w:right="260" w:firstLine="599"/>
        <w:spacing w:after="0" w:line="282" w:lineRule="auto"/>
        <w:rPr>
          <w:sz w:val="20"/>
          <w:szCs w:val="20"/>
          <w:color w:val="auto"/>
        </w:rPr>
      </w:pPr>
      <w:r>
        <w:rPr>
          <w:rFonts w:ascii="Times New Roman" w:cs="Times New Roman" w:eastAsia="Times New Roman" w:hAnsi="Times New Roman"/>
          <w:sz w:val="18"/>
          <w:szCs w:val="18"/>
          <w:color w:val="auto"/>
        </w:rPr>
        <w:t>On July 8, 2024, the Second Closing occurred and the Company received gross proceeds of $2.1 million, or net proceeds of approximately $2.0 million after deducting underwriting discounts and commissions and offering expenses, in exchange for 909,088 shares of common stock.</w:t>
      </w:r>
    </w:p>
    <w:p>
      <w:pPr>
        <w:spacing w:after="0" w:line="162" w:lineRule="exact"/>
        <w:rPr>
          <w:sz w:val="20"/>
          <w:szCs w:val="20"/>
          <w:color w:val="auto"/>
        </w:rPr>
      </w:pPr>
    </w:p>
    <w:p>
      <w:pPr>
        <w:ind w:right="140" w:firstLine="599"/>
        <w:spacing w:after="0" w:line="266" w:lineRule="auto"/>
        <w:rPr>
          <w:sz w:val="20"/>
          <w:szCs w:val="20"/>
          <w:color w:val="auto"/>
        </w:rPr>
      </w:pPr>
      <w:r>
        <w:rPr>
          <w:rFonts w:ascii="Times New Roman" w:cs="Times New Roman" w:eastAsia="Times New Roman" w:hAnsi="Times New Roman"/>
          <w:sz w:val="18"/>
          <w:szCs w:val="18"/>
          <w:color w:val="auto"/>
        </w:rPr>
        <w:t>On September 30, 2024 and October 1, 2024, the Third Closing occurred and the Company received gross proceeds of $4.0 million, or net proceeds of approximately $3.8 million after deducting underwriting discounts and commissions and offering expenses, in exchange for 1,727,400 shares of common stock.</w:t>
      </w:r>
    </w:p>
    <w:p>
      <w:pPr>
        <w:spacing w:after="0" w:line="176"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In connection with the 2023 Private Placement, the Company filed on May 18, 2023, a registration statement on Form S-3 (the “2023 Registration Statement”) with the SEC to register for resale the Shares and the shares of common stock issuable upon the exercise of the Warrants. The 2023 Registration Statement became effective on June 2,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Securities Purchase Agreement</w:t>
      </w:r>
    </w:p>
    <w:p>
      <w:pPr>
        <w:spacing w:after="0" w:line="121"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On May 6, 2024, we entered into a Securities Purchase Agreement (the “2024 Securities Purchase Agreement”) with certain institutional and accredited investors, pursuant to which we agreed to issue and sell to the investors in a private placement (the “2024 Private Placement”) an aggregate of 13,110,484 shares (the “2024 Shares”) of our common stock, $0.001 par value per share at a price of $2.37 per share, and pre-funded warrants (the “2024 Pre-Funded Warrants”) at a price of $2.369 per underlying share, which are exercisable to purchase 7,989,516 shares of common stock at an exercise price of $0.001 per share. The 2024 Pre-Funded Warrants were issued in lieu of shares of common stock and are exercisable immediately and until exercised in full. The 2024 Pre-Funded Warrants are subject to specified beneficial ownership limitations (equal to 4.99% or 9.99% as determined by holder of each such warrant) of the total common stock then issued and outstanding immediately following the exercise of such warrants, and provided that any beneficial ownership limitation may not exceed 19.99% unless otherwise permitted.</w:t>
      </w:r>
    </w:p>
    <w:p>
      <w:pPr>
        <w:spacing w:after="0" w:line="192"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The 2024 Private Placement resulted in gross proceeds to the Company of $50.0 million, or net proceeds of approximately $48.1 million after deducting offering costs. We intend to use the net proceeds from the 2024 Private Placement to fund pre-commercial activities for its products and general corporate purposes.</w:t>
      </w:r>
    </w:p>
    <w:p>
      <w:pPr>
        <w:spacing w:after="0" w:line="176" w:lineRule="exact"/>
        <w:rPr>
          <w:sz w:val="20"/>
          <w:szCs w:val="20"/>
          <w:color w:val="auto"/>
        </w:rPr>
      </w:pPr>
    </w:p>
    <w:p>
      <w:pPr>
        <w:jc w:val="both"/>
        <w:ind w:right="820" w:firstLine="599"/>
        <w:spacing w:after="0" w:line="266" w:lineRule="auto"/>
        <w:rPr>
          <w:sz w:val="20"/>
          <w:szCs w:val="20"/>
          <w:color w:val="auto"/>
        </w:rPr>
      </w:pPr>
      <w:r>
        <w:rPr>
          <w:rFonts w:ascii="Times New Roman" w:cs="Times New Roman" w:eastAsia="Times New Roman" w:hAnsi="Times New Roman"/>
          <w:sz w:val="18"/>
          <w:szCs w:val="18"/>
          <w:color w:val="auto"/>
        </w:rPr>
        <w:t>In connection with the 2024 Private Placement, on May 24, 2024, we filed a registration statement on Form S-3 (the “2024 Registration Statement”) with the SEC to register for resale the Shares and the shares of common stock issuable upon the exercise of the Warrants. The 2024 Registration Statement became effective on June 5,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Distribution Agreement</w:t>
      </w:r>
    </w:p>
    <w:p>
      <w:pPr>
        <w:spacing w:after="0" w:line="12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On September 20, 2024, the Company entered into an Open Market Sale Agreement (the “Sales Agreement”) with Guggenheim Securities, LLC (“Guggenheim Securities”) to sell shares of the Company’s common stock, par value $0.001 per share (the “Common Stock”), having aggregate sales proceeds of up to $75.0 million, from time to time, through an “at the market” equity offering program under which Guggenheim Securities will act as sales agent. In connection with the Sales Agreement, we filed a registration statement on Form S-3 containing a prospectus and prospectus supplement (the “ATM Registration Statement”) with the SEC. The ATM Registration Statement became effective on October 2, 2024. The Company has not sold any shares under the Sales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Underwriting Agreement</w:t>
      </w:r>
    </w:p>
    <w:p>
      <w:pPr>
        <w:spacing w:after="0" w:line="12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On October 29, 2024, we entered into an underwriting agreement (the “Underwriting Agreement”) with Leerink Partners, LLC, as representative of the several underwriters named therein (the “Underwriters”) in connection with the underwritten offering, issuance and sale by the Company (the “Offering”) of 18,356,173 shares of the Company’s common stock, par value $0.001 per share, at an offering price of $3.65 per share, and pre-funded warrants at a price of $3.649 per pre-funded warrant, which are exercisable to purchase 4,931,507 shares of the Company’s common stock at an exercise price of $0.001 per share.</w:t>
      </w:r>
    </w:p>
    <w:p>
      <w:pPr>
        <w:spacing w:after="0" w:line="183"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The Offering closed on October 30, 2024 and resulted in gross proceeds of $85 million, or net proceeds of approximately $79.5 million after deducting underwriting discounts and commissions and offering expenses. We currently plan to use the net proceeds from the 2024 Offering to advance our pipeline and for working capital and general corporate purposes. The Offering is being made pursuant to our registration statement on Form S-3 (File No. 333-282260), previously filed with the SEC on September 20, 2024 and declared effective by the SEC on October 2, 2024 and a prospectus supplement relating to the Offering dated October 29, 2024.</w:t>
      </w:r>
    </w:p>
    <w:p>
      <w:pPr>
        <w:spacing w:after="0" w:line="183"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A holder of the pre-funded warrants (together with its affiliates) may not exercise any portion of a pre-funded warrant to the extent that the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the our common stock outstanding immediately after giving effect to the issuance of shares of common stock issuable upon exercise of such warrant.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121" w:lineRule="exact"/>
        <w:rPr>
          <w:sz w:val="20"/>
          <w:szCs w:val="20"/>
          <w:color w:val="auto"/>
        </w:rPr>
      </w:pPr>
    </w:p>
    <w:p>
      <w:pPr>
        <w:ind w:right="100" w:firstLine="599"/>
        <w:spacing w:after="0" w:line="271" w:lineRule="auto"/>
        <w:rPr>
          <w:sz w:val="20"/>
          <w:szCs w:val="20"/>
          <w:color w:val="auto"/>
        </w:rPr>
      </w:pPr>
      <w:r>
        <w:rPr>
          <w:rFonts w:ascii="Times New Roman" w:cs="Times New Roman" w:eastAsia="Times New Roman" w:hAnsi="Times New Roman"/>
          <w:sz w:val="17"/>
          <w:szCs w:val="17"/>
          <w:color w:val="auto"/>
        </w:rPr>
        <w:t>The global economy, including the financial and credit markets, has recently experienced extreme volatility and disruptions, including severely diminished liquidity and credit availability, declines in consumer confidence, declines in economic growth, increases in unemployment rates, increases in inflation rates, elevated interest rates and uncertainty about economic stability. Likewise, the current conflicts in Ukraine and the Middle East have created extreme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w:t>
      </w:r>
    </w:p>
    <w:p>
      <w:pPr>
        <w:spacing w:after="0" w:line="173" w:lineRule="exact"/>
        <w:rPr>
          <w:sz w:val="20"/>
          <w:szCs w:val="20"/>
          <w:color w:val="auto"/>
        </w:rPr>
      </w:pPr>
    </w:p>
    <w:p>
      <w:pPr>
        <w:ind w:right="340" w:firstLine="599"/>
        <w:spacing w:after="0" w:line="282" w:lineRule="auto"/>
        <w:rPr>
          <w:sz w:val="20"/>
          <w:szCs w:val="20"/>
          <w:color w:val="auto"/>
        </w:rPr>
      </w:pPr>
      <w:r>
        <w:rPr>
          <w:rFonts w:ascii="Times New Roman" w:cs="Times New Roman" w:eastAsia="Times New Roman" w:hAnsi="Times New Roman"/>
          <w:sz w:val="18"/>
          <w:szCs w:val="18"/>
          <w:color w:val="auto"/>
        </w:rPr>
        <w:t>Any of the foregoing items could materially affect our business, possibly to a significant degree. The severity and duration of any such impacts cannot be predicted. See Item 1A, “Risk Factors”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right="160"/>
        <w:spacing w:after="0" w:line="258" w:lineRule="auto"/>
        <w:rPr>
          <w:sz w:val="20"/>
          <w:szCs w:val="20"/>
          <w:color w:val="auto"/>
        </w:rPr>
      </w:pPr>
      <w:r>
        <w:rPr>
          <w:rFonts w:ascii="Times New Roman" w:cs="Times New Roman" w:eastAsia="Times New Roman" w:hAnsi="Times New Roman"/>
          <w:sz w:val="18"/>
          <w:szCs w:val="18"/>
          <w:color w:val="auto"/>
        </w:rPr>
        <w:t>liabilities that are not readily apparent from other sources. Actual results may differ materially from these estimates under different assumptions or conditions. In Part II, Item 7 of our Amended Form 10-K, we disclosed our critical accounting estimates, which are those estimates made in accordance with GAAP that involve a significant level of estimation uncertainty and have had or are reasonably likely to have a material impact on our financial condition or results of operation. There have been no significant changes in our critical accounting estimates during the nine months ended September 30, 2024, as compared to those disclosed in the Amended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September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16,520</w:t>
            </w:r>
          </w:p>
        </w:tc>
        <w:tc>
          <w:tcPr>
            <w:tcW w:w="80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7,931</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8,589</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3,267</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7"/>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20,510</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11,198</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9,312</w:t>
            </w:r>
          </w:p>
        </w:tc>
        <w:tc>
          <w:tcPr>
            <w:tcW w:w="0" w:type="dxa"/>
            <w:vAlign w:val="bottom"/>
          </w:tcPr>
          <w:p>
            <w:pPr>
              <w:spacing w:after="0"/>
              <w:rPr>
                <w:sz w:val="1"/>
                <w:szCs w:val="1"/>
                <w:color w:val="auto"/>
              </w:rPr>
            </w:pPr>
          </w:p>
        </w:tc>
      </w:tr>
      <w:tr>
        <w:trPr>
          <w:trHeight w:val="241"/>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(20,510 )</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(9,312 )</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 and fair value of financial</w:t>
            </w: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issued in excess of proceeds</w:t>
            </w:r>
          </w:p>
        </w:tc>
        <w:tc>
          <w:tcPr>
            <w:tcW w:w="10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96,439</w:t>
            </w:r>
          </w:p>
        </w:tc>
        <w:tc>
          <w:tcPr>
            <w:tcW w:w="2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95,996</w:t>
            </w:r>
          </w:p>
        </w:tc>
        <w:tc>
          <w:tcPr>
            <w:tcW w:w="0" w:type="dxa"/>
            <w:vAlign w:val="bottom"/>
          </w:tcPr>
          <w:p>
            <w:pPr>
              <w:spacing w:after="0"/>
              <w:rPr>
                <w:sz w:val="1"/>
                <w:szCs w:val="1"/>
                <w:color w:val="auto"/>
              </w:rPr>
            </w:pPr>
          </w:p>
        </w:tc>
      </w:tr>
      <w:tr>
        <w:trPr>
          <w:trHeight w:val="232"/>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76,971</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(9,906 )</w:t>
            </w:r>
          </w:p>
        </w:tc>
        <w:tc>
          <w:tcPr>
            <w:tcW w:w="1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86,877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10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77,073</w:t>
            </w:r>
          </w:p>
        </w:tc>
        <w:tc>
          <w:tcPr>
            <w:tcW w:w="80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86,979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-1302385</wp:posOffset>
            </wp:positionV>
            <wp:extent cx="1289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-1302385</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1289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$8.6 million to $16.5 million for the three months ended September 30, 2024, as compared to $7.9 million for the three months ended September 30, 2023. The increase was primarily driven by a $7.8 million rise in clinical development expenses with external contract research organizations, a $0.5 million increase in employee compensation and benefits, a $0.2 million increase in expenses related to the production of clinical trial materials, and a $0.1 million increase in non-cash stock-based compensation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80" w:firstLine="59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$0.7 million to $4.0 million for the three months ended September 30, 2024, compared to $3.3 million for the three months ended September 30, 2023. The increase was primarily due to a $0.5 million rise in professional services and a $0.2 million increase in general operating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00" w:firstLine="599"/>
        <w:spacing w:after="0" w:line="282" w:lineRule="auto"/>
        <w:rPr>
          <w:sz w:val="20"/>
          <w:szCs w:val="20"/>
          <w:color w:val="auto"/>
        </w:rPr>
      </w:pPr>
      <w:r>
        <w:rPr>
          <w:rFonts w:ascii="Times New Roman" w:cs="Times New Roman" w:eastAsia="Times New Roman" w:hAnsi="Times New Roman"/>
          <w:sz w:val="18"/>
          <w:szCs w:val="18"/>
          <w:color w:val="auto"/>
        </w:rPr>
        <w:t>The change in other income, net, was primarily due to an increase in interest income, driven by higher balances of cash equivalents and short-term investments for the three months ended September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 and fair value of financial instruments issued in excess of proceeds</w:t>
      </w:r>
    </w:p>
    <w:p>
      <w:pPr>
        <w:spacing w:after="0" w:line="119"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the fair value of warrant liabilities and fair value of financial instruments issued in excess of proceeds increased by $96.0 million to $96.4 million. The change was primarily due to the reversal of $94.5 million in warrant liabilities associated with the Subsequent Closing Warrants, which expired during the quarter ended September 30,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nine months ended September 30, 2024, and 2023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34,036</w:t>
            </w:r>
          </w:p>
        </w:tc>
        <w:tc>
          <w:tcPr>
            <w:tcW w:w="7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23,245</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11,845</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9,417</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37"/>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45,881</w:t>
            </w: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32,662</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(45,881 )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(32,662 )</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(13,219 )</w:t>
            </w: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 and fair value of financial</w:t>
            </w: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issued in excess of proceeds</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51,829</w:t>
            </w:r>
          </w:p>
        </w:tc>
        <w:tc>
          <w:tcPr>
            <w:tcW w:w="18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(55,738 )</w:t>
            </w:r>
          </w:p>
        </w:tc>
        <w:tc>
          <w:tcPr>
            <w:tcW w:w="1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107,567</w:t>
            </w:r>
          </w:p>
        </w:tc>
        <w:tc>
          <w:tcPr>
            <w:tcW w:w="0" w:type="dxa"/>
            <w:vAlign w:val="bottom"/>
          </w:tcPr>
          <w:p>
            <w:pPr>
              <w:spacing w:after="0"/>
              <w:rPr>
                <w:sz w:val="1"/>
                <w:szCs w:val="1"/>
                <w:color w:val="auto"/>
              </w:rPr>
            </w:pPr>
          </w:p>
        </w:tc>
      </w:tr>
      <w:tr>
        <w:trPr>
          <w:trHeight w:val="232"/>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8,433</w:t>
            </w:r>
          </w:p>
        </w:tc>
        <w:tc>
          <w:tcPr>
            <w:tcW w:w="18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(86,438 )</w:t>
            </w:r>
          </w:p>
        </w:tc>
        <w:tc>
          <w:tcPr>
            <w:tcW w:w="1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94,871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9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8,535</w:t>
            </w:r>
          </w:p>
        </w:tc>
        <w:tc>
          <w:tcPr>
            <w:tcW w:w="7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(86,438 )</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94,973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-1302385</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-1302385</wp:posOffset>
            </wp:positionV>
            <wp:extent cx="12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120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$10.8 million to $34.0 million for the nine months ended September 30, 2024, as compared to $23.2 million for the nine months ended September 30, 2023. The increase was primarily driven by an $8.2 million rise in clinical development expenses with external contract research organizations, a $1.1 million increase in employee compensation and benefits, a $1.1 million increase in expenses related to the production of clinical trial materials, and a $0.4 million increase in non-cash stock-based compensation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59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$2.4 million to $11.8 million for the nine months ended September 30, 2024, as compared to $9.4 million for the nine months ended September 30, 2023. The increase was primarily driven by a $1.3 million rise in non-cash stock-based compensation expenses, a $0.7 million increase in professional fees, a $0.2 million increase in employee compensation and benefits, and a $0.2 million increase in general operating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80" w:firstLine="599"/>
        <w:spacing w:after="0" w:line="282" w:lineRule="auto"/>
        <w:rPr>
          <w:sz w:val="20"/>
          <w:szCs w:val="20"/>
          <w:color w:val="auto"/>
        </w:rPr>
      </w:pPr>
      <w:r>
        <w:rPr>
          <w:rFonts w:ascii="Times New Roman" w:cs="Times New Roman" w:eastAsia="Times New Roman" w:hAnsi="Times New Roman"/>
          <w:sz w:val="18"/>
          <w:szCs w:val="18"/>
          <w:color w:val="auto"/>
        </w:rPr>
        <w:t>The change in other income, net, was primarily due to an increase in interest income, driven by higher interest rates and higher balances of cash equivalents and short-term investments for the nine months ended September 30, 2024 and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 and fair value of financial instruments issued in excess of proceeds</w:t>
      </w:r>
    </w:p>
    <w:p>
      <w:pPr>
        <w:spacing w:after="0" w:line="119" w:lineRule="exact"/>
        <w:rPr>
          <w:sz w:val="20"/>
          <w:szCs w:val="20"/>
          <w:color w:val="auto"/>
        </w:rPr>
      </w:pPr>
    </w:p>
    <w:p>
      <w:pPr>
        <w:ind w:right="40" w:firstLine="59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fair value of warrant liabilities and fair value of financial instruments issued in excess of proceeds increased by $107.6 million to $51.8 million. The change was primarily due to the reversal of $58.7 million in warrant liabilities associated with the Subsequent Closing Warrants, which expired during the quarter ended September 30, 2024. This is compared to a $55.7 million increase in fair value of the Common Warrants and the Subsequent Closing Warrants since issuance for the nine months ended September 30,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20" w:firstLine="59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and short-term investments of $78.2 million, working capital of $69.0 million and an accumulated deficit of $311.0 million.</w:t>
      </w:r>
    </w:p>
    <w:p>
      <w:pPr>
        <w:spacing w:after="0" w:line="162" w:lineRule="exact"/>
        <w:rPr>
          <w:sz w:val="20"/>
          <w:szCs w:val="20"/>
          <w:color w:val="auto"/>
        </w:rPr>
      </w:pPr>
    </w:p>
    <w:p>
      <w:pPr>
        <w:jc w:val="both"/>
        <w:ind w:right="80" w:firstLine="599"/>
        <w:spacing w:after="0" w:line="266" w:lineRule="auto"/>
        <w:rPr>
          <w:sz w:val="20"/>
          <w:szCs w:val="20"/>
          <w:color w:val="auto"/>
        </w:rPr>
      </w:pPr>
      <w:r>
        <w:rPr>
          <w:rFonts w:ascii="Times New Roman" w:cs="Times New Roman" w:eastAsia="Times New Roman" w:hAnsi="Times New Roman"/>
          <w:sz w:val="18"/>
          <w:szCs w:val="18"/>
          <w:color w:val="auto"/>
        </w:rPr>
        <w:t>We do not have any approved products for commercial sale and have never generated revenue from product sales and have incurred significant net losses since our inception and expect to continue to incur net operating losses for the foreseeable future. We do not expect to receive any revenue from any product candidates that we develop unless and until we obtain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regulatory approval and commercialize our product candidates or enter into collaborative arrangements with third parties. We currently have no credit facility or committed sources of capital. To date, our operations have been financed primarily by net proceeds from the sale of preferred and common stock, and the sale of warrants. Additionally, in view of our expectation to incur significant losses for the foreseeable future we will be required to raise additional capital resources in the future in order to fund our operations, although the availability of, and our access to, such resources is not assured.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Securities Purchase Agreement</w:t>
      </w:r>
    </w:p>
    <w:p>
      <w:pPr>
        <w:spacing w:after="0" w:line="162" w:lineRule="exact"/>
        <w:rPr>
          <w:sz w:val="20"/>
          <w:szCs w:val="20"/>
          <w:color w:val="auto"/>
        </w:rPr>
      </w:pPr>
    </w:p>
    <w:p>
      <w:pPr>
        <w:ind w:right="100" w:firstLine="599"/>
        <w:spacing w:after="0" w:line="282" w:lineRule="auto"/>
        <w:rPr>
          <w:sz w:val="20"/>
          <w:szCs w:val="20"/>
          <w:color w:val="auto"/>
        </w:rPr>
      </w:pPr>
      <w:r>
        <w:rPr>
          <w:rFonts w:ascii="Times New Roman" w:cs="Times New Roman" w:eastAsia="Times New Roman" w:hAnsi="Times New Roman"/>
          <w:sz w:val="18"/>
          <w:szCs w:val="18"/>
          <w:color w:val="auto"/>
        </w:rPr>
        <w:t>On July 8, 2024, the Second Closing occurred and we received gross proceeds of $2.1 million, or net proceeds of approximately $2.0 million after deducting underwriting discounts and commissions and offering expenses, in exchange for 909,088 shares of common stock.</w:t>
      </w:r>
    </w:p>
    <w:p>
      <w:pPr>
        <w:spacing w:after="0" w:line="162"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On September 30, 2024 and October 1, 2024, the Third Closing occurred and the Company received gross proceeds of $4.0 million, or net proceeds of approximately $3.8 million after deducting underwriting discounts and commissions and offering expenses, in exchange for 1,727,400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Securities Purchase Agreement</w:t>
      </w:r>
    </w:p>
    <w:p>
      <w:pPr>
        <w:spacing w:after="0" w:line="121"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On May 6, 2024, we entered into the 2024 Securities Purchase Agreement and issued 13,110,484 shares of common stock at a price of $2.37 per share and pre-funded warrants which are exercisable to purchase 7,989,516 shares of common stock at a price of $2.369 per underlying share. We received net proceeds of $48.1 million from the offering, after deducting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Underwriting Agreement</w:t>
      </w:r>
    </w:p>
    <w:p>
      <w:pPr>
        <w:spacing w:after="0" w:line="121"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On October 29, 2024, we entered into the 2024 Underwriting Agreement and issued 18,356,173 shares of common stock at a price of $3.65 per share and pre-funded warrants which are exercisable to purchase 4,931,507 shares of common stock at a price of $3.649 per underlying share. We received net proceeds of $79.5 million from the offering, after deducting underwriting discounts and commissions and other offering expenses.</w:t>
      </w:r>
    </w:p>
    <w:p>
      <w:pPr>
        <w:spacing w:after="0" w:line="176" w:lineRule="exact"/>
        <w:rPr>
          <w:sz w:val="20"/>
          <w:szCs w:val="20"/>
          <w:color w:val="auto"/>
        </w:rPr>
      </w:pPr>
    </w:p>
    <w:p>
      <w:pPr>
        <w:ind w:right="80" w:firstLine="599"/>
        <w:spacing w:after="0" w:line="254" w:lineRule="auto"/>
        <w:rPr>
          <w:sz w:val="20"/>
          <w:szCs w:val="20"/>
          <w:color w:val="auto"/>
        </w:rPr>
      </w:pPr>
      <w:r>
        <w:rPr>
          <w:rFonts w:ascii="Times New Roman" w:cs="Times New Roman" w:eastAsia="Times New Roman" w:hAnsi="Times New Roman"/>
          <w:sz w:val="18"/>
          <w:szCs w:val="18"/>
          <w:color w:val="auto"/>
        </w:rPr>
        <w:t>Based on our liquidity estimates and our current resources, we have concluded that we have sufficient cash resources to meet our anticipated cash needs through at least the next 12 months from the date of this report and for the foreseeable future. We have based this estimate on assumptions that may prove to be incorrect, and we could utilize our available resources sooner than we currently expect. To finance our operations beyond that point we will need to raise additional capital, which cannot be assured. Further, from time to time, our operating plans may change, and we may need additional funds to meet operational needs for clinical studies sooner than planned or to fund additional clinical studies. For example, we do not currently have sufficient liquidity to fund the continued clinical development of tegoprubart for people with ALS without additional financing. We will continue to monitor our liquidity position in light of various financing alternatives and may pursue additional financing or other alternatives to allow us to continue our product development. However, there can be no assurance such financing or other alternatives will be available to us on acceptable terms, or at all, which could force us to significantly alter our business strategy, substantially curtail our current operations, or liquidate and cease operations altogether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clinical research and development expenses, manufacturing expenses, legal and compliance expenses, compensation and related expenses, and general overhead costs. Cash used to fund operating expenses is impacted by the timing of when we pay or prepay these expenses. As of September 30, 2024, there have been no changes in our material cash requirements from known contractual and other obligations, including commitments for capital expenditures, as disclosed under “Liquidity and Capital Resources—Material Cash Requirements” in Item 7, Management’s Discussion and Analysis of Financial Condition and Results of Operations in our Amended Form 10-K.</w:t>
      </w:r>
    </w:p>
    <w:p>
      <w:pPr>
        <w:spacing w:after="0" w:line="183"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expand our clinical program with tegoprubart,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ind w:firstLine="599"/>
        <w:spacing w:after="0" w:line="258" w:lineRule="auto"/>
        <w:rPr>
          <w:sz w:val="20"/>
          <w:szCs w:val="20"/>
          <w:color w:val="auto"/>
        </w:rPr>
      </w:pPr>
      <w:r>
        <w:rPr>
          <w:rFonts w:ascii="Times New Roman" w:cs="Times New Roman" w:eastAsia="Times New Roman" w:hAnsi="Times New Roman"/>
          <w:sz w:val="18"/>
          <w:szCs w:val="18"/>
          <w:color w:val="auto"/>
        </w:rPr>
        <w:t>We will continue to require additional financing in order to advance our drug product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potentially collaborations, licenses and other similar arrangements. Our ability to raise substantial additional capital will depend on many factors, including:</w:t>
      </w:r>
    </w:p>
    <w:p>
      <w:pPr>
        <w:spacing w:after="0" w:line="75" w:lineRule="exact"/>
        <w:rPr>
          <w:sz w:val="20"/>
          <w:szCs w:val="20"/>
          <w:color w:val="auto"/>
        </w:rPr>
      </w:pPr>
    </w:p>
    <w:p>
      <w:pPr>
        <w:ind w:left="760" w:right="4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ongoing and future clinical trials of tegoprubart, including as such activities may be adversely impacted by global events or macroeconomic conditions;</w:t>
      </w:r>
    </w:p>
    <w:p>
      <w:pPr>
        <w:spacing w:after="0" w:line="53"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macroeconomic trends and uncertainties, which continue to experience extreme volatility and disruptions, including diminished liquidity and credit availability, declines in consumer confidence, declines in economic growth, increases in unemployment rates, increases in inflation rates, rising interest rates and uncertainty about economic stability;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indications we decide to pursue for tegoprubart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any biologics license application, or BLA, we may submit for tegoprubart;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tegoprubart, if approved;</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tegoprubart;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tegoprubart, if approved for commercial sale.</w:t>
      </w:r>
    </w:p>
    <w:p>
      <w:pPr>
        <w:spacing w:after="0" w:line="225" w:lineRule="exact"/>
        <w:rPr>
          <w:sz w:val="20"/>
          <w:szCs w:val="20"/>
          <w:color w:val="auto"/>
        </w:rPr>
      </w:pPr>
    </w:p>
    <w:p>
      <w:pPr>
        <w:ind w:right="20" w:firstLine="599"/>
        <w:spacing w:after="0" w:line="252" w:lineRule="auto"/>
        <w:rPr>
          <w:sz w:val="20"/>
          <w:szCs w:val="20"/>
          <w:color w:val="auto"/>
        </w:rPr>
      </w:pPr>
      <w:r>
        <w:rPr>
          <w:rFonts w:ascii="Times New Roman" w:cs="Times New Roman" w:eastAsia="Times New Roman" w:hAnsi="Times New Roman"/>
          <w:sz w:val="18"/>
          <w:szCs w:val="18"/>
          <w:color w:val="auto"/>
        </w:rPr>
        <w:t>Conditions in the financial and credit markets may also limit the availability of funding or increase the cost of funding. As a result of any of the foregoing factors, adequate additional funding may not be available to us on acceptable terms on a timely basis, or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The issuance of shares of common stock in the 2023 Private Placement, the 2024 Private Placement and the 2024 Underwriting Agreement diluted the ownership interests of our existing stockholders, and to the extent that we raise additional capital through the sale of additional equity or convertible debt securities in the future, our stockholders’ ownership interests may be further diluted, and the terms of these securities may also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the section of this Quarterly Report titled “Risk Factors” for additional risks associated with our substantial capital requirements and the challenges we may face in raising capital.</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nine months ended September 30, 2024 and 2023 (in thousands):</w:t>
      </w:r>
    </w:p>
    <w:p>
      <w:pPr>
        <w:spacing w:after="0" w:line="23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6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7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(28,284 )</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(30,396 )</w:t>
            </w: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(22,932 )</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(55,363 )</w:t>
            </w:r>
          </w:p>
        </w:tc>
      </w:tr>
      <w:tr>
        <w:trPr>
          <w:trHeight w:val="24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53,355</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33,017</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(52,742 )</w:t>
            </w:r>
          </w:p>
        </w:tc>
      </w:tr>
      <w:tr>
        <w:trPr>
          <w:trHeight w:val="20"/>
        </w:trPr>
        <w:tc>
          <w:tcPr>
            <w:tcW w:w="7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-187960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operating activities used $28.3million in cash, primarily reflecting our net income of $8.4 million. Operating activities included adjustments for certain non-cash charges, including $51.8 million due to changes in warrant liabilities and fair value of financial instruments issued in excess of proceeds, and $1.9 million from accretion of investment discounts. These were partially offset by $6.5 million in stock-based compensation, and $0.3 million in operating lease amortization. Net operating assets and liabilities changed by $10.2 million, driven by an $8.8 million increase in accounts payable and accrued expenses, a $1.7 million decrease in prepaid expenses and other assets, and a $0.2 million increase in operating lease liabilities.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nine months ended September 30, 2023, operating activities used $30.4 million in cash, primarily reflecting our net loss of $86.4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include adjustments for certain non-cash charges including $55.7 million due to changes in warrant liabilities and fair value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issued in excess of proceeds, $4.8 million in stock-based compensation, and $0.3 million in operating lease amortization,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in accretion of investment discounts. Net operating assets and liabilities changed by $4.2 million, driven by a $3.6 million decrease in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accrued expenses, a $0.3 million increase in operating lease liabilities, and a $0.4 million increase in prepaid expenses and other assets.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 w:firstLine="599"/>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2024 was $22.9 million. This consisted of $83.4 million used to purchase available-for-sale short-term investments, partially offset by $60.4 million in proceeds from maturity of available-for-sale short-term investments.</w:t>
      </w:r>
    </w:p>
    <w:p>
      <w:pPr>
        <w:spacing w:after="0" w:line="140" w:lineRule="exact"/>
        <w:rPr>
          <w:sz w:val="20"/>
          <w:szCs w:val="20"/>
          <w:color w:val="auto"/>
        </w:rPr>
      </w:pPr>
    </w:p>
    <w:p>
      <w:pPr>
        <w:ind w:right="140" w:firstLine="599"/>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2023 was $55.4 million. This consisted of $60.4 million used to purchase available-for-sale short-term investments, partially offset by $5.0 million in proceeds from maturity of available-for-sale short-term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consisted of the following: $48.1 million in net proceeds from the 2024 Private Placement, involving the sale of 13.1 million shares of common stock and 8.0 million pre-funded warrants to purchase common stock; $2.0 million in net proceeds from the Second Closing, involving the sale of 909,088 shares of common stock; and $3.3 million in net proceeds from the Third Closing, involving the sale of 1.5 million shares of common stock.</w:t>
      </w:r>
    </w:p>
    <w:p>
      <w:pPr>
        <w:spacing w:after="0" w:line="180" w:lineRule="exact"/>
        <w:rPr>
          <w:sz w:val="20"/>
          <w:szCs w:val="20"/>
          <w:color w:val="auto"/>
        </w:rPr>
      </w:pPr>
    </w:p>
    <w:p>
      <w:pPr>
        <w:ind w:right="200" w:firstLine="59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consisted of the 2023 Private Placement, totaling $33.0 million in net proceeds from the sale of 8.7 million shares of common stock and 6.4 million pre-funded warrants to purchase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599"/>
        <w:spacing w:after="0" w:line="282" w:lineRule="auto"/>
        <w:rPr>
          <w:sz w:val="20"/>
          <w:szCs w:val="20"/>
          <w:color w:val="auto"/>
        </w:rPr>
      </w:pPr>
      <w:r>
        <w:rPr>
          <w:rFonts w:ascii="Times New Roman" w:cs="Times New Roman" w:eastAsia="Times New Roman" w:hAnsi="Times New Roman"/>
          <w:sz w:val="18"/>
          <w:szCs w:val="18"/>
          <w:color w:val="auto"/>
        </w:rPr>
        <w:t>Per §229.305 of Regulation S-K, the Company, designated a Smaller Reporting Company as defined in §229.10(f)(1) of Regulation S-K, is not required to provide the disclosure required by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As of September 30, 2024, our management, with the participation of our principal executive officer and principal financial officer,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management concluded that our disclosure controls and procedures were not effective, at the reasonable assurance level, as of September 30, 2024 due to the material weakness in our internal control over financial reporting described below.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21"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In the course of preparing the Company’s unaudited condensed consolidated financial statements as of and for the three and six months ended June 30, 2024, our management concluded that the Common Warrants and Subsequent Closing Warrants do not meet the conditions to be classified as equity instruments under ASC 815-40, “Derivatives and Hedging - Contracts in Entity’s Own Equity,” and must instead be recorded as liabilities on the Company’s condensed consolidated balance sheet at their fair value and remeasured at fair value for each subsequent reporting period. In light of this determination, on August 13, 2024, management and the audit committee of our Board of Directors together concluded that our previously issued (i) audited consolidated financial statements as of and for the fiscal year ended December 31, 2023 included in our Annual Report on Form 10-K filed with the SEC on March 28, 2023 and (ii) unaudited condensed consolidated financial statements as of and for (a) the three months ended March 31, 2024 included in our Quarterly Report on Form 10-Q filed with the SEC on May 15, 2024, (b) the three and nine months ended September 30, 2023 included in our Quarterly Report on Form 10-Q filed with the SEC on November 9, 2023 and (c) the three and six months ended June 30, 2023 included in our Quarterly Report on Form 10-Q filed with the SEC on August 10, 2023 (together, the “Impacted Reports”) were each materially misstated.</w:t>
      </w:r>
    </w:p>
    <w:p>
      <w:pPr>
        <w:spacing w:after="0" w:line="194" w:lineRule="exact"/>
        <w:rPr>
          <w:sz w:val="20"/>
          <w:szCs w:val="20"/>
          <w:color w:val="auto"/>
        </w:rPr>
      </w:pPr>
    </w:p>
    <w:p>
      <w:pPr>
        <w:ind w:right="100" w:firstLine="599"/>
        <w:spacing w:after="0" w:line="254" w:lineRule="auto"/>
        <w:rPr>
          <w:sz w:val="20"/>
          <w:szCs w:val="20"/>
          <w:color w:val="auto"/>
        </w:rPr>
      </w:pPr>
      <w:r>
        <w:rPr>
          <w:rFonts w:ascii="Times New Roman" w:cs="Times New Roman" w:eastAsia="Times New Roman" w:hAnsi="Times New Roman"/>
          <w:sz w:val="18"/>
          <w:szCs w:val="18"/>
          <w:color w:val="auto"/>
        </w:rPr>
        <w:t>As a result, our management, including our principal executive officer and principal financial officer, determined that there existed a material weakness in our internal control over financial reporting related to our accounting for equity instruments for the periods covered by each of the Impacted Reports. A material weakness is a deficiency, or a combination of deficiencies, in the internal control over financial reporting, such that there is a reasonable possibility that a material misstatement of our annual or interim consolidated financial statements will not be prevented or detected in a timely basis. Specifically, our management determined that we did not maintain effective controls to timely identify and account for complex derivative type financial instruments. This material weakness resulted in the material misstatement of each of the Impacted Reports and, if not remediated, could result in further material misstatements to our annual or interim consolidated financial statements that would not be prevented or detected. Due to this material weakness, our management re-assessed the effectiveness of the Company’s internal control over financial reporting and concluded that our internal control over financial reporting was not effective as of December 31,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ind w:right="40" w:firstLine="599"/>
        <w:spacing w:after="0" w:line="261" w:lineRule="auto"/>
        <w:rPr>
          <w:sz w:val="20"/>
          <w:szCs w:val="20"/>
          <w:color w:val="auto"/>
        </w:rPr>
      </w:pPr>
      <w:r>
        <w:rPr>
          <w:rFonts w:ascii="Times New Roman" w:cs="Times New Roman" w:eastAsia="Times New Roman" w:hAnsi="Times New Roman"/>
          <w:sz w:val="18"/>
          <w:szCs w:val="18"/>
          <w:color w:val="auto"/>
        </w:rPr>
        <w:t>Management has implemented remediation steps to address the material weakness described above and to improve our internal control over financial reporting. While we have processes to properly identify and evaluate the appropriate accounting technical pronouncements and other literature for all significant or unusual transactions, we are improving these processes to ensure that the nuances of such transactions are effectively evaluated in the context of the increasingly complex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accounting standards. Specifically, we have increased our access to accounting literature and research materials, and have consulted with more third-party professionals regarding complex accounting matters than we have done previously.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have been no changes in our internal control over financial reporting (as defined in Rules 13a-15(f) or 15d-15(f) of the Exchange Act) during the quarter ended September 30, 2024 that have materially affected, or are reasonably likely to materially affect, our internal control over financial reporting.</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99"/>
        <w:spacing w:after="0" w:line="282" w:lineRule="auto"/>
        <w:rPr>
          <w:sz w:val="20"/>
          <w:szCs w:val="20"/>
          <w:color w:val="auto"/>
        </w:rPr>
      </w:pPr>
      <w:r>
        <w:rPr>
          <w:rFonts w:ascii="Times New Roman" w:cs="Times New Roman" w:eastAsia="Times New Roman" w:hAnsi="Times New Roman"/>
          <w:sz w:val="18"/>
          <w:szCs w:val="18"/>
          <w:color w:val="auto"/>
        </w:rPr>
        <w:t>Neither we nor any of our subsidiaries is a party to, and none of their respective property is the subject of, any material legal proceeding, although we are from time-to-time party to legal proceedings that arise in the ordinary course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117" w:lineRule="exact"/>
        <w:rPr>
          <w:sz w:val="20"/>
          <w:szCs w:val="20"/>
          <w:color w:val="auto"/>
        </w:rPr>
      </w:pPr>
    </w:p>
    <w:p>
      <w:pPr>
        <w:ind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short operating history and shifts in our business strategy may make it difficult to evaluate the success of our business to date and to assess our future viability.</w:t>
      </w:r>
    </w:p>
    <w:p>
      <w:pPr>
        <w:spacing w:after="0" w:line="51"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Our ongoing operations to date have been limited to organizing and staffing the Company, business planning, raising capital, acquiring and developing technology, identifying potential product candidates and pursuing nonclinical and clinical trials. We have not yet demonstrated our ability to successfully manufacture drug product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 In addition, as a result of the acquisition of Anelixis and our decision to discontinue our Company funding of the islet cell transplantation program and the IgAN program, our future business, prospects, financial position and operating results could be significantly different than those in historical periods or previously projected by our management.</w:t>
      </w:r>
    </w:p>
    <w:p>
      <w:pPr>
        <w:spacing w:after="0" w:line="194" w:lineRule="exact"/>
        <w:rPr>
          <w:sz w:val="20"/>
          <w:szCs w:val="20"/>
          <w:color w:val="auto"/>
        </w:rPr>
      </w:pPr>
    </w:p>
    <w:p>
      <w:pPr>
        <w:ind w:right="160" w:firstLine="599"/>
        <w:spacing w:after="0" w:line="266"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To successfully market any of our current or future product candidates, we will need to transition from a company with a clinical development focus to a company capable of supporting commercial activities. We may not be successful in such a transition.</w:t>
      </w:r>
    </w:p>
    <w:p>
      <w:pPr>
        <w:spacing w:after="0" w:line="280" w:lineRule="exact"/>
        <w:rPr>
          <w:sz w:val="20"/>
          <w:szCs w:val="20"/>
          <w:color w:val="auto"/>
        </w:rPr>
      </w:pPr>
    </w:p>
    <w:p>
      <w:pPr>
        <w:ind w:right="2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continue to incur losses over the next several years and may never achieve or maintain profitability.</w:t>
      </w:r>
    </w:p>
    <w:p>
      <w:pPr>
        <w:spacing w:after="0" w:line="51"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have no products approved for commercial sale and have not generated any revenue from product sales to date, and we continue to incur significant research and development and other general and administrative expenses related to our ongoing operations. If tegoprubart or any future product candidates we develop are not successfully developed and approved, we may never generate any revenue from sales of products. The Company has experienced recurring net losses and negative cash flows from operating activities since its inception. As of September 30, 2024, the Company had cash and cash equivalents and short-term investments of $78.2 million, working capital of $69.0 million and an accumulated deficit of $311.0 million. We have not generated any revenues from product sales, have not completed the development of any product candidate and may never have a product candidate approved for commercialization. We expect it will be several years, if ever, before we have a product candidate ready for commercialization. We have financed our operations to date primarily through the sale of preferred and common stock, and the sale of warrants and have devoted substantially all of our financial resources and efforts to research and development, including preclinical studies and our clinical trials. Our net losses may fluctuate significantly from quarter to quarter and year to year and will depend, in part, on the rate at which we incur expenses and our ability to generate revenue. Net losses and negative cash flows have had, and will continue to have, an adverse effect on our stockholders’ equity and working capital.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8"/>
          <w:szCs w:val="18"/>
          <w:color w:val="auto"/>
        </w:rPr>
        <w:t>We anticipate that we will continue to incur significant expenses as we:</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nonclinical and clinical development of our product candidates or any future product candidate;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acquire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with regards to product discovery or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including if we do not have available financial resources to allow us to pursue clinical trials and other clinical development activities, and, even if we are successful,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spacing w:after="0" w:line="292" w:lineRule="exact"/>
        <w:rPr>
          <w:sz w:val="20"/>
          <w:szCs w:val="20"/>
          <w:color w:val="auto"/>
        </w:rPr>
      </w:pPr>
    </w:p>
    <w:p>
      <w:pPr>
        <w:ind w:right="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to be able to complete the development of our lead drug candidate. If we are unable to raise capital, we will be forced to significantly alter our business strategy, substantially curtail our current operations, or liquidate and cease operations altogether.</w:t>
      </w:r>
    </w:p>
    <w:p>
      <w:pPr>
        <w:spacing w:after="0" w:line="51"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As of September 30, 2024, there were 41,183,102 shares of our common stock outstanding. In connection with the closing of the 2024 Private Placement on May 9, 2024, we issued 13,110,484 shares of our common stock and pre-funded warrants to purchase 7,989,516 shares of common stock to the investors therein. In connection with the completion of the Second Closing on July 8 2024, we issued 909,088 shares of our common stock and with the completion of the Third Closing on September 30, 2024 and October 1, 2024, we issued 1,727,400 shares of our common stock to the investors therein. In connection with the closing of the 2024 Underwriting Agreement on October 29, 2024, we issued 18,356,173 shares of our common stock and pre-funded warrants to purchase 4,931,507 shares of our common stock to the investors therein. In view of our expectation to incur significant losses for the foreseeable future, we will be required to raise additional capital resources in the future in order to fund our operations. We can also provide no assurance that other funding will be available to us, will be obtained on terms favorable to us or will provide us with sufficient funds to meet our objectives. If we are unable to raise such capital, or if we are unable to do so on acceptable terms, we will be forced to significantly alter our business strategy, substantially curtail our current operations, or liquidate and cease operations altogether. For example, we are currently unable to continue our clinical development of tegoprubart for people with ALS without additional financing, and we can provide no assurances that we will be able to obtain financing on acceptable terms or at all.</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funding needs may fluctuate significantly based on a number of factors, such as:</w:t>
      </w:r>
    </w:p>
    <w:p>
      <w:pPr>
        <w:spacing w:after="0" w:line="117" w:lineRule="exact"/>
        <w:rPr>
          <w:sz w:val="20"/>
          <w:szCs w:val="20"/>
          <w:color w:val="auto"/>
        </w:rPr>
      </w:pPr>
    </w:p>
    <w:p>
      <w:pPr>
        <w:ind w:left="760" w:right="8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formulation development and manufacture of drug product to support nonclinical and clinical development of our product candidates;</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additional collaboration arrangements regarding product discovery or development, or acquire or in-license products or technologies;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4" w:name="page45"/>
    <w:bookmarkEnd w:id="44"/>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collaborations with favorable terms, if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sales,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if any, received from commercial sales of our product candidates, should any of our product candidates receive marketing approval; and</w:t>
      </w:r>
    </w:p>
    <w:p>
      <w:pPr>
        <w:spacing w:after="0" w:line="128" w:lineRule="exact"/>
        <w:rPr>
          <w:rFonts w:ascii="Times New Roman" w:cs="Times New Roman" w:eastAsia="Times New Roman" w:hAnsi="Times New Roman"/>
          <w:sz w:val="17"/>
          <w:szCs w:val="17"/>
          <w:color w:val="auto"/>
        </w:rPr>
      </w:pPr>
    </w:p>
    <w:p>
      <w:pPr>
        <w:ind w:left="760" w:right="5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ind w:right="260" w:firstLine="599"/>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formulation development, nonclinical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or are able to successfully commercialize one or more of our product candidates, additional financing may not be available to us on acceptable terms, or at all.</w:t>
      </w:r>
    </w:p>
    <w:p>
      <w:pPr>
        <w:spacing w:after="0" w:line="291" w:lineRule="exact"/>
        <w:rPr>
          <w:sz w:val="20"/>
          <w:szCs w:val="20"/>
          <w:color w:val="auto"/>
        </w:rPr>
      </w:pPr>
    </w:p>
    <w:p>
      <w:pPr>
        <w:ind w:right="80" w:firstLine="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addition to the dilution of our current stockholders’ ownership as a result of the 2023 Private Placement, the 2024 Private Placement and the 2024 Underwriting Agreement, we currently have a significant number of securities outstanding that are exercisable for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spacing w:after="0" w:line="75"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As of September 30, 2024, there were 41,183,102 shares of our common stock outstanding. In connection with the closing of the 2024 Private Placement on May 9, 2024, we issued 13,110,484 shares of our common stock and pre-funded warrants to purchase 7,989,516 shares of common stock to the investors therein. In connection with the completion of the Second Closing on July 8 2024, we issued 909,088 shares of our common stock and the completion of the Third Closing on September 30, 2024 and October 1, 2024, we issued 1,727,400 shares of our common stock to the investors therein. In connection with the closing of the 2024 Underwriting Agreement on October 29, 2024, we issued 18,356,173 shares of our common stock and pre-funded warrants to purchase 4,931,507 shares of our common stock to the investors therein. The issuance of shares of common stock in the 2023 Private Placement, the 2024 Private Placement and the 2024 Underwriting Agreement diluted the ownership interests of our existing stockholders. The issuance of shares of common stock upon exercise of pre-funded warrants or common warrants issued in the initial closing of the 2023 Private Placement, the pre-funded warrants issued in the 2024 Private Placement and the pre-funded warrants issued in the 2024 Underwriting Agreement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291" w:lineRule="exact"/>
        <w:rPr>
          <w:sz w:val="20"/>
          <w:szCs w:val="20"/>
          <w:color w:val="auto"/>
        </w:rPr>
      </w:pPr>
    </w:p>
    <w:p>
      <w:pPr>
        <w:ind w:right="10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67"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We currently do not have any products that have gained regulatory approval. We have invested substantially all of our efforts and financial resources in the development of our lead drug candidate tegoprubart, including funding nonclinical studies, clinical trials, drug formulation and the manufacturing of clinical trial materials. Our ability to generate product revenues, which we do not expect will occur for several years, if ever, will depend heavily on the successful development and eventual commercialization of one or more drug candidates. As a result, our business is substantially depending on our ability to successfully complete the development of and obtain approval for one of our potential future additional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5" w:name="page46"/>
    <w:bookmarkEnd w:id="45"/>
    <w:p>
      <w:pPr>
        <w:ind w:right="40" w:firstLine="599"/>
        <w:spacing w:after="0" w:line="282" w:lineRule="auto"/>
        <w:rPr>
          <w:sz w:val="20"/>
          <w:szCs w:val="20"/>
          <w:color w:val="auto"/>
        </w:rPr>
      </w:pPr>
      <w:r>
        <w:rPr>
          <w:rFonts w:ascii="Times New Roman" w:cs="Times New Roman" w:eastAsia="Times New Roman" w:hAnsi="Times New Roman"/>
          <w:sz w:val="18"/>
          <w:szCs w:val="18"/>
          <w:color w:val="auto"/>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spacing w:after="0" w:line="54" w:lineRule="exact"/>
        <w:rPr>
          <w:sz w:val="20"/>
          <w:szCs w:val="20"/>
          <w:color w:val="auto"/>
        </w:rPr>
      </w:pPr>
    </w:p>
    <w:p>
      <w:pPr>
        <w:ind w:left="760" w:right="2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in order to advance our drug product through clinical development, and to manufacture, obtain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formulation, manufacturing, clinical, and nonclinical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drug product at commercial scale;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confirm commercially acceptable stability (shelf-life) of our drug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in-license or acquire other product candidates and advance them through clinical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tegoprubart or other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on our own or in collaboration with strategic partners;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any approved and marketed drug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product pricing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strategic relationships we elect to enter;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product manufacturing, nonclinical development, clinical trials, regulatory approvals, post-marketing commitments, and commercialization.</w:t>
      </w:r>
    </w:p>
    <w:p>
      <w:pPr>
        <w:spacing w:after="0" w:line="162" w:lineRule="exact"/>
        <w:rPr>
          <w:sz w:val="20"/>
          <w:szCs w:val="20"/>
          <w:color w:val="auto"/>
        </w:rPr>
      </w:pPr>
    </w:p>
    <w:p>
      <w:pPr>
        <w:ind w:right="460" w:firstLine="599"/>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or other product candidates, and our business will suffer.</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including pandemics or epidemics could adversely affect our business.</w:t>
      </w:r>
    </w:p>
    <w:p>
      <w:pPr>
        <w:spacing w:after="0" w:line="12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Our business and operations, including but not limited to ongoing or planned research and development activities may be impacted by public health crises. For example, our business was adversely affected by the COVID-19 pandemic, which also caused significant disruption in the operations of third parties upon whom we rely. Other future public health crises, including any future pandemics or epidemics could have a similar impact on our business. We have experienced, and may in the future experience disruptions as a result of the COVID-19 pandemic or from another public health crisis, including any future pandemic or epidemic, that could severely impact our operations and development activities, including, but not limited to:</w:t>
      </w:r>
    </w:p>
    <w:p>
      <w:pPr>
        <w:spacing w:after="0" w:line="75" w:lineRule="exact"/>
        <w:rPr>
          <w:sz w:val="20"/>
          <w:szCs w:val="20"/>
          <w:color w:val="auto"/>
        </w:rPr>
      </w:pPr>
    </w:p>
    <w:p>
      <w:pPr>
        <w:ind w:left="760" w:right="5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of our drug candidates due to increased competition for manufacturing capacity as a result of the pandemic;</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development activities,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procuring drug substance and/or in manufacturing drug product due to limitations in employee resources or forced furloughs at our contract manufacturing organizations;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initiation of future clinical trials, including delays in receiving authorization from local regulatory authorities to initiate such clinical trials; and</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disturbances in enrollment and trial execution, for example, because clinical trial sites may be unable to operate normally, or patients may elect to forego visits to medical facilities or undertake voluntary medical procedures.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ind w:right="320" w:firstLine="599"/>
        <w:spacing w:after="0" w:line="282" w:lineRule="auto"/>
        <w:rPr>
          <w:sz w:val="20"/>
          <w:szCs w:val="20"/>
          <w:color w:val="auto"/>
        </w:rPr>
      </w:pPr>
      <w:r>
        <w:rPr>
          <w:rFonts w:ascii="Times New Roman" w:cs="Times New Roman" w:eastAsia="Times New Roman" w:hAnsi="Times New Roman"/>
          <w:sz w:val="18"/>
          <w:szCs w:val="18"/>
          <w:color w:val="auto"/>
        </w:rPr>
        <w:t>Any of the foregoing factors, or other effects of any public health crisis, including any future pandemic or epidemic, could materially affect our business, possibly to a significant degree. The severity and duration of any such impacts cannot be predicted.</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121" w:lineRule="exact"/>
        <w:rPr>
          <w:sz w:val="20"/>
          <w:szCs w:val="20"/>
          <w:color w:val="auto"/>
        </w:rPr>
      </w:pPr>
    </w:p>
    <w:p>
      <w:pPr>
        <w:ind w:right="100" w:firstLine="599"/>
        <w:spacing w:after="0" w:line="253"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continues to experience extreme volatility and disruptions, including severely diminished liquidity and credit availability, declines in consumer confidence, declines in economic growth, increases in unemployment rates, increases in inflation rates, rising interest rates and uncertainty about economic stability. Likewise, the current conflicts in Ukraine and the Middle East have created extreme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For example, we do not currently have sufficient liquidity to fund the continued clinical development of tegoprubart for people with ALS without additional financing, notwithstanding the positive topline results of our Phase 2a study of tegoprubart for adult subjects with ALS. In addition, if we are unable to raise capital, we will be forced to significantly alter our business strategy, substantially curtail our current operations, or liquidate and cease operations altogether.</w:t>
      </w:r>
    </w:p>
    <w:p>
      <w:pPr>
        <w:spacing w:after="0" w:line="187" w:lineRule="exact"/>
        <w:rPr>
          <w:sz w:val="20"/>
          <w:szCs w:val="20"/>
          <w:color w:val="auto"/>
        </w:rPr>
      </w:pPr>
    </w:p>
    <w:p>
      <w:pPr>
        <w:ind w:right="40" w:firstLine="599"/>
        <w:spacing w:after="0" w:line="274" w:lineRule="auto"/>
        <w:rPr>
          <w:sz w:val="20"/>
          <w:szCs w:val="20"/>
          <w:color w:val="auto"/>
        </w:rPr>
      </w:pPr>
      <w:r>
        <w:rPr>
          <w:rFonts w:ascii="Times New Roman" w:cs="Times New Roman" w:eastAsia="Times New Roman" w:hAnsi="Times New Roman"/>
          <w:sz w:val="17"/>
          <w:szCs w:val="17"/>
          <w:color w:val="auto"/>
        </w:rPr>
        <w:t>In addition, inflation has recently increased throughout the U.S. economy. As a result of inflation, we have experienced and may continue to experience cost increases, including costs of clinical trials and research and development of our product candidates, production costs, the price of labor, administration and other costs of doing business. Although we may continue to take measures to mitigate the impact of this inflation, if these measures are not effective, our business, financial condition, results of operations and liquidity could be materially adversely affected. Further, in an inflationary environment, cost increases may outpace our expectations, causing us to use our cash and other liquid assets faster than forecasted. If this happens, we may need to raise more capital to fund our operations than expected, and such capital may not be available in sufficient amounts or on reasonable terms, if at all.</w:t>
      </w:r>
    </w:p>
    <w:p>
      <w:pPr>
        <w:spacing w:after="0" w:line="2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financial markets, including bank failures, could adversely affect our liquidity and financial performance.</w:t>
      </w:r>
    </w:p>
    <w:p>
      <w:pPr>
        <w:spacing w:after="0" w:line="121" w:lineRule="exact"/>
        <w:rPr>
          <w:sz w:val="20"/>
          <w:szCs w:val="20"/>
          <w:color w:val="auto"/>
        </w:rPr>
      </w:pPr>
    </w:p>
    <w:p>
      <w:pPr>
        <w:ind w:firstLine="599"/>
        <w:spacing w:after="0" w:line="217" w:lineRule="exact"/>
        <w:rPr>
          <w:sz w:val="20"/>
          <w:szCs w:val="20"/>
          <w:color w:val="auto"/>
        </w:rPr>
      </w:pPr>
      <w:r>
        <w:rPr>
          <w:rFonts w:ascii="Times New Roman" w:cs="Times New Roman" w:eastAsia="Times New Roman" w:hAnsi="Times New Roman"/>
          <w:sz w:val="18"/>
          <w:szCs w:val="18"/>
          <w:color w:val="auto"/>
        </w:rPr>
        <w:t>We currently maintain domestic cash deposits, for short term operating requirements, in Federal Deposit Insurance Corporation (“FDIC”) insured banks, which exceed the FDIC insurance limits. Our additional cash and cash equivalents are held in accounts managed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financial institutions and consist of primarily of cash invested in money market funds and government bonds. Bank failures, events involving limited liquidity, defaults, non-performance or other adverse developments that affect financial institutions, or concerns or rumors about such events, may lead to widespread demands for customer withdrawals and liquidity constraints that may result in market-wide liquidity problems. For example, on March 10, 2023, Silicon Valley Bank failed and was taken into receivership by the FDIC. At that time, we maintained deposits amounting to approximately 78% of our total cash at Silicon Valley Bank. On March 26, 2023, the assets, deposits and loans of Silicon Valley Bank were acquired by First-Citizens Bank &amp; Trust Company. In response to the failure of Silicon Valley Bank, we diversified our cash deposits into money market funds, U.S. treasuries and U.S. government agency securities and, as of the date of this report, our total cash maintained in FDIC insured banking accounts is less than 3% of our total cash and cash equivalents and short-term investments.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any applicable foreign government in the future or that any bank or financial institution with which we do business will be able to obtain needed liquidity from other banks, government institutions or by acquisition in the event of a future failure or liquidity crisis. Additionally, our cash investments outside of FDIC insured bank accounts are subject to general credit, liquidity, market, and interest rate risks. If the carrying value of an investment exceeds the fair value, and the decline in fair value is deemed to be other-than-temporary, we are required to write down the value of the investment, which could materially harm our results of operations and financial condition and could limit our access to liquidity.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right="6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spacing w:after="0" w:line="175"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 the United States and/or that subsequent studies will not match results seen in prior studies. It is impossible to predict when or if any of our product candidates will prove effective, safe and well-tolerated in humans or will receive regulatory approval.</w:t>
      </w:r>
    </w:p>
    <w:p>
      <w:pPr>
        <w:spacing w:after="0" w:line="192"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spacing w:after="0" w:line="8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a comparable foreign regulatory authority on a trial design that we want to execute;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trial or inability to comply with conditions imposed by a regulatory authority regarding the scope or design of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formulation development and manufacturing as a prerequisite to commencing clinical work;</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other clinical programs;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subjects to participate in a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 failing to conduct the trial in accordance with regulatory requirements, or dropping out of a trial;</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spacing w:after="0" w:line="6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of patients that our product candidates are designed to target;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8" w:name="page49"/>
    <w:bookmarkEnd w:id="48"/>
    <w:p>
      <w:pPr>
        <w:ind w:left="760" w:right="1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partnering with experienced CROs and study sites that can identify patients that our product candidates are designed to target and run our clinical trials effectively;</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governmental regulations or administrative actions. In addition, our development and commercialization activities could be harmed or delayed by a shutdown of the U.S. government, including the FDA. For example, a prolonged shutdown may significantly delay the FDA's ability to timely review and process any submissions we may file or cause other regulatory delays, which could materially and adversely affect our business.</w:t>
      </w:r>
    </w:p>
    <w:p>
      <w:pPr>
        <w:spacing w:after="0" w:line="180" w:lineRule="exact"/>
        <w:rPr>
          <w:sz w:val="20"/>
          <w:szCs w:val="20"/>
          <w:color w:val="auto"/>
        </w:rPr>
      </w:pPr>
    </w:p>
    <w:p>
      <w:pPr>
        <w:jc w:val="both"/>
        <w:ind w:right="100" w:firstLine="59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restrictions and/or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100" w:firstLine="59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spacing w:after="0" w:line="287" w:lineRule="exact"/>
        <w:rPr>
          <w:sz w:val="20"/>
          <w:szCs w:val="20"/>
          <w:color w:val="auto"/>
        </w:rPr>
      </w:pPr>
    </w:p>
    <w:p>
      <w:pPr>
        <w:ind w:right="3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 and expenses for the development of our product candidates could increase.</w:t>
      </w:r>
    </w:p>
    <w:p>
      <w:pPr>
        <w:spacing w:after="0" w:line="51" w:lineRule="exact"/>
        <w:rPr>
          <w:sz w:val="20"/>
          <w:szCs w:val="20"/>
          <w:color w:val="auto"/>
        </w:rPr>
      </w:pPr>
    </w:p>
    <w:p>
      <w:pPr>
        <w:ind w:right="180" w:firstLine="599"/>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its projected schedule.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9" w:name="page50"/>
    <w:bookmarkEnd w:id="49"/>
    <w:p>
      <w:pPr>
        <w:ind w:left="760" w:right="28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 of our clinical trials, or results that are inconsistent with earlier results;</w:t>
      </w:r>
    </w:p>
    <w:p>
      <w:pPr>
        <w:spacing w:after="0" w:line="11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regulatory authorities, IRBs, ethics committees (“ECs”), or data safety monitoring boards, or results from earlier stage or concurrent nonclinical and clinical trials, that might require modifications to the protocol;</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regulatory authorities, IRBs, ECs, or the Company, or recommendations by data safety monitoring boards, to suspend or terminate clinical trials at any time for safety issues or for any other reason;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risk-benefit profile or unforeseen safety issues or adverse effects.</w:t>
      </w:r>
    </w:p>
    <w:p>
      <w:pPr>
        <w:spacing w:after="0" w:line="225" w:lineRule="exact"/>
        <w:rPr>
          <w:sz w:val="20"/>
          <w:szCs w:val="20"/>
          <w:color w:val="auto"/>
        </w:rPr>
      </w:pPr>
    </w:p>
    <w:p>
      <w:pPr>
        <w:ind w:right="220" w:firstLine="59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the Company to decline and limit our ability to obtain additional financing.</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clinical trials in some jurisdictions outside of the United States may be adversely affected.</w:t>
      </w:r>
    </w:p>
    <w:p>
      <w:pPr>
        <w:spacing w:after="0" w:line="12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We currently have clinical trial sites in regions outside the United States, including Asia, the European Union and the United Kingdom, and we will continue to conduct future clinical trials in these markets. Our ability to conduct clinical trials at sites located outside the United States is subject to numerous risks unique to conducting business in jurisdictions outside the United States, including:</w:t>
      </w:r>
    </w:p>
    <w:p>
      <w:pPr>
        <w:spacing w:after="0" w:line="6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qualified CROs, physicians and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standards for the conduct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complying with various and complex import laws and regulations when shipping drugs to certain countries;</w:t>
      </w:r>
    </w:p>
    <w:p>
      <w:pPr>
        <w:spacing w:after="0" w:line="117" w:lineRule="exact"/>
        <w:rPr>
          <w:rFonts w:ascii="Times New Roman" w:cs="Times New Roman" w:eastAsia="Times New Roman" w:hAnsi="Times New Roman"/>
          <w:sz w:val="18"/>
          <w:szCs w:val="18"/>
          <w:color w:val="auto"/>
        </w:rPr>
      </w:pPr>
    </w:p>
    <w:p>
      <w:pPr>
        <w:ind w:left="760" w:right="9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laws, medical standards and regulatory requirements, including the regulation of pharmaceutical and biotechnology products and treatments;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economic or political conditions, including inflation, recession and actual or anticipated military conflicts, social upheaval or political uncertainty;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w:t>
      </w:r>
    </w:p>
    <w:p>
      <w:pPr>
        <w:spacing w:after="0" w:line="225" w:lineRule="exact"/>
        <w:rPr>
          <w:sz w:val="20"/>
          <w:szCs w:val="20"/>
          <w:color w:val="auto"/>
        </w:rPr>
      </w:pPr>
    </w:p>
    <w:p>
      <w:pPr>
        <w:ind w:right="240" w:firstLine="599"/>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resulting imposition of economic and other sanctions by the United States, European Union and many other nations on Russia, individuals in Russia, Russian businesses and the Russian central bank, or any escalation of tensions in the region, could have a broader impact that expands into other countries. The ongoing conflict in the Middle East could have similar impacts. Although the length and impact of any military action and expansion of the conflict into other countries are highly unpredictable, if either conflict spreads or has effects on additional countries, we may experience disruptions or delays in our plans to conduct clinical trial activities in affected regions outside the United States.</w:t>
      </w:r>
    </w:p>
    <w:p>
      <w:pPr>
        <w:spacing w:after="0" w:line="287" w:lineRule="exact"/>
        <w:rPr>
          <w:sz w:val="20"/>
          <w:szCs w:val="20"/>
          <w:color w:val="auto"/>
        </w:rPr>
      </w:pPr>
    </w:p>
    <w:p>
      <w:pPr>
        <w:ind w:right="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60" w:firstLine="599"/>
        <w:spacing w:after="0" w:line="26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nonclinical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240"/>
        <w:spacing w:after="0" w:line="282" w:lineRule="auto"/>
        <w:rPr>
          <w:sz w:val="20"/>
          <w:szCs w:val="20"/>
          <w:color w:val="auto"/>
        </w:rPr>
      </w:pPr>
      <w:r>
        <w:rPr>
          <w:rFonts w:ascii="Times New Roman" w:cs="Times New Roman" w:eastAsia="Times New Roman" w:hAnsi="Times New Roman"/>
          <w:sz w:val="18"/>
          <w:szCs w:val="18"/>
          <w:color w:val="auto"/>
        </w:rPr>
        <w:t>acceptable from a risk-benefit perspective. Any occurrences of clinically significant adverse events with our product candidates may harm our business, financial condition and prospects significantly.</w:t>
      </w:r>
    </w:p>
    <w:p>
      <w:pPr>
        <w:spacing w:after="0" w:line="121" w:lineRule="exact"/>
        <w:rPr>
          <w:sz w:val="20"/>
          <w:szCs w:val="20"/>
          <w:color w:val="auto"/>
        </w:rPr>
      </w:pPr>
    </w:p>
    <w:p>
      <w:pPr>
        <w:ind w:right="200" w:firstLine="599"/>
        <w:spacing w:after="0" w:line="236" w:lineRule="exact"/>
        <w:rPr>
          <w:sz w:val="20"/>
          <w:szCs w:val="20"/>
          <w:color w:val="auto"/>
        </w:rPr>
      </w:pPr>
      <w:r>
        <w:rPr>
          <w:rFonts w:ascii="Times New Roman" w:cs="Times New Roman" w:eastAsia="Times New Roman" w:hAnsi="Times New Roman"/>
          <w:sz w:val="18"/>
          <w:szCs w:val="18"/>
          <w:color w:val="auto"/>
        </w:rPr>
        <w:t>Tegoprubart is an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executives and key employees and to attract, retain and motivate qualified personnel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w:t>
      </w:r>
    </w:p>
    <w:p>
      <w:pPr>
        <w:spacing w:after="0" w:line="99" w:lineRule="exact"/>
        <w:rPr>
          <w:sz w:val="20"/>
          <w:szCs w:val="20"/>
          <w:color w:val="auto"/>
        </w:rPr>
      </w:pPr>
    </w:p>
    <w:p>
      <w:pPr>
        <w:ind w:right="140" w:firstLine="599"/>
        <w:spacing w:after="0" w:line="258" w:lineRule="auto"/>
        <w:rPr>
          <w:sz w:val="20"/>
          <w:szCs w:val="20"/>
          <w:color w:val="auto"/>
        </w:rPr>
      </w:pPr>
      <w:r>
        <w:rPr>
          <w:rFonts w:ascii="Times New Roman" w:cs="Times New Roman" w:eastAsia="Times New Roman" w:hAnsi="Times New Roman"/>
          <w:sz w:val="18"/>
          <w:szCs w:val="18"/>
          <w:color w:val="auto"/>
        </w:rPr>
        <w:t>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 Our recent decision to discontinue the islet cell transplantation program and IgAN program and uncertainties regarding our financial condition may increase the likelihood that employees depart in the foreseeable future.</w:t>
      </w:r>
    </w:p>
    <w:p>
      <w:pPr>
        <w:spacing w:after="0" w:line="183"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sales and marketing personnel is critical to our success. Due to the small size of the Company and the limited number of employees, each of our executives and key 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Approval of Our Product Candidates and Other Compliance Matters</w:t>
      </w:r>
    </w:p>
    <w:p>
      <w:pPr>
        <w:spacing w:after="0" w:line="117" w:lineRule="exact"/>
        <w:rPr>
          <w:sz w:val="20"/>
          <w:szCs w:val="20"/>
          <w:color w:val="auto"/>
        </w:rPr>
      </w:pPr>
    </w:p>
    <w:p>
      <w:pPr>
        <w:ind w:right="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51"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Our product candidates must be approved by the FDA pursuant to a new drug application in the United States and by other regulatory authorities outside the United States prior to commercialization in the respective regions. The process of 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our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or changes in regulatory review for each submitted product application, may also cause delays in or prevent the approval of an application.</w:t>
      </w:r>
    </w:p>
    <w:p>
      <w:pPr>
        <w:spacing w:after="0" w:line="225" w:lineRule="exact"/>
        <w:rPr>
          <w:sz w:val="20"/>
          <w:szCs w:val="20"/>
          <w:color w:val="auto"/>
        </w:rPr>
      </w:pPr>
    </w:p>
    <w:p>
      <w:pPr>
        <w:ind w:right="360" w:firstLine="599"/>
        <w:spacing w:after="0" w:line="266" w:lineRule="auto"/>
        <w:rPr>
          <w:sz w:val="20"/>
          <w:szCs w:val="20"/>
          <w:color w:val="auto"/>
        </w:rPr>
      </w:pPr>
      <w:r>
        <w:rPr>
          <w:rFonts w:ascii="Times New Roman" w:cs="Times New Roman" w:eastAsia="Times New Roman" w:hAnsi="Times New Roman"/>
          <w:sz w:val="18"/>
          <w:szCs w:val="18"/>
          <w:color w:val="auto"/>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spacing w:after="0" w:line="176" w:lineRule="exact"/>
        <w:rPr>
          <w:sz w:val="20"/>
          <w:szCs w:val="20"/>
          <w:color w:val="auto"/>
        </w:rPr>
      </w:pPr>
    </w:p>
    <w:p>
      <w:pPr>
        <w:ind w:right="80" w:firstLine="599"/>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 The regulatory approval process outside the United States generally includes all the risks associated with obtaining FDA approval. In addition to regulatory approval, in many countries outside the United States, it is required that the product be approved for reimbursement before the product can be approved for sale in that country.</w:t>
      </w:r>
    </w:p>
    <w:p>
      <w:pPr>
        <w:spacing w:after="0" w:line="187" w:lineRule="exact"/>
        <w:rPr>
          <w:sz w:val="20"/>
          <w:szCs w:val="20"/>
          <w:color w:val="auto"/>
        </w:rPr>
      </w:pPr>
    </w:p>
    <w:p>
      <w:pPr>
        <w:ind w:right="100" w:firstLine="59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8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60" w:firstLine="599"/>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spacing w:after="0" w:line="189" w:lineRule="exact"/>
        <w:rPr>
          <w:sz w:val="20"/>
          <w:szCs w:val="20"/>
          <w:color w:val="auto"/>
        </w:rPr>
      </w:pPr>
    </w:p>
    <w:p>
      <w:pPr>
        <w:ind w:right="40" w:firstLine="599"/>
        <w:spacing w:after="0" w:line="256"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87"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5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2" w:name="page53"/>
    <w:bookmarkEnd w:id="52"/>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spacing w:after="0" w:line="280" w:lineRule="exact"/>
        <w:rPr>
          <w:sz w:val="20"/>
          <w:szCs w:val="20"/>
          <w:color w:val="auto"/>
        </w:rPr>
      </w:pPr>
    </w:p>
    <w:p>
      <w:pPr>
        <w:ind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spacing w:after="0" w:line="180" w:lineRule="exact"/>
        <w:rPr>
          <w:sz w:val="20"/>
          <w:szCs w:val="20"/>
          <w:color w:val="auto"/>
        </w:rPr>
      </w:pPr>
    </w:p>
    <w:p>
      <w:pPr>
        <w:ind w:right="40" w:firstLine="599"/>
        <w:spacing w:after="0" w:line="256" w:lineRule="auto"/>
        <w:rPr>
          <w:sz w:val="20"/>
          <w:szCs w:val="20"/>
          <w:color w:val="auto"/>
        </w:rPr>
      </w:pPr>
      <w:r>
        <w:rPr>
          <w:rFonts w:ascii="Times New Roman" w:cs="Times New Roman" w:eastAsia="Times New Roman" w:hAnsi="Times New Roman"/>
          <w:sz w:val="18"/>
          <w:szCs w:val="18"/>
          <w:color w:val="auto"/>
        </w:rPr>
        <w:t>For example, on August 16, 2022, the U.S. government enacted the Inflation Reduction Act of 2022, which, among other things, includes policies that are designed to have a direct impact on drug prices and reduce drug spending by the federal government, which shall take effect in 2023. The Inflation Reduction Act requires drug manufacturers to pay rebates to Medicare if they increase prices faster than inflation for certain drugs used by Medicare beneficiaries. The mechanics of the rebate calculation would mimic those of the Medicaid rebate, but the expansion of inflation-based rebates may further complicate pricing strategies. The Inflation Reduction Act of 2022 or other similar legislation could have the effect of reducing the prices we can charge and reimbursement we receive for our products, thereby reducing our profitability.</w:t>
      </w:r>
    </w:p>
    <w:p>
      <w:pPr>
        <w:spacing w:after="0" w:line="187" w:lineRule="exact"/>
        <w:rPr>
          <w:sz w:val="20"/>
          <w:szCs w:val="20"/>
          <w:color w:val="auto"/>
        </w:rPr>
      </w:pPr>
    </w:p>
    <w:p>
      <w:pPr>
        <w:ind w:right="260" w:firstLine="59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76"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Laws, restrictions, and other regulatory measures are also imposed by healthcare laws and regulations in international jurisdictions and in those jurisdictions we face the same issues as in the United States regarding difficulty and cost for us to obtain marketing approval and commercialization of our product candidates and which may affect the prices we may obtain.</w:t>
      </w:r>
    </w:p>
    <w:p>
      <w:pPr>
        <w:spacing w:after="0" w:line="176" w:lineRule="exact"/>
        <w:rPr>
          <w:sz w:val="20"/>
          <w:szCs w:val="20"/>
          <w:color w:val="auto"/>
        </w:rPr>
      </w:pPr>
    </w:p>
    <w:p>
      <w:pPr>
        <w:jc w:val="both"/>
        <w:ind w:right="240" w:firstLine="599"/>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spacing w:after="0" w:line="175"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ind w:right="60"/>
        <w:spacing w:after="0" w:line="266" w:lineRule="auto"/>
        <w:rPr>
          <w:sz w:val="20"/>
          <w:szCs w:val="20"/>
          <w:color w:val="auto"/>
        </w:rPr>
      </w:pPr>
      <w:r>
        <w:rPr>
          <w:rFonts w:ascii="Times New Roman" w:cs="Times New Roman" w:eastAsia="Times New Roman" w:hAnsi="Times New Roman"/>
          <w:sz w:val="18"/>
          <w:szCs w:val="18"/>
          <w:color w:val="auto"/>
        </w:rPr>
        <w:t>Claims Act (“FCA”), the federal Anti-Kickback Statute, the federal Health Insurance Portability and Accountability Act of 1996 (“HIPAA”), patient data privacy and security regulation, including, in the United States, HIPAA, as amended by the Health Information Technology for Clinical Health Act of 2009 (“HITECH”), the federal transparency requirements under the Physician Payments Sunshine Act, and analogous state, local or foreign law.</w:t>
      </w:r>
    </w:p>
    <w:p>
      <w:pPr>
        <w:spacing w:after="0" w:line="176" w:lineRule="exact"/>
        <w:rPr>
          <w:sz w:val="20"/>
          <w:szCs w:val="20"/>
          <w:color w:val="auto"/>
        </w:rPr>
      </w:pPr>
    </w:p>
    <w:p>
      <w:pPr>
        <w:ind w:right="60" w:firstLine="599"/>
        <w:spacing w:after="0" w:line="255"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w:t>
      </w:r>
    </w:p>
    <w:p>
      <w:pPr>
        <w:spacing w:after="0" w:line="189" w:lineRule="exact"/>
        <w:rPr>
          <w:sz w:val="20"/>
          <w:szCs w:val="20"/>
          <w:color w:val="auto"/>
        </w:rPr>
      </w:pPr>
    </w:p>
    <w:p>
      <w:pPr>
        <w:ind w:right="40" w:firstLine="59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spacing w:after="0" w:line="187"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Laws, restrictions, and other regulatory measures are also imposed by anti-kickback, fraud and abuse, and other healthcare laws and regulations in international jurisdictions, and in those jurisdictions we face the same issues as in the United State regarding exposure to criminal sanctions, civil penalties, program exclusion, contractual damages, reputational harm, and diminished profits and future earnings.</w:t>
      </w:r>
    </w:p>
    <w:p>
      <w:pPr>
        <w:spacing w:after="0" w:line="280" w:lineRule="exact"/>
        <w:rPr>
          <w:sz w:val="20"/>
          <w:szCs w:val="20"/>
          <w:color w:val="auto"/>
        </w:rPr>
      </w:pPr>
    </w:p>
    <w:p>
      <w:pPr>
        <w:ind w:right="40" w:firstLine="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systems and those of our third-party collaborators, service providers, contractors or consultants. Our information systems, or those of our third-party collaborators, service providers, contractors or consultants, may fail or suffer cybersecurity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w:t>
      </w:r>
    </w:p>
    <w:p>
      <w:pPr>
        <w:spacing w:after="0" w:line="75"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Our information systems and infrastructure, and those of our current or future third-party collaborators, service providers, contractors and consultants are vulnerable to damage from cybersecurity incidents, including computer viruses, denial-of-service attacks, hacking, phishing and other social engineering attacks, unauthorized access or use resulting from malware, as well as disruptions due to natural disasters, terrorism, war, mistakes or technical errors, including due to software updates and telecommunication and electrical failures. We may also experience cybersecurity incidents stemming from persons inside our organizations (including employees or contractors), or other persons with access to information systems inside our organization. Attacks on information systems are increasing in their frequency, levels of persistence, sophistication and intensity, and they are being conducted by increasingly sophisticated and organized foreign governments, groups and individuals with a wide range of motives and expertise.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Information system disruptions, even if inadvertent, may limit or disable our access or important third parties’ access to our systems. While to our knowledge we have not experienced any material information system failure, accident or security breach to date, if such an event were to occur and cause interruptions in our operations or the operations of third-party collaborators, service providers, contractors or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systems, our efforts to address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right="480"/>
        <w:spacing w:after="0" w:line="282" w:lineRule="auto"/>
        <w:rPr>
          <w:sz w:val="20"/>
          <w:szCs w:val="20"/>
          <w:color w:val="auto"/>
        </w:rPr>
      </w:pPr>
      <w:r>
        <w:rPr>
          <w:rFonts w:ascii="Times New Roman" w:cs="Times New Roman" w:eastAsia="Times New Roman" w:hAnsi="Times New Roman"/>
          <w:sz w:val="18"/>
          <w:szCs w:val="18"/>
          <w:color w:val="auto"/>
        </w:rPr>
        <w:t>these problems may not be successful, and these problems could result in unexpected interruptions, delays, cessation of service and other harm to our business and our competitive position.</w:t>
      </w:r>
    </w:p>
    <w:p>
      <w:pPr>
        <w:spacing w:after="0" w:line="162"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information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be found to have violated applicable U.S. and international privacy, data protection and other laws, which could subject us to litigation and governmental investigations and proceedings by federal, state and local regulatory entities in the U.S. and by international regulatory entities, resulting in exposure to material civil and/or criminal liability.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cybersecurity incidents.</w:t>
      </w:r>
    </w:p>
    <w:p>
      <w:pPr>
        <w:spacing w:after="0" w:line="190" w:lineRule="exact"/>
        <w:rPr>
          <w:sz w:val="20"/>
          <w:szCs w:val="20"/>
          <w:color w:val="auto"/>
        </w:rPr>
      </w:pPr>
    </w:p>
    <w:p>
      <w:pPr>
        <w:ind w:right="100" w:firstLine="599"/>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systems, applications and infrastructure, there can be no assurance that such measures will successfully prevent service interruptions or cybersecurity incidents.</w:t>
      </w:r>
    </w:p>
    <w:p>
      <w:pPr>
        <w:spacing w:after="0" w:line="296" w:lineRule="exact"/>
        <w:rPr>
          <w:sz w:val="20"/>
          <w:szCs w:val="20"/>
          <w:color w:val="auto"/>
        </w:rPr>
      </w:pPr>
    </w:p>
    <w:p>
      <w:pPr>
        <w:ind w:right="1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collection, use, processing and cross-border transfer of personal information.</w:t>
      </w:r>
    </w:p>
    <w:p>
      <w:pPr>
        <w:spacing w:after="0" w:line="51" w:lineRule="exact"/>
        <w:rPr>
          <w:sz w:val="20"/>
          <w:szCs w:val="20"/>
          <w:color w:val="auto"/>
        </w:rPr>
      </w:pPr>
    </w:p>
    <w:p>
      <w:pPr>
        <w:ind w:right="20" w:firstLine="599"/>
        <w:spacing w:after="0" w:line="252"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in connection with our business, including in connection with conducting clinical trials in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European Economic Area,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Economic Area and other states in the European Economic Area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26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Commercialization of Our Product Candidates</w:t>
      </w:r>
    </w:p>
    <w:p>
      <w:pPr>
        <w:spacing w:after="0" w:line="117" w:lineRule="exact"/>
        <w:rPr>
          <w:sz w:val="20"/>
          <w:szCs w:val="20"/>
          <w:color w:val="auto"/>
        </w:rPr>
      </w:pPr>
    </w:p>
    <w:p>
      <w:pPr>
        <w:ind w:right="4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51" w:lineRule="exact"/>
        <w:rPr>
          <w:sz w:val="20"/>
          <w:szCs w:val="20"/>
          <w:color w:val="auto"/>
        </w:rPr>
      </w:pPr>
    </w:p>
    <w:p>
      <w:pPr>
        <w:ind w:right="20" w:firstLine="599"/>
        <w:spacing w:after="0" w:line="281" w:lineRule="auto"/>
        <w:rPr>
          <w:sz w:val="20"/>
          <w:szCs w:val="20"/>
          <w:color w:val="auto"/>
        </w:rPr>
      </w:pPr>
      <w:r>
        <w:rPr>
          <w:rFonts w:ascii="Times New Roman" w:cs="Times New Roman" w:eastAsia="Times New Roman" w:hAnsi="Times New Roman"/>
          <w:sz w:val="17"/>
          <w:szCs w:val="17"/>
          <w:color w:val="auto"/>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5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and potential advantages and disadvantages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including patient cost-sharing programs such as copays and deductibles;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or partner with third-party collaborators to develop companion diagnostics;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jc w:val="both"/>
        <w:ind w:right="2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 future product candidate receives marketing approval and we, or others, later discover that the product is less effective than previously believed or causes undesirable side effects that were not previously identified, our ability to market the product could be compromised.</w:t>
      </w:r>
    </w:p>
    <w:p>
      <w:pPr>
        <w:spacing w:after="0" w:line="67"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required to be recalled or changes may be required to the way the product is administered;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distribution or use of the product via a Risk Evaluation and Mitigation Strategy;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6" w:name="page57"/>
    <w:bookmarkEnd w:id="56"/>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0" w:firstLine="599"/>
        <w:spacing w:after="0" w:line="282" w:lineRule="auto"/>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The commercial prospects for our product candidates may be harmed and our ability to generate revenues will be materially impaired.</w:t>
      </w:r>
    </w:p>
    <w:p>
      <w:pPr>
        <w:spacing w:after="0" w:line="266" w:lineRule="exact"/>
        <w:rPr>
          <w:sz w:val="20"/>
          <w:szCs w:val="20"/>
          <w:color w:val="auto"/>
        </w:rPr>
      </w:pPr>
    </w:p>
    <w:p>
      <w:pPr>
        <w:ind w:right="6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or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spacing w:after="0" w:line="67"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1" w:lineRule="exact"/>
        <w:rPr>
          <w:sz w:val="20"/>
          <w:szCs w:val="20"/>
          <w:color w:val="auto"/>
        </w:rPr>
      </w:pPr>
    </w:p>
    <w:p>
      <w:pPr>
        <w:ind w:right="30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260" w:firstLine="599"/>
        <w:spacing w:after="0" w:line="266" w:lineRule="auto"/>
        <w:rPr>
          <w:sz w:val="20"/>
          <w:szCs w:val="20"/>
          <w:color w:val="auto"/>
        </w:rPr>
      </w:pPr>
      <w:r>
        <w:rPr>
          <w:rFonts w:ascii="Times New Roman" w:cs="Times New Roman" w:eastAsia="Times New Roman" w:hAnsi="Times New Roman"/>
          <w:sz w:val="18"/>
          <w:szCs w:val="18"/>
          <w:color w:val="auto"/>
        </w:rPr>
        <w:t>Specifically, there are a number of companies developing competing anti-CD40 and anti-CD40L therapeutics in clinical trials for transplant, autoimmune or central nervous system indications, including: Novartis, Sanofi, UCB, Amgen (post-acquisition of Horizon Therapeutics), Bristol Myers Squibb, and Kiniksa. All of these companies are larger than Eledon and have significantly greater resources to develop their drug candidates.</w:t>
      </w:r>
    </w:p>
    <w:p>
      <w:pPr>
        <w:spacing w:after="0" w:line="176" w:lineRule="exact"/>
        <w:rPr>
          <w:sz w:val="20"/>
          <w:szCs w:val="20"/>
          <w:color w:val="auto"/>
        </w:rPr>
      </w:pPr>
    </w:p>
    <w:p>
      <w:pPr>
        <w:ind w:firstLine="599"/>
        <w:spacing w:after="0" w:line="251" w:lineRule="auto"/>
        <w:rPr>
          <w:sz w:val="20"/>
          <w:szCs w:val="20"/>
          <w:color w:val="auto"/>
        </w:rPr>
      </w:pPr>
      <w:r>
        <w:rPr>
          <w:rFonts w:ascii="Times New Roman" w:cs="Times New Roman" w:eastAsia="Times New Roman" w:hAnsi="Times New Roman"/>
          <w:sz w:val="18"/>
          <w:szCs w:val="18"/>
          <w:color w:val="auto"/>
        </w:rPr>
        <w:t>If approved, we expect that tegoprubart will face competition from numerous FDA-approved therapeutics for the prevention of transplant rejection, including PROGRAF</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ASTAGRAF 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ENVARSUS XR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NULOJIX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CELLCEPT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MYFORTIC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and numerous other branded and generic immunosuppressive agents. Multiple companies are working on islet cell and kidney transplant solutions that may ultimately potentially negate the need for immunosuppressive agents in these indications altogether.</w:t>
      </w:r>
    </w:p>
    <w:p>
      <w:pPr>
        <w:spacing w:after="0" w:line="190" w:lineRule="exact"/>
        <w:rPr>
          <w:sz w:val="20"/>
          <w:szCs w:val="20"/>
          <w:color w:val="auto"/>
        </w:rPr>
      </w:pPr>
    </w:p>
    <w:p>
      <w:pPr>
        <w:ind w:right="80" w:firstLine="599"/>
        <w:spacing w:after="0" w:line="281" w:lineRule="auto"/>
        <w:rPr>
          <w:sz w:val="20"/>
          <w:szCs w:val="20"/>
          <w:color w:val="auto"/>
        </w:rPr>
      </w:pPr>
      <w:r>
        <w:rPr>
          <w:rFonts w:ascii="Times New Roman" w:cs="Times New Roman" w:eastAsia="Times New Roman" w:hAnsi="Times New Roman"/>
          <w:sz w:val="17"/>
          <w:szCs w:val="17"/>
          <w:color w:val="auto"/>
        </w:rPr>
        <w:t>We expect that tegoprubart will face competition from FDA-approved therapeutics for the treatment of ALS including RADICAVA®, RELYVRIO™,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and Cytokinetics, are also working on competing ALS pharmaceutical, gene therapy and cell therapy approaches.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jc w:val="both"/>
        <w:ind w:right="60" w:firstLine="599"/>
        <w:spacing w:after="0" w:line="26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spacing w:after="0" w:line="176"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Generic products are currently available, with additional generic products expected to become available over the coming years, potentially creating pricing pressure. If our product candidates achieve marketing approval, we expect that they will be priced at a significant premium over competitive generic products.</w:t>
      </w:r>
    </w:p>
    <w:p>
      <w:pPr>
        <w:spacing w:after="0" w:line="176" w:lineRule="exact"/>
        <w:rPr>
          <w:sz w:val="20"/>
          <w:szCs w:val="20"/>
          <w:color w:val="auto"/>
        </w:rPr>
      </w:pPr>
    </w:p>
    <w:p>
      <w:pPr>
        <w:ind w:right="160" w:firstLine="59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3" w:lineRule="exact"/>
        <w:rPr>
          <w:sz w:val="20"/>
          <w:szCs w:val="20"/>
          <w:color w:val="auto"/>
        </w:rPr>
      </w:pPr>
    </w:p>
    <w:p>
      <w:pPr>
        <w:ind w:right="1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5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expensive treatments. Sales of our product candidates will depend substantially, both domestically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0"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ind w:firstLine="599"/>
        <w:spacing w:after="0" w:line="266" w:lineRule="auto"/>
        <w:rPr>
          <w:sz w:val="20"/>
          <w:szCs w:val="20"/>
          <w:color w:val="auto"/>
        </w:rPr>
      </w:pPr>
      <w:r>
        <w:rPr>
          <w:rFonts w:ascii="Times New Roman" w:cs="Times New Roman" w:eastAsia="Times New Roman" w:hAnsi="Times New Roman"/>
          <w:sz w:val="18"/>
          <w:szCs w:val="18"/>
          <w:color w:val="auto"/>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80" w:lineRule="exact"/>
        <w:rPr>
          <w:sz w:val="20"/>
          <w:szCs w:val="20"/>
          <w:color w:val="auto"/>
        </w:rPr>
      </w:pPr>
    </w:p>
    <w:p>
      <w:pPr>
        <w:ind w:right="2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spacing w:after="0" w:line="187" w:lineRule="exact"/>
        <w:rPr>
          <w:sz w:val="20"/>
          <w:szCs w:val="20"/>
          <w:color w:val="auto"/>
        </w:rPr>
      </w:pPr>
    </w:p>
    <w:p>
      <w:pPr>
        <w:ind w:right="120" w:firstLine="59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117" w:lineRule="exact"/>
        <w:rPr>
          <w:sz w:val="20"/>
          <w:szCs w:val="20"/>
          <w:color w:val="auto"/>
        </w:rPr>
      </w:pPr>
    </w:p>
    <w:p>
      <w:pPr>
        <w:jc w:val="both"/>
        <w:ind w:right="8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67"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tegoprubart and other product candidates. These materials are custom-made and available from only a limited number of sources. Although we believe that our third-party suppliers maintain a significant supply of these materials and equipment on hand, any sustained disruption in this supply,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spacing w:after="0" w:line="194"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For example, these third parties experienced disruptions in their operations in conjunction with the COVID-19 pandemic. Any delay or performance failure on the part of our existing or future manufacturers of drug substance or drug products could delay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spacing w:after="0" w:line="192" w:lineRule="exact"/>
        <w:rPr>
          <w:sz w:val="20"/>
          <w:szCs w:val="20"/>
          <w:color w:val="auto"/>
        </w:rPr>
      </w:pPr>
    </w:p>
    <w:p>
      <w:pPr>
        <w:jc w:val="both"/>
        <w:ind w:right="180" w:firstLine="599"/>
        <w:spacing w:after="0" w:line="266" w:lineRule="auto"/>
        <w:rPr>
          <w:sz w:val="20"/>
          <w:szCs w:val="20"/>
          <w:color w:val="auto"/>
        </w:rPr>
      </w:pPr>
      <w:r>
        <w:rPr>
          <w:rFonts w:ascii="Times New Roman" w:cs="Times New Roman" w:eastAsia="Times New Roman" w:hAnsi="Times New Roman"/>
          <w:sz w:val="18"/>
          <w:szCs w:val="18"/>
          <w:color w:val="auto"/>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6" w:lineRule="exact"/>
        <w:rPr>
          <w:sz w:val="20"/>
          <w:szCs w:val="20"/>
          <w:color w:val="auto"/>
        </w:rPr>
      </w:pPr>
    </w:p>
    <w:p>
      <w:pPr>
        <w:ind w:right="400" w:firstLine="59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auto"/>
        </w:rPr>
        <w:t>The third parties we rely on for manufacturing and packaging are also subject to regulatory review, and any regulatory compliance problems with these third parties could significantly delay or disrupt our clinical or commercialization activities.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spacing w:after="0" w:line="192"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right="380" w:firstLine="59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10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5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 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17" w:lineRule="exact"/>
        <w:rPr>
          <w:sz w:val="20"/>
          <w:szCs w:val="20"/>
          <w:color w:val="auto"/>
        </w:rPr>
      </w:pPr>
    </w:p>
    <w:p>
      <w:pPr>
        <w:ind w:right="8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67" w:lineRule="exact"/>
        <w:rPr>
          <w:sz w:val="20"/>
          <w:szCs w:val="20"/>
          <w:color w:val="auto"/>
        </w:rPr>
      </w:pPr>
    </w:p>
    <w:p>
      <w:pPr>
        <w:ind w:right="540" w:firstLine="599"/>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relevant countries with respect to our proprietary technology and products. We seek to protect our proprietary position by filing patent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100"/>
        <w:spacing w:after="0" w:line="282" w:lineRule="auto"/>
        <w:rPr>
          <w:sz w:val="20"/>
          <w:szCs w:val="20"/>
          <w:color w:val="auto"/>
        </w:rPr>
      </w:pPr>
      <w:r>
        <w:rPr>
          <w:rFonts w:ascii="Times New Roman" w:cs="Times New Roman" w:eastAsia="Times New Roman" w:hAnsi="Times New Roman"/>
          <w:sz w:val="18"/>
          <w:szCs w:val="18"/>
          <w:color w:val="auto"/>
        </w:rPr>
        <w:t>in the United States and internationally that are related to our novel technologies and product candidates. This patent portfolio includes issued patents and pending patent applications covering pharmaceutical compositions and methods of use.</w:t>
      </w:r>
    </w:p>
    <w:p>
      <w:pPr>
        <w:spacing w:after="0" w:line="162" w:lineRule="exact"/>
        <w:rPr>
          <w:sz w:val="20"/>
          <w:szCs w:val="20"/>
          <w:color w:val="auto"/>
        </w:rPr>
      </w:pPr>
    </w:p>
    <w:p>
      <w:pPr>
        <w:ind w:right="100" w:firstLine="59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spacing w:after="0" w:line="194"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spacing w:after="0" w:line="183" w:lineRule="exact"/>
        <w:rPr>
          <w:sz w:val="20"/>
          <w:szCs w:val="20"/>
          <w:color w:val="auto"/>
        </w:rPr>
      </w:pPr>
    </w:p>
    <w:p>
      <w:pPr>
        <w:ind w:right="60" w:firstLine="599"/>
        <w:spacing w:after="0" w:line="261" w:lineRule="auto"/>
        <w:rPr>
          <w:sz w:val="20"/>
          <w:szCs w:val="20"/>
          <w:color w:val="auto"/>
        </w:rPr>
      </w:pPr>
      <w:r>
        <w:rPr>
          <w:rFonts w:ascii="Times New Roman" w:cs="Times New Roman" w:eastAsia="Times New Roman" w:hAnsi="Times New Roman"/>
          <w:sz w:val="18"/>
          <w:szCs w:val="18"/>
          <w:color w:val="auto"/>
        </w:rPr>
        <w:t>The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0"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In addition, we have acquired rights to tegoprubart and other product candidates through a license agreement with The ALS Therapy Development Institute, and may in the future enter into other license agreements with third parties for other intellectual property rights or assets. These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spacing w:after="0" w:line="189"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1" w:name="page62"/>
    <w:bookmarkEnd w:id="61"/>
    <w:p>
      <w:pPr>
        <w:ind w:right="6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59" w:lineRule="exact"/>
        <w:rPr>
          <w:sz w:val="20"/>
          <w:szCs w:val="20"/>
          <w:color w:val="auto"/>
        </w:rPr>
      </w:pPr>
    </w:p>
    <w:p>
      <w:pPr>
        <w:ind w:right="400" w:firstLine="59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3"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9" w:lineRule="exact"/>
        <w:rPr>
          <w:sz w:val="20"/>
          <w:szCs w:val="20"/>
          <w:color w:val="auto"/>
        </w:rPr>
      </w:pPr>
    </w:p>
    <w:p>
      <w:pPr>
        <w:ind w:firstLine="599"/>
        <w:spacing w:after="0" w:line="271" w:lineRule="auto"/>
        <w:rPr>
          <w:sz w:val="20"/>
          <w:szCs w:val="20"/>
          <w:color w:val="auto"/>
        </w:rPr>
      </w:pPr>
      <w:r>
        <w:rPr>
          <w:rFonts w:ascii="Times New Roman" w:cs="Times New Roman" w:eastAsia="Times New Roman" w:hAnsi="Times New Roman"/>
          <w:sz w:val="17"/>
          <w:szCs w:val="17"/>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77" w:lineRule="exact"/>
        <w:rPr>
          <w:sz w:val="20"/>
          <w:szCs w:val="20"/>
          <w:color w:val="auto"/>
        </w:rPr>
      </w:pPr>
    </w:p>
    <w:p>
      <w:pPr>
        <w:ind w:right="4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99"/>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99"/>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2" w:name="page63"/>
    <w:bookmarkEnd w:id="62"/>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misappropriation of trade secrets from former employers of Company personnel.</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expect our stock price to be volatile, and the market price of our common stock may drop unexpectedly.</w:t>
      </w:r>
    </w:p>
    <w:p>
      <w:pPr>
        <w:spacing w:after="0" w:line="12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biopharmaceutical, and other life sciences companies have historically been particularly volatile. Some of the factors that may cause the market price of our common stock to fluctuate include:</w:t>
      </w:r>
    </w:p>
    <w:p>
      <w:pPr>
        <w:spacing w:after="0" w:line="68"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financial condition and our ability to raise sufficient capital to fund our ongoing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our product candidates or other product candidates, and delays or failures to obtain such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any future clinical trials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commercial partner agreements;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potential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who cover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that may affect our research and development expenditures;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common stock.</w:t>
      </w:r>
    </w:p>
    <w:p>
      <w:pPr>
        <w:spacing w:after="0" w:line="225" w:lineRule="exact"/>
        <w:rPr>
          <w:sz w:val="20"/>
          <w:szCs w:val="20"/>
          <w:color w:val="auto"/>
        </w:rPr>
      </w:pPr>
    </w:p>
    <w:p>
      <w:pPr>
        <w:ind w:right="560" w:firstLine="599"/>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62" w:lineRule="exact"/>
        <w:rPr>
          <w:sz w:val="20"/>
          <w:szCs w:val="20"/>
          <w:color w:val="auto"/>
        </w:rPr>
      </w:pPr>
    </w:p>
    <w:p>
      <w:pPr>
        <w:ind w:right="220" w:firstLine="599"/>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3" w:name="page64"/>
    <w:bookmarkEnd w:id="63"/>
    <w:p>
      <w:pPr>
        <w:ind w:right="5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ind w:right="200" w:firstLine="599"/>
        <w:spacing w:after="0" w:line="261" w:lineRule="auto"/>
        <w:rPr>
          <w:sz w:val="20"/>
          <w:szCs w:val="20"/>
          <w:color w:val="auto"/>
        </w:rPr>
      </w:pPr>
      <w:r>
        <w:rPr>
          <w:rFonts w:ascii="Times New Roman" w:cs="Times New Roman" w:eastAsia="Times New Roman" w:hAnsi="Times New Roman"/>
          <w:sz w:val="18"/>
          <w:szCs w:val="18"/>
          <w:color w:val="auto"/>
        </w:rPr>
        <w:t>Ensuring that we will have adequate internal financial and accounting controls and procedures in place so that we can produce accurate financial statements on a timely basis is a costly and time-consuming effort that needs to be re-evaluated frequently. Internal control over financial reporting is a process designed to provide reasonable assurance regarding the reliability of financial reporting and the preparation of financial statements in accordance with GAAP.</w:t>
      </w:r>
    </w:p>
    <w:p>
      <w:pPr>
        <w:spacing w:after="0" w:line="72"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As described in Part 1, Item 4 of this report, we have identified a material weakness in our internal control over financial reporting. If we are unable to remediate the material weaknesses or otherwise successfully maintain internal controls over financial reporting, the accuracy and timing of our financial reporting, and our stock price, may be adversely affected and we may be unable to maintain compliance with the applicable stock exchange listing requirements. Additionally, as we become a larger company, we will become subject to Section 404(b) of the Sarbanes-Oxley Act, which requires our independent auditors to document and test our internal controls. These additional requirements are costly, and our auditors may identify control deficiencies.</w:t>
      </w:r>
    </w:p>
    <w:p>
      <w:pPr>
        <w:spacing w:after="0" w:line="79"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Implementing any changes to our internal controls may distract the officers and employees of the Company, entail substantial costs to modify its existing processes and take significant time to complete. These changes may not, however, be effective in maintaining the adequacy of the internal controls of the Company, and any failure to maintain that adequacy, or consequent inability to produce accurate financial statements on a timely basis, could increase operating costs and harm the business. In addition, investors’ perceptions that the internal controls of the Company are inadequate or that we are unable to produce accurate financial statements on a timely basis may harm the stock price of the Company.</w:t>
      </w:r>
    </w:p>
    <w:p>
      <w:pPr>
        <w:spacing w:after="0" w:line="287" w:lineRule="exact"/>
        <w:rPr>
          <w:sz w:val="20"/>
          <w:szCs w:val="20"/>
          <w:color w:val="auto"/>
        </w:rPr>
      </w:pPr>
    </w:p>
    <w:p>
      <w:pPr>
        <w:ind w:right="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 current management by making it more difficult for stockholders to replace members of our Board. Among other things, these provisions:</w:t>
      </w:r>
    </w:p>
    <w:p>
      <w:pPr>
        <w:spacing w:after="0" w:line="79"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760" w:right="300" w:hanging="378"/>
        <w:spacing w:after="0" w:line="312" w:lineRule="auto"/>
        <w:tabs>
          <w:tab w:leader="none" w:pos="7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31" w:lineRule="exact"/>
        <w:rPr>
          <w:rFonts w:ascii="Times New Roman" w:cs="Times New Roman" w:eastAsia="Times New Roman" w:hAnsi="Times New Roman"/>
          <w:sz w:val="17"/>
          <w:szCs w:val="17"/>
          <w:color w:val="auto"/>
        </w:rPr>
      </w:pPr>
    </w:p>
    <w:p>
      <w:pPr>
        <w:ind w:left="760" w:right="5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the Company’s charter or bylaws.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in the foreseeable future.</w:t>
      </w:r>
    </w:p>
    <w:p>
      <w:pPr>
        <w:spacing w:after="0" w:line="121" w:lineRule="exact"/>
        <w:rPr>
          <w:sz w:val="20"/>
          <w:szCs w:val="20"/>
          <w:color w:val="auto"/>
        </w:rPr>
      </w:pPr>
    </w:p>
    <w:p>
      <w:pPr>
        <w:ind w:right="660" w:firstLine="599"/>
        <w:spacing w:after="0" w:line="282" w:lineRule="auto"/>
        <w:rPr>
          <w:sz w:val="20"/>
          <w:szCs w:val="20"/>
          <w:color w:val="auto"/>
        </w:rPr>
      </w:pPr>
      <w:r>
        <w:rPr>
          <w:rFonts w:ascii="Times New Roman" w:cs="Times New Roman" w:eastAsia="Times New Roman" w:hAnsi="Times New Roman"/>
          <w:sz w:val="18"/>
          <w:szCs w:val="18"/>
          <w:color w:val="auto"/>
        </w:rPr>
        <w:t>We expect to retain our future earnings to fund the development and growth of our business. As a result, capital appreciation, if any, of our common stock will be the sole source of gain, if any, for any stockholders for the foreseeable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Insider Trading Arrangements</w:t>
      </w:r>
    </w:p>
    <w:p>
      <w:pPr>
        <w:spacing w:after="0" w:line="225" w:lineRule="exact"/>
        <w:rPr>
          <w:sz w:val="20"/>
          <w:szCs w:val="20"/>
          <w:color w:val="auto"/>
        </w:rPr>
      </w:pPr>
    </w:p>
    <w:p>
      <w:pPr>
        <w:jc w:val="both"/>
        <w:ind w:firstLine="59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none of our officers or directors adopted or terminated any contract, instruction or written plan for the purchase or sale of our securities that was intended to satisfy the affirmative defense conditions of Rule 10b5-1(c) or constituted a “non-Rule 10b5-1 trading arrangement.”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0" w:type="dxa"/>
            <w:vAlign w:val="bottom"/>
            <w:gridSpan w:val="23"/>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Agreement and Plan of Merger, dated September 14, 2020, by and among Novus Therapeutics, Inc., Nautilus Merger Sub 1, Inc., Nautilus</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Merger Sub 2, LLC and Anelixis Therapeutics, Inc. (filed with the SEC as Exhibit 2.1 to the Company’s Current Report on Form 8-K filed</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0"/>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on September 15, 2020).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Restated Certificate of Incorporation of Novus Therapeutics, Inc., a Delaware corporation, dated September 22, 2014 (filed with the SEC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0"/>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Exhibit 3.1 on the Company’s Current Report on Form 8-K filed on September 26, 2014).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Certificate of Amendment to Certificate of Incorporation of Novus Therapeutics, Inc. (effecting, among other things a reverse stock-split),</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filed with the Secretary of the State of Delaware on May 9, 2017 (filed with the SEC as Exhibit 3.1 on the Company’s Current Report on</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Form 8-K filed on May 15, 2017).</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9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Certificate of Amendment to Certificate of Incorporation of Novus Therapeutics, Inc. (effecting, among other things a change in the</w:t>
              </w:r>
            </w:hyperlink>
          </w:p>
        </w:tc>
        <w:tc>
          <w:tcPr>
            <w:tcW w:w="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corporation’s name to “Novus Therapeutics, Inc.”), filed with the Secretary of the State of Delaware on May 9, 2017 (filed with the SEC as</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0"/>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Exhibit 3.2 on the Company’s Current Report on Form 8-K filed on May 15, 2017).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Certificate of Amendment to the Restated Certificate of Incorporation of Novus Therapeutics, Inc., (effecting, among other things a reverse</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stock-split) effective as of October 5, 2020 (filed with the SEC as Exhibit 3.1 on the Company’s Current Report on Form 8-K filed on</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October 6, 2020).</w:t>
              </w:r>
            </w:hyperlink>
          </w:p>
        </w:tc>
        <w:tc>
          <w:tcPr>
            <w:tcW w:w="20" w:type="dxa"/>
            <w:vAlign w:val="bottom"/>
            <w:tcBorders>
              <w:bottom w:val="single" w:sz="8" w:color="0000EE"/>
            </w:tcBorders>
          </w:tcPr>
          <w:p>
            <w:pPr>
              <w:spacing w:after="0"/>
              <w:rPr>
                <w:sz w:val="17"/>
                <w:szCs w:val="17"/>
                <w:color w:val="auto"/>
              </w:rPr>
            </w:pPr>
          </w:p>
        </w:tc>
        <w:tc>
          <w:tcPr>
            <w:tcW w:w="88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0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Certificate of Amendment to the Restated Certificate of Incorporation of Novus Therapeutics, Inc., (effecting, among other things a change</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in the corporation’s name to “Eledon Pharmaceuticals, Inc.”) effective as of January 5, 2021 (filed with the SEC as Exhibit 3.1 on the</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Company’s Current Report on Form 8-K filed on January 5, 2021).</w:t>
              </w:r>
            </w:hyperlink>
          </w:p>
        </w:tc>
        <w:tc>
          <w:tcPr>
            <w:tcW w:w="5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0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Certificate of Designations of Series X Convertible Preferred Stock (filed with the SEC as Exhibit 3.1 to the Company’s Current Report on</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Form 8-K filed on February 19, 2020).</w:t>
              </w:r>
            </w:hyperlink>
          </w:p>
        </w:tc>
        <w:tc>
          <w:tcPr>
            <w:tcW w:w="20" w:type="dxa"/>
            <w:vAlign w:val="bottom"/>
            <w:tcBorders>
              <w:bottom w:val="single" w:sz="8" w:color="0000EE"/>
            </w:tcBorders>
          </w:tcPr>
          <w:p>
            <w:pPr>
              <w:spacing w:after="0"/>
              <w:rPr>
                <w:sz w:val="17"/>
                <w:szCs w:val="17"/>
                <w:color w:val="auto"/>
              </w:rPr>
            </w:pPr>
          </w:p>
        </w:tc>
        <w:tc>
          <w:tcPr>
            <w:tcW w:w="73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820" w:type="dxa"/>
            <w:vAlign w:val="bottom"/>
            <w:gridSpan w:val="12"/>
            <w:vMerge w:val="restart"/>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Certificate of Designations of Series X</w:t>
              </w:r>
            </w:hyperlink>
          </w:p>
        </w:tc>
        <w:tc>
          <w:tcPr>
            <w:tcW w:w="40" w:type="dxa"/>
            <w:vAlign w:val="bottom"/>
            <w:tcBorders>
              <w:bottom w:val="single" w:sz="8" w:color="0000EE"/>
            </w:tcBorders>
            <w:gridSpan w:val="2"/>
          </w:tcPr>
          <w:p>
            <w:pPr>
              <w:jc w:val="right"/>
              <w:spacing w:after="0"/>
              <w:rPr>
                <w:rFonts w:ascii="Times New Roman" w:cs="Times New Roman" w:eastAsia="Times New Roman" w:hAnsi="Times New Roman"/>
                <w:sz w:val="5"/>
                <w:szCs w:val="5"/>
                <w:u w:val="single" w:color="auto"/>
                <w:color w:val="0000FF"/>
                <w:w w:val="77"/>
              </w:rPr>
            </w:pPr>
            <w:hyperlink r:id="rId301">
              <w:r>
                <w:rPr>
                  <w:rFonts w:ascii="Times New Roman" w:cs="Times New Roman" w:eastAsia="Times New Roman" w:hAnsi="Times New Roman"/>
                  <w:sz w:val="5"/>
                  <w:szCs w:val="5"/>
                  <w:u w:val="single" w:color="auto"/>
                  <w:color w:val="0000FF"/>
                  <w:w w:val="77"/>
                </w:rPr>
                <w:t>1</w:t>
              </w:r>
            </w:hyperlink>
          </w:p>
        </w:tc>
        <w:tc>
          <w:tcPr>
            <w:tcW w:w="7260" w:type="dxa"/>
            <w:vAlign w:val="bottom"/>
            <w:gridSpan w:val="24"/>
            <w:vMerge w:val="restart"/>
          </w:tcPr>
          <w:p>
            <w:pPr>
              <w:ind w:left="40"/>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Convertible Preferred Stock (filed with the SEC as Exhibit 3.1 to the Company’s Current Report on</w:t>
              </w:r>
            </w:hyperlink>
          </w:p>
        </w:tc>
        <w:tc>
          <w:tcPr>
            <w:tcW w:w="40" w:type="dxa"/>
            <w:vAlign w:val="bottom"/>
            <w:gridSpan w:val="2"/>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20" w:type="dxa"/>
            <w:vAlign w:val="bottom"/>
            <w:tcBorders>
              <w:bottom w:val="single" w:sz="8" w:color="0000FF"/>
            </w:tcBorders>
            <w:gridSpan w:val="12"/>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7260" w:type="dxa"/>
            <w:vAlign w:val="bottom"/>
            <w:tcBorders>
              <w:bottom w:val="single" w:sz="8" w:color="0000FF"/>
            </w:tcBorders>
            <w:gridSpan w:val="24"/>
            <w:vMerge w:val="continue"/>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Form 8-K filed on September 15, 2020).</w:t>
              </w:r>
            </w:hyperlink>
          </w:p>
        </w:tc>
        <w:tc>
          <w:tcPr>
            <w:tcW w:w="20" w:type="dxa"/>
            <w:vAlign w:val="bottom"/>
            <w:tcBorders>
              <w:bottom w:val="single" w:sz="8" w:color="0000EE"/>
            </w:tcBorders>
          </w:tcPr>
          <w:p>
            <w:pPr>
              <w:spacing w:after="0"/>
              <w:rPr>
                <w:sz w:val="17"/>
                <w:szCs w:val="17"/>
                <w:color w:val="auto"/>
              </w:rPr>
            </w:pPr>
          </w:p>
        </w:tc>
        <w:tc>
          <w:tcPr>
            <w:tcW w:w="7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98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Amended and Restated Bylaws of Eledon Pharmaceuticals, Inc. (filed with the SEC as Exhibit 3.2 to the Company’s Current Report on</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Form 8-K filed on January 5, 2021).</w:t>
              </w:r>
            </w:hyperlink>
          </w:p>
        </w:tc>
        <w:tc>
          <w:tcPr>
            <w:tcW w:w="20" w:type="dxa"/>
            <w:vAlign w:val="bottom"/>
            <w:tcBorders>
              <w:bottom w:val="single" w:sz="8" w:color="0000EE"/>
            </w:tcBorders>
          </w:tcPr>
          <w:p>
            <w:pPr>
              <w:spacing w:after="0"/>
              <w:rPr>
                <w:sz w:val="17"/>
                <w:szCs w:val="17"/>
                <w:color w:val="auto"/>
              </w:rPr>
            </w:pPr>
          </w:p>
        </w:tc>
        <w:tc>
          <w:tcPr>
            <w:tcW w:w="75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Form of Pre-Funded Warrant to Purchase Common Stock (filed with the SEC as Exhibit 4.1 to the Company’s Current Report on Form 8-K</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0"/>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filed on May 7,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Open Market Sale Agreement, dated September 20, 2024, by and between Eledon Pharmaceuticals, Inc. and Guggenheim Securities, LLC</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(incorporated by reference to Exhibit 1.2 to the Company’s registration statement on Form S-3, filed on September 20, 2024).</w:t>
              </w:r>
            </w:hyperlink>
          </w:p>
        </w:tc>
        <w:tc>
          <w:tcPr>
            <w:tcW w:w="20" w:type="dxa"/>
            <w:vAlign w:val="bottom"/>
            <w:tcBorders>
              <w:bottom w:val="single" w:sz="8" w:color="0000EE"/>
            </w:tcBorders>
          </w:tcPr>
          <w:p>
            <w:pPr>
              <w:spacing w:after="0"/>
              <w:rPr>
                <w:sz w:val="17"/>
                <w:szCs w:val="17"/>
                <w:color w:val="auto"/>
              </w:rPr>
            </w:pPr>
          </w:p>
        </w:tc>
        <w:tc>
          <w:tcPr>
            <w:tcW w:w="10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99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Eledon Pharmaceuticals, Inc. 2020 Long Term Incentive Plan, as amended (filed with the SEC as Exhibit 10.1 to the Company’s Current</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0"/>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Report on Form 8-K filed on July 10,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15"/>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6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4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101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101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80" w:hanging="728"/>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44"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left="560" w:hanging="559"/>
        <w:spacing w:after="0"/>
        <w:tabs>
          <w:tab w:leader="none" w:pos="56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Furnished herewith.</w:t>
      </w:r>
    </w:p>
    <w:p>
      <w:pPr>
        <w:spacing w:after="0" w:line="15" w:lineRule="exact"/>
        <w:rPr>
          <w:rFonts w:ascii="Times New Roman" w:cs="Times New Roman" w:eastAsia="Times New Roman" w:hAnsi="Times New Roman"/>
          <w:sz w:val="36"/>
          <w:szCs w:val="36"/>
          <w:color w:val="auto"/>
          <w:vertAlign w:val="superscript"/>
        </w:rPr>
      </w:pPr>
    </w:p>
    <w:p>
      <w:pPr>
        <w:ind w:left="560" w:hanging="448"/>
        <w:spacing w:after="0"/>
        <w:tabs>
          <w:tab w:leader="none" w:pos="5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1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54" w:right="1440" w:bottom="1440" w:gutter="0" w:footer="0" w:header="0"/>
        </w:sectPr>
      </w:pPr>
    </w:p>
    <w:bookmarkStart w:id="67" w:name="page68"/>
    <w:bookmarkEnd w:id="6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Eledon Pharmaceuticals, Inc.</w:t>
      </w:r>
    </w:p>
    <w:p>
      <w:pPr>
        <w:spacing w:after="0" w:line="279" w:lineRule="exact"/>
        <w:rPr>
          <w:sz w:val="20"/>
          <w:szCs w:val="20"/>
          <w:color w:val="auto"/>
        </w:rPr>
      </w:pPr>
    </w:p>
    <w:p>
      <w:pPr>
        <w:ind w:left="20"/>
        <w:spacing w:after="0"/>
        <w:tabs>
          <w:tab w:leader="none" w:pos="6760" w:val="left"/>
          <w:tab w:leader="none" w:pos="73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David-Alexandre C. Gros,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David-Alexandre C. Gros, M.D.</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and Director (Principal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34" w:lineRule="exact"/>
        <w:rPr>
          <w:sz w:val="20"/>
          <w:szCs w:val="20"/>
          <w:color w:val="auto"/>
        </w:rPr>
      </w:pPr>
    </w:p>
    <w:p>
      <w:pPr>
        <w:ind w:left="20"/>
        <w:spacing w:after="0"/>
        <w:tabs>
          <w:tab w:leader="none" w:pos="6760" w:val="left"/>
          <w:tab w:leader="none" w:pos="73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tab/>
        <w:t>/s/ Paul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Paul Little</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9" w:right="699" w:bottom="1440" w:gutter="0" w:footer="0" w:header="0"/>
        </w:sectPr>
      </w:pPr>
    </w:p>
    <w:bookmarkStart w:id="68" w:name="page69"/>
    <w:bookmarkEnd w:id="6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David-Alexandre C. Gros, M.D., certify that:</w:t>
      </w:r>
    </w:p>
    <w:p>
      <w:pPr>
        <w:spacing w:after="0" w:line="117" w:lineRule="exact"/>
        <w:rPr>
          <w:sz w:val="20"/>
          <w:szCs w:val="20"/>
          <w:color w:val="auto"/>
        </w:rPr>
      </w:pPr>
    </w:p>
    <w:p>
      <w:pPr>
        <w:ind w:left="700" w:hanging="183"/>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Eledon Pharmaceuticals,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280" w:firstLine="517"/>
        <w:spacing w:after="0" w:line="266" w:lineRule="auto"/>
        <w:tabs>
          <w:tab w:leader="none" w:pos="6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00" w:firstLine="517"/>
        <w:spacing w:after="0" w:line="282" w:lineRule="auto"/>
        <w:tabs>
          <w:tab w:leader="none" w:pos="6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0" w:firstLine="517"/>
        <w:spacing w:after="0" w:line="266" w:lineRule="auto"/>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80" w:firstLine="517"/>
        <w:spacing w:after="0" w:line="282"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0" w:firstLine="517"/>
        <w:spacing w:after="0" w:line="282" w:lineRule="auto"/>
        <w:tabs>
          <w:tab w:leader="none" w:pos="6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David-Alexandre C. Gros,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David-Alexandre C. Gros, M.D.</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69" w:name="page70"/>
    <w:bookmarkEnd w:id="6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Little, certify that:</w:t>
      </w:r>
    </w:p>
    <w:p>
      <w:pPr>
        <w:spacing w:after="0" w:line="117" w:lineRule="exact"/>
        <w:rPr>
          <w:sz w:val="20"/>
          <w:szCs w:val="20"/>
          <w:color w:val="auto"/>
        </w:rPr>
      </w:pPr>
    </w:p>
    <w:p>
      <w:pPr>
        <w:ind w:left="700" w:hanging="18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Eledon Pharmaceuticals,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280" w:firstLine="517"/>
        <w:spacing w:after="0" w:line="266" w:lineRule="auto"/>
        <w:tabs>
          <w:tab w:leader="none" w:pos="6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00" w:firstLine="517"/>
        <w:spacing w:after="0" w:line="282" w:lineRule="auto"/>
        <w:tabs>
          <w:tab w:leader="none" w:pos="6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0" w:firstLine="517"/>
        <w:spacing w:after="0" w:line="266" w:lineRule="auto"/>
        <w:tabs>
          <w:tab w:leader="none" w:pos="7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80" w:firstLine="517"/>
        <w:spacing w:after="0" w:line="282"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0" w:firstLine="517"/>
        <w:spacing w:after="0" w:line="282" w:lineRule="auto"/>
        <w:tabs>
          <w:tab w:leader="none" w:pos="6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640" w:val="left"/>
          <w:tab w:leader="none" w:pos="72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Paul Little</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1064895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Eledon Pharmaceuticals, Inc. (the “Company”) for the period ended September 30, 2024 as filed with the Securities and Exchange Commission on the date hereof (the “Report”), the undersigned, David-Alexandre C. Gros, M.D., Chief Executive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780" w:hanging="26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820" w:val="left"/>
          <w:tab w:leader="none" w:pos="73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David-Alexandre C. Gros,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26035</wp:posOffset>
            </wp:positionV>
            <wp:extent cx="24688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David-Alexandre C. Gros, M.D.</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Eledon Pharmaceuticals, Inc. (the “Company”) for the period ended September 30, 2024 as filed with the Securities and Exchange Commission on the date hereof (the “Report”), the undersigned, Paul Little, Chief Financial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780" w:hanging="26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640" w:val="left"/>
          <w:tab w:leader="none" w:pos="72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26035</wp:posOffset>
            </wp:positionV>
            <wp:extent cx="25285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Paul Little</w:t>
      </w:r>
    </w:p>
    <w:p>
      <w:pPr>
        <w:spacing w:after="0" w:line="3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2"/>
      <w:numFmt w:val="decimal"/>
      <w:start w:val="104"/>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294" Type="http://schemas.openxmlformats.org/officeDocument/2006/relationships/hyperlink" Target="https://www.sec.gov/Archives/edgar/data/1404281/000119312520246314/d26397dex21.htm" TargetMode="External"/><Relationship Id="rId295" Type="http://schemas.openxmlformats.org/officeDocument/2006/relationships/hyperlink" Target="https://www.sec.gov/Archives/edgar/data/1404281/000119312514354857/d793658dex31.htm" TargetMode="External"/><Relationship Id="rId296" Type="http://schemas.openxmlformats.org/officeDocument/2006/relationships/hyperlink" Target="https://www.sec.gov/Archives/edgar/data/1404281/000119312517170677/d393884dex31.htm" TargetMode="External"/><Relationship Id="rId297" Type="http://schemas.openxmlformats.org/officeDocument/2006/relationships/hyperlink" Target="https://www.sec.gov/Archives/edgar/data/1404281/000119312517170677/d393884dex32.htm" TargetMode="External"/><Relationship Id="rId298" Type="http://schemas.openxmlformats.org/officeDocument/2006/relationships/hyperlink" Target="https://www.sec.gov/Archives/edgar/data/1404281/000119312520264806/d18987dex31.htm" TargetMode="External"/><Relationship Id="rId299" Type="http://schemas.openxmlformats.org/officeDocument/2006/relationships/hyperlink" Target="https://www.sec.gov/Archives/edgar/data/1404281/000110465921000921/tm211620d1_ex3-1.htm" TargetMode="External"/><Relationship Id="rId300" Type="http://schemas.openxmlformats.org/officeDocument/2006/relationships/hyperlink" Target="https://www.sec.gov/Archives/edgar/data/1404281/000119312520041903/d888744dex31.htm" TargetMode="External"/><Relationship Id="rId301" Type="http://schemas.openxmlformats.org/officeDocument/2006/relationships/hyperlink" Target="https://www.sec.gov/Archives/edgar/data/1404281/000119312520246314/d26397dex31.htm" TargetMode="External"/><Relationship Id="rId302" Type="http://schemas.openxmlformats.org/officeDocument/2006/relationships/hyperlink" Target="https://www.sec.gov/Archives/edgar/data/1404281/000110465921000921/tm211620d1_ex3-2.htm" TargetMode="External"/><Relationship Id="rId303" Type="http://schemas.openxmlformats.org/officeDocument/2006/relationships/hyperlink" Target="https://www.sec.gov/Archives/edgar/data/1404281/000095017024053934/eldn-ex4_1.htm" TargetMode="External"/><Relationship Id="rId304" Type="http://schemas.openxmlformats.org/officeDocument/2006/relationships/hyperlink" Target="https://www.sec.gov/Archives/edgar/data/1404281/000095017024108465/eldn-20240920.xsd" TargetMode="External"/><Relationship Id="rId305" Type="http://schemas.openxmlformats.org/officeDocument/2006/relationships/hyperlink" Target="https://www.sec.gov/Archives/edgar/data/1404281/000095017024082730/eld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2024-11-12T16:39:02Z</dcterms:created>
  <dcterms:modified xsi:type="dcterms:W3CDTF">2024-11-12T16:39:02Z</dcterms:modified>
</cp:coreProperties>
</file>