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eldn-20251231.htm"/>
        <w:bookmarkStart w:id="1" w:name="kseldn20251231"/>
        <w:bookmarkEnd w:id="0"/>
        <w:bookmarkEnd w:id="1"/>
        <w:r>
          <w:rPr>
            <w:rStyle w:val="InternetLink"/>
            <w:rFonts w:ascii="Times New Roman" w:hAnsi="Times New Roman"/>
            <w:b/>
            <w:color w:val="000000"/>
            <w:sz w:val="20"/>
            <w:u w:val="single"/>
          </w:rPr>
          <w:t>Table of Contents</w:t>
        </w:r>
      </w:hyperlink>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
        </w:rPr>
        <w:t>on</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2"/>
        </w:rPr>
        <w:t>ANNUAL REPORT PURSUANT TO SECTION 13 OR 15(d) OF THE SECURITIES EXCHANGE ACT OF 1934</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4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001-36620</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46"/>
        </w:rPr>
      </w:pPr>
      <w:r>
        <w:rPr>
          <w:rFonts w:ascii="Times New Roman" w:hAnsi="Times New Roman"/>
          <w:b/>
          <w:color w:val="000000"/>
          <w:sz w:val="46"/>
        </w:rPr>
        <w:t>ELEDON PHARMACEUTICALS,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20-1000967</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left"/>
        <w:rPr/>
      </w:pPr>
      <w:r>
        <w:rPr/>
        <w:t> </w:t>
      </w:r>
    </w:p>
    <w:tbl>
      <w:tblPr>
        <w:tblW w:w="3887" w:type="dxa"/>
        <w:jc w:val="left"/>
        <w:tblInd w:w="0" w:type="dxa"/>
        <w:tblLayout w:type="fixed"/>
        <w:tblCellMar>
          <w:top w:w="28" w:type="dxa"/>
          <w:left w:w="28" w:type="dxa"/>
          <w:bottom w:w="28" w:type="dxa"/>
          <w:right w:w="28" w:type="dxa"/>
        </w:tblCellMar>
      </w:tblPr>
      <w:tblGrid>
        <w:gridCol w:w="3136"/>
        <w:gridCol w:w="751"/>
      </w:tblGrid>
      <w:tr>
        <w:trPr/>
        <w:tc>
          <w:tcPr>
            <w:tcW w:w="3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19800 MacArthur Boulevard, Suite 250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Irvine, California</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92612</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(949) 238-8090</w:t>
      </w:r>
    </w:p>
    <w:p>
      <w:pPr>
        <w:pStyle w:val="TextBody"/>
        <w:bidi w:val="0"/>
        <w:jc w:val="center"/>
        <w:rPr>
          <w:rFonts w:ascii="Times New Roman" w:hAnsi="Times New Roman"/>
          <w:b/>
          <w:color w:val="000000"/>
          <w:sz w:val="17"/>
        </w:rPr>
      </w:pPr>
      <w:r>
        <w:rPr>
          <w:rFonts w:ascii="Times New Roman" w:hAnsi="Times New Roman"/>
          <w:b/>
          <w:color w:val="000000"/>
          <w:sz w:val="17"/>
        </w:rPr>
        <w:t>(Registrant’s telephone number, including area code)</w:t>
      </w:r>
    </w:p>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551"/>
        <w:gridCol w:w="146"/>
        <w:gridCol w:w="1456"/>
        <w:gridCol w:w="146"/>
        <w:gridCol w:w="306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ELDN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7"/>
              </w:rPr>
              <w:t>Nasdaq</w:t>
            </w:r>
            <w:r>
              <w:rPr>
                <w:rFonts w:ascii="Times New Roman" w:hAnsi="Times New Roman"/>
                <w:color w:val="000000"/>
                <w:sz w:val="20"/>
              </w:rPr>
              <w:t> </w:t>
            </w:r>
            <w:r>
              <w:rPr>
                <w:rFonts w:ascii="Times New Roman" w:hAnsi="Times New Roman"/>
                <w:b/>
                <w:color w:val="000000"/>
                <w:sz w:val="17"/>
              </w:rPr>
              <w:t>Capital Market</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12(g) of the Act:</w:t>
      </w:r>
    </w:p>
    <w:p>
      <w:pPr>
        <w:pStyle w:val="TextBody"/>
        <w:bidi w:val="0"/>
        <w:jc w:val="center"/>
        <w:rPr>
          <w:rFonts w:ascii="Times New Roman" w:hAnsi="Times New Roman"/>
          <w:b/>
          <w:color w:val="000000"/>
          <w:sz w:val="20"/>
        </w:rPr>
      </w:pPr>
      <w:r>
        <w:rPr>
          <w:rFonts w:ascii="Times New Roman" w:hAnsi="Times New Roman"/>
          <w:b/>
          <w:color w:val="000000"/>
          <w:sz w:val="20"/>
        </w:rPr>
        <w:t>None.</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of the effectiveness of its internal control over financial reporting under Section 404(b) of Sarbanes-Oxley Act (15 U.S.C. 7262(b)) by registered public accounting firm that prepared or issued its audit report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As of June 30, 2025, the last business day of the registrant’s most recently completed second fiscal quarter, the aggregate market value of the registrant’s common stock held by non-affiliates was $145,168,781, based on the last reported sale price of such stock on the Nasdaq Global Market as of such date.</w:t>
      </w:r>
    </w:p>
    <w:p>
      <w:pPr>
        <w:pStyle w:val="TextBody"/>
        <w:bidi w:val="0"/>
        <w:spacing w:before="40" w:after="283"/>
        <w:jc w:val="left"/>
        <w:rPr>
          <w:rFonts w:ascii="Times New Roman" w:hAnsi="Times New Roman"/>
          <w:sz w:val="20"/>
        </w:rPr>
      </w:pPr>
      <w:r>
        <w:rPr>
          <w:rFonts w:ascii="Times New Roman" w:hAnsi="Times New Roman"/>
          <w:color w:val="000000"/>
          <w:sz w:val="16"/>
        </w:rPr>
        <w:t>As of March 13, 2026 the registrant had 75,851,722,</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40" w:after="283"/>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definitive proxy statement for its 2026 Annual Meeting of Stockholders, which the registrant intends to file pursuant to Regulation 14A with the Securities and Exchange Commission not later than 120 days after the registrant’s fiscal year ended December 31, 2025, are incorporated by reference into Items 10, 11, 12, 13 and 14 of Part III of this Annual Report on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02"/>
        <w:gridCol w:w="331"/>
        <w:gridCol w:w="7849"/>
        <w:gridCol w:w="146"/>
        <w:gridCol w:w="977"/>
      </w:tblGrid>
      <w:tr>
        <w:trPr/>
        <w:tc>
          <w:tcPr>
            <w:tcW w:w="90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00"/>
                  <w:sz w:val="20"/>
                </w:rPr>
                <w:t>PART I</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00"/>
                  <w:sz w:val="20"/>
                </w:rPr>
                <w:t>Business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00"/>
                  <w:sz w:val="20"/>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00"/>
                  <w:sz w:val="20"/>
                </w:rPr>
                <w:t>Unresolved Staff Comments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00"/>
                  <w:sz w:val="20"/>
                </w:rPr>
                <w:t>Cybersecurity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00"/>
                  <w:sz w:val="20"/>
                </w:rPr>
                <w:t>Properties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00"/>
                  <w:sz w:val="20"/>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00"/>
                  <w:sz w:val="20"/>
                </w:rPr>
                <w:t>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00"/>
                  <w:sz w:val="20"/>
                </w:rPr>
                <w:t>PART II</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5_market_for_registrants_common_equ">
              <w:r>
                <w:rPr>
                  <w:rStyle w:val="InternetLink"/>
                  <w:rFonts w:ascii="Times New Roman" w:hAnsi="Times New Roman"/>
                  <w:color w:val="000000"/>
                  <w:sz w:val="20"/>
                </w:rPr>
                <w:t>Market for Registrant’s Common Equity, Related Stockholder Matters and Issuer Purchases of Equity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00"/>
                  <w:sz w:val="20"/>
                </w:rPr>
                <w:t>Reserved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7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00"/>
                  <w:sz w:val="20"/>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00"/>
                  <w:sz w:val="20"/>
                </w:rPr>
                <w:t>Financial Statements and Supplementary Data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9_changes_in_disagreements_with_acc">
              <w:r>
                <w:rPr>
                  <w:rStyle w:val="InternetLink"/>
                  <w:rFonts w:ascii="Times New Roman" w:hAnsi="Times New Roman"/>
                  <w:color w:val="000000"/>
                  <w:sz w:val="20"/>
                </w:rPr>
                <w:t>Changes in and Disagreements with Accountants on Accounting and Financial Disclosure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00"/>
                  <w:sz w:val="20"/>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00"/>
                  <w:sz w:val="20"/>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9C.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00"/>
                  <w:sz w:val="20"/>
                </w:rPr>
                <w:t>Disclosure Regarding Foreign Jurisdictions that Prevent Inspection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00"/>
                  <w:sz w:val="20"/>
                </w:rPr>
                <w:t>PART III</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00"/>
                  <w:sz w:val="20"/>
                </w:rPr>
                <w:t>Directors, Executive Officers and Corporate Governance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00"/>
                  <w:sz w:val="20"/>
                </w:rPr>
                <w:t>Executive Compensation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2_beneficial_owner_stockholder">
              <w:r>
                <w:rPr>
                  <w:rStyle w:val="InternetLink"/>
                  <w:rFonts w:ascii="Times New Roman" w:hAnsi="Times New Roman"/>
                  <w:color w:val="000000"/>
                  <w:sz w:val="20"/>
                </w:rPr>
                <w:t>Security Ownership of Certain Beneficial Owners and Management and Related Stockholder Matters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3_related_party_transactions">
              <w:r>
                <w:rPr>
                  <w:rStyle w:val="InternetLink"/>
                  <w:rFonts w:ascii="Times New Roman" w:hAnsi="Times New Roman"/>
                  <w:color w:val="000000"/>
                  <w:sz w:val="20"/>
                </w:rPr>
                <w:t>Certain Relationships and Related Transactions, and Director Independence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00"/>
                  <w:sz w:val="20"/>
                </w:rPr>
                <w:t>Principal Accountant Fees and Services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00"/>
                  <w:sz w:val="20"/>
                </w:rPr>
                <w:t>PART IV</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00"/>
                  <w:sz w:val="20"/>
                </w:rPr>
                <w:t>Exhibits and Financial Statement Schedules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00"/>
                  <w:sz w:val="20"/>
                </w:rPr>
                <w:t>Form 10-K Summary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00"/>
                  <w:sz w:val="20"/>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dex_to_financial_statements">
              <w:r>
                <w:rPr>
                  <w:rStyle w:val="InternetLink"/>
                  <w:rFonts w:ascii="Times New Roman" w:hAnsi="Times New Roman"/>
                  <w:color w:val="000000"/>
                  <w:sz w:val="20"/>
                </w:rPr>
                <w:t>Index to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160"/>
        <w:jc w:val="left"/>
        <w:rPr>
          <w:rFonts w:ascii="Times New Roman" w:hAnsi="Times New Roman"/>
          <w:i/>
          <w:color w:val="000000"/>
          <w:sz w:val="20"/>
        </w:rPr>
      </w:pPr>
      <w:r>
        <w:rPr>
          <w:rFonts w:ascii="Times New Roman" w:hAnsi="Times New Roman"/>
          <w:i/>
          <w:color w:val="000000"/>
          <w:sz w:val="20"/>
        </w:rPr>
        <w:t>In this Annual Report on Form 10-K, Annual Report, unless the context requires otherwise, “Eledon”, the “Company”, “we”, “our”, and “us” means Eledon Pharmaceuticals, Inc. (formerly Novus Therapeutics, Inc.) and all wholly owned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as defined by the Private Securities Litigation Reform Act of 1995, which statements involve substantial risks and uncertainties. Any statements other than statements of historical or current fact in this Annual Report on Form 10-K are forward looking statements. In some instances, you can identify forward-looking statements by the use of words such as “believes,” “anticipates,” “plans,” “expects,” “estimates,” “intends,” “predicts,” “projects,” “targets,” “could,” “may,” “will,” and similar expressions, although not all forward-looking statements include such identifying words. Forward-looking statements include, but are not limited to statements regarding: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development plans, expectations for and the timing of commencement, enrollment, completion, data, and release of results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our liquidity,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with respect to our preclinical and clinical development programs, including our expectations regarding the production of clinical quantities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strategy and timing to obtain and maintain regulatory approvals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competitive conditions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about our future financial performance or condition.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Although we believe that we have a reasonable basis for each forward looking statement contained in this Annual Report on Form 10-K, actual results may differ materially from those indicated by such forward-looking statements as a result of various factors, including the factors listed under “Risk Factor Summary” below. These risks and uncertainties, as well as other risks and uncertainties that could cause the Company’s actual results to differ significantly from the forward-looking statements contained herein, are described in greater detail in Part I, Item 1A. </w:t>
      </w:r>
      <w:r>
        <w:rPr>
          <w:rFonts w:ascii="Times New Roman" w:hAnsi="Times New Roman"/>
          <w:i/>
          <w:color w:val="000000"/>
          <w:sz w:val="20"/>
        </w:rPr>
        <w:t>Risk Factors</w:t>
      </w:r>
      <w:r>
        <w:rPr>
          <w:rFonts w:ascii="Times New Roman" w:hAnsi="Times New Roman"/>
          <w:color w:val="000000"/>
          <w:sz w:val="20"/>
        </w:rPr>
        <w:t xml:space="preserve"> in this Annual Report on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contained in this Annual Report on Form 10-K are based on our current beliefs, assumptions, expectations, estimates and projections, which may be impacted by known or unknown factors. Any forward-looking statements contained in this Annual Report on Form 10-K speak only as of the date hereof and not as of any future date, and the Company expressly disclaims any intent to update any forward-looking statements, whether as a result of new information, future events or otherwise. You are therefore cautioned not to place undue reliance on the forward-looking statements included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data and certain other statistical information used in this Annual Report on Form 10-K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summarizes the principal factors that make an investment in the Company speculative or risky, all of which are more fully described in Part I, Item 1A, </w:t>
      </w:r>
      <w:r>
        <w:rPr>
          <w:rFonts w:ascii="Times New Roman" w:hAnsi="Times New Roman"/>
          <w:i/>
          <w:color w:val="000000"/>
          <w:sz w:val="20"/>
        </w:rPr>
        <w:t>Risk Factors</w:t>
      </w:r>
      <w:r>
        <w:rPr>
          <w:rFonts w:ascii="Times New Roman" w:hAnsi="Times New Roman"/>
          <w:color w:val="000000"/>
          <w:sz w:val="20"/>
        </w:rPr>
        <w:t xml:space="preserve"> in this Annual Report on Form 10-K.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short operating history and shifts in our business strategy may make it difficult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our inception and expect that we will continue to incur losses over the next several years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additional funding to be able to complete the development of our lead drug candidate. If we are unable to raise such capital, or if we are unable to do so on acceptable terms, we will be forced to significantly alter our business strategy, substantially curtail our current operations, or liquidate and cease operations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health crises, including pandemics or epidemics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global economic conditions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conditions in the financial markets, including bank failures, could adversely affect our liquidity and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involves a lengthy and expensive process with an uncertain outcome, including failure to demonstrate safety and efficacy to the satisfaction of the U.S. Food and Drug Administration (“FDA”) or similar regulatory authorities outside the United States. We may incur additional costs or experience delays in completing, or ultimately be unable to complete, the development, formulation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non-clinical studies and early clinical trials of our product candidates may not be predictive of the results of later-stage clinical trials, and there is a risk that additional non-clinical and/or clinical safety studies will be required by the FDA or similar regulatory authorities outside the United States or that subsequent studies will not match results seen in prior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enrollment of patients in clinical trials could delay or prevent our receipt of necessary regulatory approvals and increase expenses for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conduct clinical trials in some jurisdictions outside of the United States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serious adverse events or unacceptable side effects are identified during the development of our product candidates, we may need to abandon or limit our development of some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on our ability to retain executives and key employees and to attract, retain and motivate qualified personnel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Legislation regulating the pharmaceutical and healthcare industries may increase the difficulty and cost for us to obtain marketing approval of and commercialize our product candidates and affect the prices we may obtain.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or those of our third-party collaborators, service providers, contractors or consultants, may fail or suffer security breaches, disruptions, or incidents, which could result in a material disruption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development programs or loss of data and have a material adverse effect on our reputation,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compromise of privacy, security, integrity or confidentiality of sensitive information related to our business or failure to comply with confidentiality and data privacy obligations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any of our product candidates receives marketing approval, we may fail to achieve the degree of market acceptance by physicians, patients, third-party payers and others in the medical community necessary for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current product candidates, or a future product candidate receives marketing approval and we, or others, later discover that the product is less effective than previously believed or causes undesirable side effects that were not previously identified, our ability to market the product could be compromised.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competing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the manufacture of our product candidates for non-clinical and clinical trials, and for eventual commercialization, increases the risk that we will not have sufficient quantities of our product candidates or products at an acceptable cost and quality,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contract research organizations (“CROs”) and other contracted third parties to perform non-clinical and clinical testing and certain other research and development activities. As a result, the outcomes of the activities performed by these organizations will be, to a certain extent,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health crises, including pandemics or epidemics,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could be volatile, and the market price of our common stock may drop unexpectedly.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maintain effective internal controls, we may conclude that our internal control over financial reporting is not effective, which could adversely affect our ability to report our results of operations and financial condition accurately and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corporate charter and under Delaware law could make an acquisition of the Company more difficult and may prevent attempts by our stockholders to replace or remove our current management.</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WEBSITE REFERENCES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Annual Report on Form 10-K, we make references to our website at www.eledon.com. References to our website through this Form 10-K are provided for convenience only and the content on our website does not constitute a part of, and shall not be deemed incorporated by reference into,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Eledon is a clinical stage biotechnology company using our immunology expertise in targeting the CD40 Ligand (“CD40L”) pathway to develop therapies to protect transplanted organs and prevent rejection, and to treat amyotrophic lateral sclerosis (“ALS”). Our lead compound in development is tegoprubart, an IgG1, anti-CD40L antibody with high affinity for the CD40L, a well-validated biological target that we believe has broad therapeutic potential. We believe the central role of CD40L signaling in both adaptive and innate immune cell activation and function positions it as an attractive target for non-lymphocyte depleting, immunomodulatory therapeutic intervention.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Tegoprubart is designed to negate the risk of thrombolytic events seen in the first generation of anti-CD40L antibodies by introducing structural modifications that have been shown in preclinical models to eliminate binding to the Fcγ receptors associated with platelet activation without altering the binding of tegoprubart to CD40L. In non-human primate studies, dosing of tegoprubart up to 200 mg/kg per week for 26 weeks, demonstrated no adverse events regarding coagulation, platelet activation or thromboembolism.</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1: Mechanism overview of CD40L inflammatory signaling and tegoprubart site of action</w:t>
      </w:r>
    </w:p>
    <w:p>
      <w:pPr>
        <w:pStyle w:val="TextBody"/>
        <w:bidi w:val="0"/>
        <w:spacing w:before="240" w:after="283"/>
        <w:jc w:val="center"/>
        <w:rPr/>
      </w:pPr>
      <w:r>
        <w:rPr/>
        <w:drawing>
          <wp:inline distT="0" distB="0" distL="0" distR="0">
            <wp:extent cx="3638550" cy="2838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38550" cy="283845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Figure 1: </w:t>
      </w:r>
      <w:r>
        <w:rPr>
          <w:rFonts w:ascii="Times New Roman" w:hAnsi="Times New Roman"/>
          <w:color w:val="000000"/>
          <w:sz w:val="20"/>
        </w:rPr>
        <w:t>Interaction of CD40 with CD40L on immune cells mediates activation of the co-stimulatory immune pathway, controlling “cross talk” between the adaptive and innate immune systems. Blocking CD40L shifts polarization away from pro-inflammatory signaling to T cell anergy, apoptosis, and polarization to a “T-reg” environment. (Source: Adapted from Kant et al., Principles of Immunosuppression in the Management of Kidney Disease: Core Curriculum 2022, AJKD.)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strategy is to optimize the clinical and commercial value of tegoprubart and become a global biopharmaceutical company with a focused immunology franchise. Our strategy is to develop tegoprubart for the prevention of rejection of allograft (i.e., transplanting an organ from one human to another) and xenograft (i.e., transplanting an organ from an animal to a human) organs and cells, and for the treatment of ALS. We selected our indications based on preclinical and clinical data that was generated with either tegoprubart or historical anti-CD40L molecules. In January 2023, we announced plans to prioritize and focus resources on our kidney transplantation programs, discontinue the Company funded islet cell transplantation program and the IgAN program. We also remain committed to further progressing ALS clinical development and are working with key stakeholders on potential next steps to do so. However, we are unable to continue our clinical development of tegoprubart for people with ALS without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chart summarizes the status of our current clinical development programs. Details for each program are outlined below.</w:t>
      </w:r>
    </w:p>
    <w:p>
      <w:pPr>
        <w:pStyle w:val="TextBody"/>
        <w:bidi w:val="0"/>
        <w:spacing w:before="240" w:after="283"/>
        <w:jc w:val="center"/>
        <w:rPr/>
      </w:pPr>
      <w:r>
        <w:rPr/>
        <w:drawing>
          <wp:inline distT="0" distB="0" distL="0" distR="0">
            <wp:extent cx="6400800" cy="2847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00800" cy="2847975"/>
                    </a:xfrm>
                    <a:prstGeom prst="rect">
                      <a:avLst/>
                    </a:prstGeom>
                  </pic:spPr>
                </pic:pic>
              </a:graphicData>
            </a:graphic>
          </wp:inline>
        </w:drawing>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Acquisition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2020, we acquired Anelixis Therapeutics, Inc. (“Anelixis”), the company that owned and controlled the intellectual property related to tegoprubart. See </w:t>
      </w:r>
      <w:r>
        <w:rPr>
          <w:rFonts w:ascii="Times New Roman" w:hAnsi="Times New Roman"/>
          <w:i/>
          <w:color w:val="000000"/>
          <w:sz w:val="20"/>
        </w:rPr>
        <w:t xml:space="preserve">Note 7. Commitments and Contingencies </w:t>
      </w:r>
      <w:r>
        <w:rPr>
          <w:rFonts w:ascii="Times New Roman" w:hAnsi="Times New Roman"/>
          <w:color w:val="000000"/>
          <w:sz w:val="20"/>
        </w:rPr>
        <w:t>of the Notes to Financial Statements included in this Annual Report on Form 10-K, for further details of grants and licenses related to this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our acquisition of Anelixis, we focused on developing medicines for patients with disorders of the ear, nose, and throat (“ENT”). In June 2020, we announced that our lead program did not achieve statistical significance for the primary efficacy endpoints in the treatment of acute otitis media. As a result of this failure to achieve the primary study endpoint, we suspended the clinical development of our legacy ENT assets while we assessed potential development strategies. Following the June 2020 announcement, we significantly curtailed development expenses as we sought to identify strategic alternatives that would maximize stockholder value. As a result of these activities, we acquired Anelixis and raised additional capital in September 2020, as described above. After acquiring Anelixis, we terminated our ENT activities and returned our product rights to the original license holders in July 2021.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the Prevention of Allograft Rejection in Kidney Transplantation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we announced plans to prioritize and focus resources on our kidney transplantation programs. We are first focusing on kidney transplantation as this is the most common type of solid organ transplantation in the U.S. with an estimated 270,000 Americans living with a transplanted kidney. There are an estimated 27,000 kidneys transplanted annually in the U.S. Approximately 90,000 people in the U.S. are on a waiting list where they typically wait an average 3-5 years for a kidney transplant while about 5,000 people in the U.S. in need of a kidney transplant die each year waiting for a suitable kidney. Approximately 11% of U.S. people on the waiting list are waiting for a repeat transplant. There remains a critical shortage of kidneys and other organs available for transplantation.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little innovation in immunosuppression therapy for organ transplant patients over the past 30 years. The standard of care immunosuppressive drugs used post-transplant have been shown to reduce the risk of organ rejection, but they are also associated with potentially toxic side effects. Organ transplant recipients require immunosuppression on a lifelong basis, and any disruption in the immunosuppression therapy can trigger transplant rejection. Calcineurin inhibitors (“CNI”s) are a critical component of most immunosuppressive regimens to prevent acute and long-term kidney transplant rejection. However, chronic exposure to CNIs (tacrolimus is the drug most commonly used) is associated with nephrotoxicity, hypertension, new onset diabetes due to pancreatic beta cell toxicity, as well as central nervous system (“CNS”) side effects, like tremor. Over time, these CNI side effects may significantly damage the transplanted kidneys or result in a requirement for reduced exposures to CNIs which can lead to an increased risk of rejection. Moreover, CNS side effects like tremors may result in patients decreasing their adherence to their medicines. Today, an implanted kidney is expected to fail within 10-15 years on average using currently available immunosuppression options. The fact that American transplant patients are on average in their 50s means that many of them will ultimately need a second or even third transplant procedure during their lifetime or a return to dialysis.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central role of CD40L signaling in generating pro-inflammatory responses makes it a highly attractive candidate for therapeutic intervention in the protection of transplanted organs and prevention of transplant rejection. Results from prior studies demonstrate that targeting and blocking CD40L has the potential for better efficacy and improved safety, including reduced risk of nephrotoxicity, diabetes, hypertension, and other side effects associated with standard-of-care CNIs such as tacrolimus.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seeks to address challenges associated with current immunosuppressive transplantation regimens using CNI-based therapies. The ability to prevent acute and chronic transplant rejection without the need for CNIs has the potential to transform the clinical management of preventing graft rejection by mitigating the adverse events associated with CNIs and improving long-term graft survival, thus potentially decreasing the need for repeat kidney transplants and increasing organ availability for other patients on the wait list. By identifying and advancing novel strategies in immunosuppression including targeting the CD40L pathway, we may be able to help organs remain functional for longer and potentially throughout the natural lifespan of each recipient.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aggregated data from the published studies referenced in Figure 1 below, non-human primates undergoing allograft renal transplantation receiving anti-CD40L monotherapy (e.g., 5c8, AI794, IDEC-131) had longer average survival than both those receiving anti-CD40 monotherapy (e.g., 4D11, cH5D12, Chi220, ASKP1240), tacrolimus monotherapy or untreated controls (Figure 2).</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2: Inhibition of CD40L improved survival vs. CD40 inhibition in non-human primate kidney transplantation monotherapy studies</w:t>
      </w:r>
    </w:p>
    <w:p>
      <w:pPr>
        <w:pStyle w:val="TextBody"/>
        <w:bidi w:val="0"/>
        <w:spacing w:before="120" w:after="283"/>
        <w:jc w:val="left"/>
        <w:rPr/>
      </w:pPr>
      <w:r>
        <w:rPr/>
        <w:t> </w:t>
      </w:r>
    </w:p>
    <w:p>
      <w:pPr>
        <w:pStyle w:val="TextBody"/>
        <w:bidi w:val="0"/>
        <w:spacing w:before="120" w:after="283"/>
        <w:jc w:val="center"/>
        <w:rPr/>
      </w:pPr>
      <w:r>
        <w:rPr/>
        <w:drawing>
          <wp:inline distT="0" distB="0" distL="0" distR="0">
            <wp:extent cx="6400800" cy="3105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00800" cy="310515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Figure 2: </w:t>
      </w:r>
      <w:r>
        <w:rPr>
          <w:rFonts w:ascii="Times New Roman" w:hAnsi="Times New Roman"/>
          <w:color w:val="000000"/>
          <w:sz w:val="20"/>
        </w:rPr>
        <w:t xml:space="preserve">Kaplan-Meir estimates of the probability of rejection free survival by treatment group from eleven published studies of allograft kidney transplant in non-human primates. Sources: Perrin, 2022; Song, 2014; Song, 2016; Duan, 2017. Note: In aggregated data from published studies, NHPs receiving anti-CD40L (e.g., 5c8, AI794, IDEC-131) immunomodulation monotherapy post kidney transplantation had longer average survival than those receiving anti-CD40 monotherapy (e.g., 4D11, cH5D12, Chi220, ASKP1240), tacrolimus monotherapy or untreated controls. Tac = tacrolimus. Meta-analysis is not based on head-to-head studies. Differences between any individual programs may vary.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regulatory approvals in the United States, Canada, the United Kingdom and Australia, for a Phase 1b clinical trial of tegoprubart in up to 36 subjects, replacing tacrolimus as an immunosuppressive regimen component in patients undergoing de novo kidney transplantation. Each participant will receive rabbit antithymocyte globulin induction and a maintenance regimen consisting of tegoprubart, mycophenolate mofetil, and corticosteroids. The primary endpoint of the study is safety. Other endpoints include glomerular filtration rate (“eGFR”), characterizing the pharmacokinetic profile of tegoprubart, and the incidence of biopsy proven rejection. The first subject in the Phase 1b study was dosed in July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Better graft function as assessed by eGFR has been associated with improved long-term patient and graft survival and is an early predictor of future graft failure. Historical studies have reported average eGFRs generally in the low 50 mL/min/1.73m2 range during the first year after kidney transplant using current standard of care immunosuppression. An eGFR of 50 mL/min/1.73m2 or below indicates chronic kidney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reported interim safety and efficacy results from the Phase 1b clinical trial in March 2023, and provided updated data in November 2023, June 2024 and August 2025.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At the time of the August 2025 update, which reported data as of July 2025, 32 patients undergoing kidney transplantation have been enrolled in the Phase 1b study. Updated data showed that kidney function, as assessed by eGFR, stabilized after the first month post-transplant and remained in the range of approximately 68 mL/min/1.73 m2 through 12 months for patients (n = 12) who remained on tegoprubart. Kidney function in the intention-to-treat population (n=15) was approximately 63 mL/min/1.73 m2 at 12 months. Data from historical studies using the standard of care, calcineurin inhibitor-based immunosuppression therapy, typically report aggregate mean eGFR of approximately 53 mL/min/1.73 m2 during the first year after kidney transplant. In addition, preliminary abbreviated iBox data was presented suggesting that tegoprubart may improve 5-year graft survival. Abbreviated iBox, a composite biomarker panel developed by the Paris Transplant Group, incorporates kidney function (eGFR, proteinuria) and immunologic response (donor-specific antibodies) parameters into a single prognostic score. Based on data collected as of July 2025, abbreviated iBox scores were -3.75 in the intention-to-treat population and -4.11 in the on-treatment population, which compare favorably to a -2.98 historical mean for calcineurin inhibitors. A difference in abbreviated iBox score of -0.40 at 12 months is considered predictive of a 4-5% difference in 5-year graft survival suggesting that tegoprubart may have a predicted 5-year allograft survival rate of over 96%. As of July 2025, there were six (18.8%) rejection episodes, and 75% of patients who experienced a rejection had received low-dose rabbit antithymocyte globulin induction. All rejection episodes were successfully treated. Of the patients who experienced a rejection episode and completed a year in the study, three who remained on tegoprubart had a mean eGFR of approximately 73 mL/min/1.73 m2 at 12 months, indicating full recovery of kidney function, while the two patients who switched to standard of care tacrolimus had a mean eGFR of approximately 34 mL/min/1.73 m² at 12 months.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 July 2022, we received Investigational New Drug (“IND”) application clearance from the FDA for our controlled, Phase 2 BESTOW trial of tegoprubart for the prevention of transplant rejection in persons receiving a kidney transplant. The BESTOW study is a multi-center, two-arm, active comparator, head-to-head superiority clinical study, with approximately 120 participants undergoing kidney transplantation in the U.S. and other countries to evaluate the safety, pharmacokinetics, and efficacy of tegoprubart compared to the calcineurin inhibitor tacrolimus. The study’s primary objective is to assess graft function as measured by estimated eGFR at 12 months post-transplant in participants treated with tegoprubart compared to tacrolimus. Secondary objectives are the assessment of graft survival, biopsy-proven acute rejection, and the incidence of new onset diabetes mellitus after transplant. The BESTOW study is running in parallel to the ongoing Phase 1b clinical trial of tegoprubart in kidney transplantation. The first subject in the BESTOW study was dosed in August 2023 and the last patient was dosed on September 4,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6, 2025, we announced topline efficacy and safety data from the Phase 2 BESTOW trial evaluating tegoprubart for the prevention of kidney transplant rejection. Safety and efficacy results supported the potential for tegoprubart to provide effective immunosuppression with a favorable safety and tolerability profile compared to tacrolimus. Safety findings underscore tegoprubart’s potential to maintain effective immunosuppression while minimizing the metabolic, neurologic, and cardiovascular toxicities characteristic of tacrolimus-based therapy. Notably, new-onset diabetes developed in approximately 17% of patients receiving tacrolimus versus 2% receiving tegoprubart. Tremor was markedly higher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tacrolimus group (25.0% vs. 1.6%) and cardiovascular effects, including hypertension (25.0% vs. 15.9%), hypertensive crisis (7.8% vs. 1.6%), and heart failure (4.7% vs. 0%) all favored tegoprubart. Delayed graft function occurred less often with tegoprubart and required shorter dialysis (14.3% vs. 25%; 4.6 days vs. 6.1 days) suggesting potential reductions of 115 days on dialysis post-transplant per 100 deceased donor kidney recipients on tegoprubart versus tacrolimus. Sepsis or bacteremia occurred more frequently in the tacrolimus arm (17.2% vs. 4.8%) and viral infection rates (CMV, BK, EBV, fungal) were similar across groups, with no cases of Post-Transplant Lymphoproliferative Disorder or Progressive Multifocal Leukoencephalopathy. Additionally, overall rates of serious adverse events were comparable between treatment arms. From an efficacy standpoint, tegoprubart achieved an eGFR of approximately 69 mL/min/1.73 m² (n=51) at 12 months compared to 66 mL/min/1.73 m² for tacrolimus (n=56). Although the primary endpoint did not reach statistical significance, tegoprubart maintained strong renal function, delivering what the Company believes is one of the highest mean eGFR level reported to date in kidney transplant clinical trials evaluating rejection prevention. Subgroup analyses showed higher eGFRs in nearly all tegoprubart subgroups compared to tacrolimus, particularly among living-related donor recipients (72 mL/min/1.73 m² vs. 62 mL/min/1.73 m²) and high Kidney Donor Profile Index (KDPI &gt; 35) transplants (62 mL/min/1.73 m² vs. 53 mL/min/1.73 m²). In the deceased donor subgroup, tegoprubart achieved a mean eGFR of approximately 68 mL/min/1.73 m² at 12 months compared to 68 mL/min/1.73 m² for tacrolimus. The efficacy failure composite endpoint, comprising death, graft loss and biopsy proven acute rejection, is the approval endpoint historically recognized by the FDA. Efficacy failure composite endpoint was 22% in the tegoprubart group versus 17% in the tacrolimus group, demonstrating non-inferiority for tegoprubart versus tacrolimus, using a 20% non-inferiority margin. We believe these results, if replicated in a Phase 3 study, would be sufficient to support tegoprubart’s approvability. The rate of acute rejection in all biopsies was 20.6% for tegoprubart group compared with 14.1% in the tacrolimus group. Among patients in the tegoprubart group who experienced acute rejection and remained on treatment through month 12, mean eGFR was 73 mL/min/1.73 m² compared to 50 mL/min/1.73 m² in those who switched to tacrolimus. Additionally, there was one case of donor-specific antibodies in the tegoprubart arm versus two in the tacrolimus 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we enrolled the first participant in a Phase 2 open-label extension study which is designed to evaluate the long-term safety, pharmacokinetics, and efficacy of tegoprubart in participants who have completed one year of treatment in either the ongoing Phase 1b study or the Phase 2 BESTOW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we presented 24-month follow-up data from eight patients enrolled in the Phase 1b trial long-term extension evaluating tegoprubart in kidney transplantation at the American Society of Transplant Surgeons Winter Symposium held in Scottsdale, Arizona. During the reported follow-up period, no episodes of biopsy-proven acute rejection, graft loss, death, new-onset diabetes mellitus, or de novo donor-specific antibody formation were observed among participating patients. Mean eGFR increased over the measurement period from 67.0 mL/min/1.73 m² at 12 months to 74.2 mL/min/1.73 m² at 24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2026, we plan to seek guidance from the FDA regarding the design of a potential Phase 3 clinical trial evaluating tegoprubart in kidney transplantation and, subject to regulatory feedback and alignment, may initiate a Phase 3 trial.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the Prevention of Allograft Rejection in Xenotransplantation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inhibition of CD40L has shown it may play an important role in immunosuppression in allograft kidney transplantation, this mechanism of action has also demonstrated that it may be a promising option in xenotransplantation (i.e., transplanting an organ from an animal to a human).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we entered into a non-exclusive collaborative research agreement with eGenesis, Inc., (“eGenesis”), under which eGenesis gained access to tegoprubart for preclinical and clinical xenotransplantation studies in support of eGenesis’ kidney, heart and islet cell xenotransplantation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tegoprubart has been used as a key component of the immunosuppression regimen in four xenotransplantation procedures: three involving genetically modified pig kidneys and one involving a genetically modified pig heart. Two of the kidney transplant recipients remain alive. One continues to maintain kidney function with the transplanted pig kidney, while the other had the graft removed on day 271 and has since received an allograft kidney from a donor.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the Prevention of Allograft Rejection in Islet Cell Transplantation (“ICT”)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Type 1 diabetes (“T1D”) is a T cell mediated autoimmune disease with progressive loss of insulin producing pancreatic beta cells and affects approximately 2 million persons in the United States. Approximately 33% of people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T1D report impaired awareness of hypoglycemia regardless of continuous glucose monitoring or automated insulin usage. Approximately 12% of people with T1D experience recurrent severe hypoglycemic events annually, putting them at higher risk for adverse outcomes. Approximately 5% to 8% of adults with T1D experience diabetic ketoacidosis annually, often as a result of poor glycemic control. ICT is gaining attention as a thera</w:t>
      </w:r>
      <w:r>
        <w:rPr>
          <w:rFonts w:ascii="Times New Roman" w:hAnsi="Times New Roman"/>
          <w:color w:val="231F20"/>
          <w:sz w:val="20"/>
        </w:rPr>
        <w:t>peutic option for T1D because it can restore physiological insulin secretion, minimize the risk of hypoglycemic unawareness, and reduce the risk of death due to severe hypoglycemia. The advances made in this field over the past decade have improved patient outcomes, and the procedure has been evolving from an experimental treatment to a clinical treatment option</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231F20"/>
          <w:sz w:val="20"/>
        </w:rPr>
        <w:t>A number of issues are believed to continue to hamper the overall success of ICT and to need to be addressed in order for there to be widespread clinical acceptance. These include the acute loss of transplanted islets with current immunosuppressive treatments, particularly those with CNI-based therapies, due to islet cell toxicity and alloreactive immunologic responses to transplanted islets. Over time, the progressive loss of islet cells and decline in islet cell function can lead to the need for multiple transplants in order for T1D patients to have optimal response to blood glucose levels and possibly achieve insulin independence. Tegoprubart seeks to address the challenges associated with current ICT immunosuppressive regimens using CNI-based therapies, by replacing the CNIs with tegoprubart to prevent rejection and protect the transplanted cells. We believe that tegoprubart may unlock the ICT market by potentially improving islet cell graft survival and reduce the side effects associated with standard of care regimens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 studies in nonhuman primate models of ICT have demonstrated that treatment with anti-CD40L antibodies induces long term islet cell function and graft survival, even as a monotherapy. Tegoprubart has shown pre-clinical, proof-of-concept efficacy in a non-human primate model of T1D, where animals undergoing ICT maintained glucose control and sustained levels of C-peptide with chronic tegoprubart treatment for up to a year. Compared to combination immunosuppressive therapy including CNIs, tegoprubart monotherapy was more effective in preventing long term islet cell rejection, associated with better graft function, and showed an improved safety profile.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2022, the FDA granted orphan designation to tegoprubart for the prevention of allograft rejection in pancreatic islet cell transplantation.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2024, we announced that tegoprubart would be evaluated in an investigator-initiated clinical trial conducted at the University of Chicago Medicine’s Transplant Institute. The study is designed to assess the safety of a calcineurin inhibitor-free immunosuppression regimen utilizing tegoprubart in individuals with type 1 diabetes mellitus undergoing islet cell transplantation. We are not funding the trial and our involvement is limited to supplying tegoprubart for use in the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November 2025, preliminary data from the first six subjects enrolled in the study demonstrated improvements in glycemic control following islet transplantation, with all six subjects achieving insulin independence after one or two transplant procedures. The first three participants have remained insulin-free for more than one year following transplantation, while additional subjects achieved insulin independence within several weeks following transplantation and have maintained hemoglobin A1c levels below 6% during follow-up. All treated subjects have remained free of severe hypoglycemic events since transplantation.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has been generally well tolerated to date, with no reported serious infections, thromboembolic events, or biopsy-confirmed rejection events observed during the reported follow-up period, and without evidence of kidney or neurological toxicities commonly associated with calcineurin inhibitor-based immunosuppression. As of November 2025, a total of eight patients had undergone islet transplantation using tegoprubart as the core immunosuppressive agent, and one additional patient with calcineurin inhibitor-associated nephrotoxicity had been transitioned from tacrolimus to tegoprubart.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 is a progressive, paralytic disorder characterized by degeneration of motor neurons in the brain and spinal cord. In the U.S., the incidence is estimated at approximately 5,000 cases per year with a prevalence of approximately 30,000 cases overall. Despite 3 approved drugs, in most cases, death from respiratory failure occurs between 3 to 5 years from diagnosis, with 50% of patients living at least 3 years from diagnosis and only 20% of patients living at least 5 years from diagnosis.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exact pathogenic mechanism of ALS is still not fully understood, there is strong evidence indicating that neuroinflammation plays an important role in the disease’s pathogenesis. Neuroinflammation in ALS is characterized by the infiltration of lymphocytes and macrophages into the central nervous system, and the activation of microglia and reactive astrocytes. Reactive astrocytes and microglia as well as infiltrating lymphocytes, dendritic cells, monocytes, macrophages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immune complexes have been identified in cerebrospinal fluid and neural tissues in both animal models of ALS and at autopsy in ALS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designed to block CD40L binding to CD40, thereby potentially inhibiting neuroinflammatory pathways leading to disease progression in ALS. In vitro proof-of-concept studies have shown that tegoprubart binds to CD40L in human cells and blocks CD40L binding on antigen presenting cells and activated T cells. The potential for therapeutic benefit of CD40L blockage in treating ALS has been demonstrated in a SOD1 mouse model of ALS, where a murine anti-CD40L antibody, MR1 (as defined below), prolonged survival and delayed the onset of neurological disease progression. These pathophysiological manifestations are believed to be due to reduced immune cell infiltration of macrophages into skeletal muscle and their destroying denervated nerves. The plasticity of the nervous system to repair itself in the absence of this immune cell attack is believed to result in improved neuromuscular junction occupancy and improved muscle function. Blocking CD40L signaling also prevents pro-inflammatory polarization of lymphocytes, reduced neuroinflammation and improved motor neuron survival in rodent ALS models (Figure 3).</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Figure 3: Blocking CD40L Improves Survival and Pathophysiology Associated with ALS</w:t>
      </w:r>
    </w:p>
    <w:p>
      <w:pPr>
        <w:pStyle w:val="TextBody"/>
        <w:bidi w:val="0"/>
        <w:jc w:val="center"/>
        <w:rPr/>
      </w:pPr>
      <w:r>
        <w:rPr/>
        <w:drawing>
          <wp:inline distT="0" distB="0" distL="0" distR="0">
            <wp:extent cx="6257925" cy="2447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57925" cy="244792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b/>
          <w:color w:val="000000"/>
          <w:sz w:val="20"/>
        </w:rPr>
        <w:t>Figure 3: Anti-CD40L (“MR1”) treatment decreases CD68+ macrophages, improves neuromuscular junction occupancy and improves motor neuron survival.</w:t>
      </w:r>
      <w:r>
        <w:rPr>
          <w:rFonts w:ascii="Times New Roman" w:hAnsi="Times New Roman"/>
          <w:color w:val="000000"/>
          <w:sz w:val="20"/>
        </w:rPr>
        <w:t xml:space="preserve"> (A) Quantification of reduction of CD68+ macrophages by anti-CD40L treatment at day 100. (White bar, control IgG); gray bar (anti-CD40L–treatment); black bar (untreated age-matched non-transgenic mice) (B) Quantification of neuromuscular occupancy in SOD1 mice prior to overt symptoms (day 70) versus after symptom onset (day 85) treated with an IgG control antibody (vehicle) or anti-CD40L antibody. (C) Quantitative comparison of lumbar spinal cord motor neuron counts per mm2 in IgG vehicle control (White bar) versus anti-CD40L treated mice (grey bar) at day 100 (Lincecum, 2010).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the FDA granted orphan drug designation to tegoprubart for ALS. In 2019, we completed a single ascending dose Phase 1 study of tegoprubart in healthy volunteers and people with ALS. In this study, the doses of tegoprubart studied were well tolerated in healthy adult subjects and adults with ALS. Tegoprubart demonstrated low anti-drug antibody responses that were not dose related, linear dose proportionality across the dose ranges, and a half-life of up to 26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2020, we initiated a Phase 2a, open-label, multi-center study to evaluate the safety and tolerability of multiple doses of tegoprubart in adult subjects with ALS. Fifty-four subjects with ALS were enrolled into the study in the United States and Canada at 13 ALS treatment sites. Ascending doses of tegoprubart were administered as IV infusions to four sequentially enrolling cohorts. The first two cohorts consisted of nine participants, and the last two cohorts of 18 participants each. All enrolled subjects received six infusions of tegoprubart over a 12-week period. Blood samples for target engagement, and exploratory biomarkers for inflammation and neurodegeneration were taken and analyzed. Participant-focused clinical outcomes were also assessed. In May 2022, we completed the Phase 2a study and released positive topline results. Tegoprubart successfully met the primary endpoints of safety and tolerability. Fifty of the fifty-four subjects completed all six study infusions, and adverse events were typical of an ALS patient population. Tegoprubart was well-tolerated, and no drug-related serious adverse events were observed. No new safety signals emerged. Anti-drug antibodies (“ADAs”) were present in less than 5 percent of samples. All ADAs were of low titer and did not impact tegoprubart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levels. Tegoprubart target engagement was demonstrated in all dose cohorts with increasing target engagement in a dose-dependent manner, plateauing at the 4 and 8 mg / kg dosing levels using CD40L and CXCL13 biomarkers related to T cell and B cell function, respectively. Tegoprubart exposure decreased inflammatory biomarker levels, in a dose dependent manner, in 20 of 32 pro-inflammatory proteins. Pro-inflammatory biomarkers reduced included biomarkers also associated with IgA nephropathy and kidney transplant rejection, such as IgA, IgE, IgM, C3, CXCL9, and CXCL10.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seeking to further progress ALS clinical development and plan to work with key stakeholders on potential next steps to do so. However, we will be unable to continue our clinical development of tegoprubart for people with ALS without additional financing specific for our ALS program, and we can provide no assurances that we will be able to obtain financing on acceptable terms or at all.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Clinical Development of Tegoprubart for IgA Nephropathy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announced the deprioritization of its IgAN program and all IgAN clinical development activities were discontinued in 2023. IgAN is the leading cause of chronic glomerulonephritis, a state of inflammation producing damage to the filtering part of the kidney. Disease manifestation and clinical presentation involves renal dysfunction characterized by proteinuria with a slow relentless course. Approximately 30%-40% of persons living with IgAN ultimately reach end stage renal disease (“ESRD”). The standard of care for ESRD is dialysis or kidney transplant, which represents a significant economic burden as well as a major impact on a patient’s quality of life. With an estimated prevalence of approximately 150,000 persons in the United States, IgAN is one of the most common autoimmune glomerulonephropathies. In the United States, oral budesonide Tarpeyo was approved for use in IgAN by the FDA in December 2021 and Kinpeygo received conditional approval by the European Medicines Agency (“EMA”) in July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we received IND clearance from the FDA to evaluate tegoprubart for the treatment of IgAN. The Phase 2 global study was a 96-week open-label, dose ranging trial, and included both a high dose and a low dose cohort. The primary endpoint was change in urinary protein:creatinine ratio at week twenty-four. Secondary endpoints included change in estimated eGFR at week 96 as well as safety and tolerability. The first subject was dosed in May 2022. We reported interim safety data from the Phase 2 high dose cohort in March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Eledon’s success depends in part on our ability to obtain and maintain proprietary protection for our product candidates, novel discoveries, product technologies and other know-how, to operate without infringing on the proprietary rights of others and to prevent others from infringing our proprietary rights. We seek to protect our product candidates by, among other methods, filing U.S. and foreign patent applications related to our proprietary technology, inventions and improvements that are important to the development and implementation of our business. We also rely on trademarks, trade secrets, know-how, continuing technological innovation and potential in-licensing opportunities to develop and maintain proprietary protection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intellectual property portfolio includes issued patents and pending patent applications directed toward (i) isolated antibodies and (ii) methods of treatment using the isolated antibodies that block the interaction of CD40L and CD40 to treat CD40L-related diseases or disorders. We own and have exclusive rights to ten active patent families, of which three families are exclusively licensed and the rest are wholly-owned by Eledon. The first exclusively-licensed family is directed to methods for treating ALS with antibodies and includes two issued United States patents and 14 issued foreign patents (Japan, Hong Kong, Belgium, Germany, Denmark, Spain, Finland, France, Great Britain, Ireland, Italy, the Netherlands, Sweden, and Switzerland). Absent any patent term adjustments or extensions, patents in this family expire in December 2029. The second exclusively-licensed family is directed to tegoprubart, with 11 pending applications, and issued patents including five issued United States patents and 23 issued foreign patents (Australia, Belgium, Switzerland, China, Germany, Denmark, France, Great Britain, Hong Kong, Ireland, Israel, India, Italy, Japan, South Korea, Mexico, the Netherlands, New Zealand, Russia, Sweden, Singapore). Absent any term adjustments or extensions, patents in this family expire in February 2036. The third exclusively-licensed family is directed to therapeutic anti-CD40L antibodies, with 14 pending applications, including one pending United States patent application, and issued patents, including one issued United States patent and nine issued foreign patents (China, Hong Kong, Israel, Japan, South Korea, Mexico, Russia). Absent any term adjustments or extensions, patents in this family expire in May 2038. Our Eledon-owned patent families are directed to methods for treating neurodegenerative disorders, kidney disorders, and transplant rejection. Two of our Eledon-owned patent families are pending in the United States, Europe, Australia, Canada, China, Japan, South Korea, Mexico, and Singapore, three of our Eledon-owned patent families are at the Patent Cooperation Treaty stage, and three of our Eledon-owned patent families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provisional stage. Absent any term adjustments or extensions, any patents to issue from the pending applications in these patent families would expire between May 2043 and November 2046,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Eledon also protects its proprietary information by requiring its employees, consultants, contractors, and other advisors to execute nondisclosure and assignment of invention agreements upon commencement of their respective employment or engagement. In addition, Eledon also requires confidentiality or service agreements from third parties that receive confidential information or materials.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7. Commitments and Contingencies</w:t>
      </w:r>
      <w:r>
        <w:rPr>
          <w:rFonts w:ascii="Times New Roman" w:hAnsi="Times New Roman"/>
          <w:color w:val="000000"/>
          <w:sz w:val="20"/>
        </w:rPr>
        <w:t xml:space="preserve"> of the Notes to Financial Statements included in this Annual Report on Form 10-K under the caption “Grants and Licenses” for further information about the Company’s intellectual property.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The availability of reimbursement from the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 companies against which we may compete have significantly greater financial resources and expertise in research and development, manufacturing, preclinical testing, conducting clinical studies,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competitive conditions faced by the Company are also described in greater detail in Part I, Item 1A. </w:t>
      </w:r>
      <w:r>
        <w:rPr>
          <w:rFonts w:ascii="Times New Roman" w:hAnsi="Times New Roman"/>
          <w:i/>
          <w:color w:val="000000"/>
          <w:sz w:val="20"/>
        </w:rPr>
        <w:t>Risk Factors</w:t>
      </w:r>
      <w:r>
        <w:rPr>
          <w:rFonts w:ascii="Times New Roman" w:hAnsi="Times New Roman"/>
          <w:color w:val="000000"/>
          <w:sz w:val="20"/>
        </w:rPr>
        <w:t xml:space="preserve"> in this Annual Report on Form 10-K under the caption “We face substantial competition, which may result in others discovering, developing or commercializing competing products before or more successfully than we do.”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tegoprubart or any future product candidates, nor do we have plans to develop our own manufacturing operations in the foreseeable future. We currently rely on third parties for raw materials and the manufacturing of drug substance and drug product for non-clinical and clinical activities. As of the date of this Annual Report, we have not experienced any difficulty in obtaining raw materials required with respect to the manufacturing of tegoprubart. We believe we have enough drug substance and drug product on hand and manufacturing capacity with our third-party manufacturing providers to meet forecasted clinical trial demand.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third parties to label, store and distribute drug product for our non-clinical and clinical trials.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Pricing of such products is also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in many countries. The process of obtaining regulatory approvals and the subsequent compliance with appropriate federal, state, local, and foreign statutes and regulations require the expenditure of substantial time and financial resources.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 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regulates drugs under the Federal Food, Drug, and Cosmetic Act (“FDCA”) and its implementing regulations, and biologics under the FDCA and the Public Health Service Act (“PHSA”) and its implementing regulations. FDA approval is required before any new unapproved drug or biologic or dosage form, including a new use of a previously approved drug, can be marketed in the U.S. Drugs and biologics are also subject 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withdrawal of an approval, untitled or warning letters, product recalls, product seizures, total or partial suspension of production or distribution, injunctions, fines, civil penalties or criminal prosecution. Any FDA enforcement action could have a material adverse effect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required by the FDA before product candidates may be marketed in the United States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extensive preclinical laboratory tests and preclinical animal studies, all performed in accordance with the Good Laboratory Practices (“GLP”)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IND which must become effective before human clinical trials may begin and must be updated annually;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(“IRB”) or ethics committee representing each clinical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to establish the safety and efficacy of the product candidate for each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manufacturing scale up and stability studies, all performed in accordance with the Good Manufacturing Practices (“GMP”)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of and submission to the FDA of a biologics license application (“BLA”) or a new drug application, or NDA, after completion of all pivotal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review of the product application by an FDA advisory committee, where appropriate and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within 60 days of its receipt of a BLA or NDA to file the application for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facilities where the proposed product is produced to assess compliance with current Good Manufacturing Practices (“cGMP”)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FDA audit of the clinical trial sites that generated the data in support of the BLA or NDA;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review and approval of a BLA or NDA prior to any commercial marketing or sale of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preclinical and clinical testing and approval process requires substantial time, effort, and financial resources, and we cannot be certain that any approvals for our product candidates will be granted on a timely basis,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IND is a request for authorization from the FDA to administer an investigational new drug product to humans in clinical trials. The central focus of an IND submission is on the general investigational plan and the protocol(s) for human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involve the administration of the investigational new drug to human subjects under the supervision of qualified investigators in accordance with Good Clinical Practices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investigation of a drug is generally divided into three phases. Although the phases are usually conducted sequentially, they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1. The drug is initially introduced into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2. The drug is administered to a limited patient population to evaluate dosage tolerance and optimal dosage, identify possible adverse side effects and safety risks, and preliminarily evaluate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The drug is administered to an expanded patient population, generally at geographically dispersed clinical trial sites to generate enough data to evaluate dosage, clinical effectiveness and safety, to establish the overall benefit-risk relationship of the investigational new drug product, and to provide an adequate basis for physician labeling.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the FDA may condition approval of a BLA or NDA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trial process can take three to ten years or more to complete, and there can be no assurance that the data collected will support FDA approval or licensure of the product. Results from one trial are not necessarily predictive of results from later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drug being studied in clinical trials may be made available to individual patients in certain circumstances. Pursuant to the 21st Century Cures Act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(compassionate use). This requirement applies on the later of 60 calendar days after the date of enactment of the Cures Act or the first initiation of a Phase 2 or Phase 3 trial of the investigational drug. At this time, Eledon does not have a program for the compassionate use of an investigational product outside of a clinical trial as it is not applicable to our investigational products.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Submission of a BLA or NDA to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successful completion of all required testing (e.g., completion of pivotal clinical trials)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and these fees are typically increased on an annual basis. Applications for orphan drug products are exempted from the BLA and NDA user fees and may be exempted from product and establishment user fees, unless the application includes an indication for other than a rare disease or condition. No application user fees were paid for tegoprubart in calendar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BLA or NDA for a new molecular entity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several alternative sources, including investigator-initiated trials that are not sponsored by Eledon. To support marketing approval, the data submitted must be sufficient in quality and quantity to establish the safety and effectiveness of the investigational new drug product to the satisfaction of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BLA or NDA for a new molecular entity has been submitted,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The FDA’s Decision on a BLA or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evaluates a BLA to determine whether the data demonstrate that the biologic is safe, pure, and potent, or effective, and an NDA to determine whether the drug is safe and effective. After the FDA evaluates the BLA or NDA and conducts inspections of manufacturing facilities where the product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or an additional pivotal Phase 3 clinical trial(s), or other significant, expensive and time-consuming requirements related to clinical trials, preclinical studies or manufacturing. Even if such additional information is submitted, the FDA may ultimately decide that the BLA or NDA does not satisfy the criteria for approval and issue a denial. The FDA could also approve the BLA or NDA with a Risk Evaluation and Mitigation Strategy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Pediatric Trials and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of 2003 (“PREA”) as amended, BLAs and NDAs must contain data to assess the safety and effectiveness of an investigational new drug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for an indication for which orphan designation has been granted. In the future we may seek pediatric approval for tegoprubart applications in connection with renal and islet cell transplantations, which may require the submission of a PSP.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or NDA sponsor’s data.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Drug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distribution, or require substantial resources to correct. In addition, discovery of previously unknown problems with a product or the failure to comply with applicable requirements may result in restrictions on a product, manufacturer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holder of an approved BLA or NDA, including withdrawal or recall of the product from the market or other voluntary, FDA-initiated or judicial action that could delay or prohibit further marketing. Also, new government requirements, including those resulting from new legislation, may be established, or the FDA’s policies may change, which could delay or prevent regulatory approval of our products under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untitled or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BLAs or NDAs or supplements to approved BLAs or NDAs, or suspension or revocation of licenses or withdrawal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Orphan Designation and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making the drug for this type of disease or condition will be recovered from sales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Orphan drug designation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The Company received orphan drug designations for tegoprubart for the treatment of ALS and prevention of allograft rejection in pancreatic islet cell transplantation.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Patent Term Restoration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or NDA, plus the time between the submission date and the approval of that application, except that the review period is reduced by any time during which the applicant failed to exercise due diligence.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the patent term for one of our currently owned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licensed patents to add patent life beyond its current expiration date, depending on the expected length of the clinical trials and other factors involved in the filing of the relevant BLA or NDA.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Abbreviated New Drug Applications for Generic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1984, with passage of the Hatch-Waxman Amendments,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generic drug do not show a significant difference from the rate and extent of absorption of the listed drug.”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an “AB” therapeutic equivalence rating to mean that a generic drug is fully substitutable for the RLD. In addition, by operation of certain state laws and numerous health insurance programs, the FDA’s designation of an “AB” rating often results in substitution of the generic drug without the knowledge or consent of either the prescribing physician or patient.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Hatch-Waxman Patent Certification and the 30-Month Stay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 applicant must certify with respect to each patent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required patent information has not been filed;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has expired;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has not expired, but will expire on a particular date and approval is sought after patent expiration;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is invalid, unenforceable or will not be infringed by the new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automatically prevents the FDA from approving the ANDA until the earlier of 30 months after the receipt of the Paragraph IV notice, expiration of the patent, or a decision in the infringement case that is favorable to the ANDA applicant.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Union/Rest of World 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(“EU”)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or not we obtain FDA approval for a product candidate,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obtain regulatory approval of an investigational medicinal product under EU regulatory systems, we must submit a marketing authorization application. The content of the BLA or NDA filed in the United States is like that required in the EU, except, among other things, country-specific document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other countries outside of the EU, such as countries in Eastern Europe, Latin America or Asia, the requirements governing product licensing, pricing, and reimbursement vary from country to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Countries that are part of the EU, as well as countries outside of the European Union, have their own governing bodies, requirements, and processes with respect to the approval of pharmaceutical and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Authorization Procedures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Medicines can be authorized in the EU by using either the centralized authorization procedure or national authorization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Centralized procedure. The EMA implemented the centralized procedure for the approval of human medicines to facilitate marketing authorizations that are valid throughout the European Economic Area (“EEA”).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authorization procedures. There are also two other possible routes to authorize medicinal products in several EU countries, which are available for investigational medicinal products that fall outside the scope of the centralized procedure: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a Pediatric Investigation Plan (“PIP”) or a request for waiver or deferral, is required for submission prior to submitting a marketing authorization application. A PIP describes, among other things, proposed pediatric trials and their timing relative to clinical trials in adults. A PIP will be submitted to EMA and other EU countries, as required. The PIP will need to be submitted early during product development before marketing authorization applications are submitted. The timing of PIP submission cannot be after initiation of pivotal trials or confirmatory (phase 3) trials. In the future we may seek pediatric approval for tegoprubart applications in connection with renal and islet cell transplantations, which may require the submission of a PIP.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Exclusivity of New Chemical Entities and New Fixed Dose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new chemical entities, sometimes referred to as new active substances as well as new fixed dose combinations,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a generic application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Exceptional Circumstances/Conditional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Orphan drugs or drugs with unmet medical needs may be eligible for EU approval under exceptional circumstances or with conditional approval. Approval under exceptional circumstances may be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may be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Accelerated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centralized procedure in the EU,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Pharmaceutical Coverage,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“Affordable Care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healthcare programs. Since its enactment, there have been several judicial, administrative, executive and congressional challenges to certain aspects of the Affordable Care Act. In addition, other legislative changes have been proposed and adopted in the United States since the Affordable Care Act was enacted. For example, the American Rescue Plan Act of 2021 eliminates the statutory Medicaid drug rebate cap, for single source and innovator multiple source drugs, beginning in January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Inflation Reduction Act of 2022, (the “IRA”), includes several provisions that may impact our business to varying degrees, including provisions that reduce the out-of-pocket cap for Medicare Part D beneficiaries to $2,000 beginning in 2025; impose new manufacturer financial liability on certain drugs under Medicare Part D; allow the U.S. government to negotiate Medicare Part B and Part D price caps for certain high-cost drugs without generic competition; require companies to pay rebates to Medicare for certain drug prices that increase faster than inflation; and delay until January 1, 2032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Further, judicial challenges to the IRA may have an impact on the implementation of the IRA’s provisions; and the overall effects of the IRA on our business and the healthcare industry in general is not yet known. Adoption of further government controls, measures and tightening of restrictive policies in jurisdictions with existing controls and measures could limit payments for pharmaceuticals.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European countries,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commercial pressure on pricing within a country.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marketability of any products for which we receive regulatory approval for commercial sale may suffer if the government and third-party payors fail to provide adequate coverage and reimbursement. In addition, the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transparency laws, including the provision of the Affordable Care Act referred to as the federal Physician Payment Sunshine Act, that requires drug and biologics manufacturers to disclose payments and other transfers of value provided to physicians and teaching hospitals and ownership interests of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its implementing regulations, which imposes certain requirements relating to the privacy, security and transmission of individually identifiable health information;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13, 2026, Eledon had 33 employees, all of whom are full-time. None of our employees are represented by labor unions or covered by collective bargaining agreements. We consider our relationship with our employees to be good.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Otic Pharma, Ltd. (“Otic”) was founded in the State of Israel in 2008. In 2015, Otic established U.S. operations and moved its corporate headquarters to Irvine, California. In 2017, Otic consummated a reverse merger with Tokai Pharmaceuticals, Inc. (“Tokai”), a Delaware corporation that was incorporated on March 26, 2004, pursuant to which, among other things, Tokai purchased from Otic and its stockholders all of the common and preferred shares of Otic in exchange for the issuance of a certain number of shares of common stock of Tokai (the “Reverse Merger”). Following the Reverse Merger, Tokai changed its name to Novus Therapeutics, Inc. On September 14, 2020, the Company acquired Anelixis Therapeutics, Inc. (“Anelixis”), a Delaware Corporation, after which Anelixis became a wholly owned subsidiary of the Company. On January 4, 2021, the Company changed its name from Novus Therapeutics, Inc. to Eledon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executive offices are located at 19800 MacArthur Boulevard, Suite 250, Irvine, California 92612. The Company also has a research and development office in Burlington, Massachusetts. Our telephone number is (949) 238-8090 and our website is www.eledon.com.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advised to read this Annual Report on Form 10-K in conjunction with other reports and documents that we file from time to time with the Securities and Exchange Commission (“SEC”). In particular, please read our definitive proxy statement, which will be filed with the SEC in connection with our 2026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Related to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short operating history and shifts in our business strategy may make it difficult to evaluate the success of our business to date and to assess our future viability.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 stage biopharmaceutical company. Our ongoing operations to date have been limited to organizing and staffing the Company, business planning, raising capital, acquiring and developing technology, identifying potential product candidates and pursuing non-clinical and clinical trials. We have not yet demonstrated our ability to successfully manufacture drug products in large enough quantities and with stability to support additional clinical trials, execute pivotal clinical trials, obtain marketing approvals, manufacture a commercial scale product or arrange for a third party to do so on our behalf, or conduct sales and marketing activities necessary for successful product commercialization. It can take many years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an early-stage business, we may encounter unforeseen expenses, difficulties, complications, delays and other known and unknown factors. To successfully market any of our current or future product candidates, we will need to transition from a company with a clinical development focus to a company capable of supporting commercial activities. We may not be successful in such a transition.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operating losses since our inception and expect that we will continue to incur losses over the next several years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annual net operating losses in every year since our inception. We have no products approved for commercial sale and have not generated any revenue from product sales to date, and we continue to incur significant research and development and other general and administrative expenses related to our ongoing operations. If tegoprubart or any future product candidates we develop are not successfully developed and approved, we may never generate any revenue from sales of products. The Company has experienced recurring net losses and negative cash flows from operating activities since its inception. The Company’s net loss for the year ended December 31, 2025 is $45.6 million. As of December 31, 2025, the Company had cash and cash equivalents and short-term investments of $133.3 million, working capital of $117.3 million and an accumulated deficit of $401.2 million. We have not generated any revenues from product sales, have not completed the development of any product candidate and may never have a product candidate approved for commercialization. We expect it will be several years, if ever, before we have a product candidate ready for commercialization. We have financed our operations to date primarily through the sale of preferred and common stock, and the sale of warrants and have devoted substantially all of our financial resources and efforts to research and development, including preclinical studies and our clinical trials. Our net losses may fluctuate significantly from quarter to quarter and year to year and will depend, in part, on the rate at which we incur expenses and our ability to generate revenue. Net losses and negative cash flows have had, and will continue to have, an adverse effect on our stockholders’ equity and working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we will continue to incur significant expenses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non-clinical and clinical development of our product candidates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acquire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collaboration arrangements with regards to product discovery or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manufacturing processes and/or enter into manufacturing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of our product candidates that successfully complete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planned future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obtain marketing approval. We may never succeed in these activities, including if we do not have available financial resources to allow us to pursue clinical trials and other clinical development activities, and, even if we are successful,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could impair our ability to raise capital, maintain our non-clinical and clinical development efforts, and expand our business or continue our operations and may require us to raise additional capital that may dilute the ownership interest of common stockholders. A decline in the value of the Company could also cause stockholders to lose all or part of their investment.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funding to be able to complete the development of our lead drug candidate. If we are unable to raise capital, we will be forced to significantly alter our business strategy, substantially curtail our current operations, or liquidate and cease operations altogether.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view of our expectation to incur significant losses for the foreseeable future, we will be required to raise additional capital resources in the future in order to fund our operations. We can also provide no assurance that other funding will be available to us, will be obtained on terms favorable to us or will provide us with sufficient funds to meet our objectives. If we are unable to raise such capital, or if we are unable to do so on acceptable terms, we will be forced to significantly alter our business strategy, substantially curtail our current operations, or liquidate and cease operations altogether. For example, we are currently unable to continue our clinical development of tegoprubart for people with ALS without additional financing, and we can provide no assurances that we will be able to obtain financing on acceptable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funding needs may fluctuate significantly based on a number of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formulation development and manufacture of drug product to support non-clinical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enter into additional collaboration arrangements regarding product discovery or development, or acquire or in-license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additional collaborations with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future commercialization activities, including product sales, marketing, manufacturing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formulation development, non-clinical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Even if we generate positive clinical data or are 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successfully commercialize one or more of our product candidates, additional financing may not be available to us on acceptable terms,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addition to the dilution of our current stockholders’ ownership as a result of the 2023 Private Placement, the 2024 Private Placement, the 2024 Underwritten Offering and the 2025 Underwritten Offering, we currently have a significant number of securities outstanding that are exercisable for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As of December 31, 2025, there were 75,430,033 shares of our common stock outstanding and pre-funded warrants and common stock</w:t>
      </w:r>
      <w:r>
        <w:rPr>
          <w:rFonts w:ascii="Times New Roman" w:hAnsi="Times New Roman"/>
          <w:color w:val="000000"/>
          <w:sz w:val="20"/>
          <w:u w:val="single"/>
        </w:rPr>
        <w:t xml:space="preserve"> </w:t>
      </w:r>
      <w:r>
        <w:rPr>
          <w:rFonts w:ascii="Times New Roman" w:hAnsi="Times New Roman"/>
          <w:color w:val="000000"/>
          <w:sz w:val="20"/>
        </w:rPr>
        <w:t xml:space="preserve">warrants to purchase 51,781,090 shares of our common stock outstanding. The issuance of shares of common stock in the 2023 Private Placement, the 2024 Private Placement, the 2024 Underwritten Offering and the 2025 Underwritten Offering (each as defined and described in </w:t>
      </w:r>
      <w:r>
        <w:rPr>
          <w:rFonts w:ascii="Times New Roman" w:hAnsi="Times New Roman"/>
          <w:i/>
          <w:color w:val="000000"/>
          <w:sz w:val="20"/>
        </w:rPr>
        <w:t>Part II, Item 7.</w:t>
      </w:r>
      <w:r>
        <w:rPr>
          <w:rFonts w:ascii="Times New Roman" w:hAnsi="Times New Roman"/>
          <w:color w:val="000000"/>
          <w:sz w:val="20"/>
        </w:rPr>
        <w:t xml:space="preserve">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diluted the ownership interests of our existing stockholders. The issuance of shares of common stock pursuant to our “at-the-market” equity offering program or upon exercise of pre-funded warrants or common warrants issued in the initial closing of the 2023 Private Placement, the pre-funded warrants issued in the 2024 Private Placement, the pre-funded warrants issued in the 2024 Underwritten Offering and the pre-funded warrants issued in the 2025 Underwritten Offering would result in significant additional dilution to our current stockholders, which could adversely affect the price of our common stock and the terms on which we could raise additional capital.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any products that have gained regulatory approval. We have invested substantially all of our efforts and financial resources in the development of our lead drug candidate tegoprubart, including funding non-clinical studies, clinical trials, drug formulation and the manufacturing of clinical trial materials. Our ability to generate product revenues, which we do not expect will occur for several years, if ever, will depend heavily on the successful development and eventual commercialization of one or more drug candidates. As a result, our business is substantially dependent on our ability to successfully complete the development of and obtain approval for one of our potential future additional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yet demonstrated an ability to successfully overcome many of the risks and uncertainties frequently encountered by companies in new and rapidly evolving fields, particularly in the pharmaceutical area. For example, to execute our business plan, we will need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additional financing in order to advance our drug product through clinical development, and to manufacture, obtain regulatory approval for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execute formulation, manufacturing, clinical, and non-clinical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drug products at commercial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confirm commercially acceptable stability (shelf-life) of our drug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in-license or acquire other product candidates and advance them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required regulatory approvals for the development and commercialization of tegoprubart or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leverage, and expand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robust sales, distribution and marketing capabilities, either on our own or in collaboration with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market acceptance for any approved and marketed drug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adequate product pricing and reimbursement;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maintain any strategic relationships we elect to enter;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spending as costs and expenses increase due to product manufacturing, non-clinical development, clinical trials, regulatory approvals, post-marketing commitments,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unsuccessful in accomplishing these objectives, we may not be able to successfully develop and commercialize our or other product candidates, and our business will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health crises, including pandemics or epidemics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including but not limited to ongoing or planned research and development activities may be impacted by public health crises. For example, our business was adversely affected by the COVID-19 pandemic, which also caused significant disruption in the operations of third parties upon whom we rely. Other future public health crises, including any future pandemics or epidemics could have a similar impact on our business. We may experience, as we did with the COVID-19 pandemic, disruptions as a result of future public health crisis, such as a future pandemic or epidemic, that could severely impact our operations and development activities,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manufacturing of our drug candidates due to increased competition for manufacturing capacity as a result of the pandemic;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employee resources that would otherwise be focused on the conduct of our development activities, including because of sickness of employees or their families or the desire of employees to avoid contact with large groups of people;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U.S. Food and Drug Administration (“FDA”) to accept data from clinical trials in affected geographies;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procuring drug substance and/or in manufacturing drug product due to limitations in employee resources or forced furloughs at our contract manufacturing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initiation of future clinical trials, including delays in receiving authorization from local regulatory authorities to initiate such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disturbances in enrollment and trial execution, for example, because clinical trial sites may be unable to operate normally, or patients may elect to forego visits to medical facilities or undertake voluntary medical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factors, or other effects of any public health crisis, including any future pandemic or epidemic, could materially affect our business, possibly to a significant degree. The severity and duration of any such impacts cannot be predicted.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including the financial and credit markets, continues to experience extreme volatility and disruptions, including severely diminished liquidity and credit availability, declines in consumer confidence, declines in economic growth, increases in unemployment rates, elevated inflation and interest rates, changes in U.S. trade policy and uncertainty about economic stability. Likewise, the current conflicts in Ukraine and the Middle East have created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For example, we do not currently have sufficient liquidity to fund the continued clinical development of tegoprubart for people with ALS without additional financing, notwithstanding the positive topline results of our Phase 2a study of tegoprubart for adult subjects with 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result of high levels of inflation, we have experienced and may continue to experience cost increases, including costs of clinical trials and research and development of our product candidates, production costs, the price of labor, administration and other costs of doing business. Although we may continue to take measures to mitigate the impact of this inflation, if these measures are not effective, our business, financial condition, results of operations and liquidity could be materially adversely affected. Further, in an inflationary environment, cost increases may outpace our expectations, causing us to use our cash and other liquid assets faster than forecasted. If this happens, we may need to raise more capital to fund our operations than expected, and such capital may not be available in sufficient amounts or on reasonable terms,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conditions in the financial markets, including bank failures, could adversely affect our liquidity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maintain domestic cash deposits, for short term operating requirements, in Federal Deposit Insurance Corporation (“FDIC”) insured banks, which exceed the FDIC insurance limits. Our additional cash and cash equivalents are held in accounts managed by third</w:t>
        <w:noBreakHyphen/>
        <w:t>party financial institutions and consist primarily of cash invested in money market funds and government bonds. Bank failures, events involving limited liquidity, defaults, non-performance or other adverse developments that affect financial institutions, or concerns or rumors about such events, may lead to widespread demands for customer withdrawals and liquidity constraints that may result in market-wide liquidity problems. For example, on March 10, 2023, Silicon Valley Bank failed and was taken into receivership by the FDIC. At that time, we maintained deposits amounting to approximately 78% of our total cash at Silicon Valley Bank. On March 26, 2023, the assets, deposits and loans of Silicon Valley Bank were acquired by First-Citizens Bank &amp; Trust Company. In response to the failure of Silicon Valley Bank, we diversified our cash deposits into money market funds, U.S. treasuries and U.S. government agency securities and, as of the date of this report, our total cash maintained in FDIC insured banking accounts is less than 5% of our total cash and cash equivalents and short-term investments.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any applicable foreign government in the future or that any bank or financial institution with which we do business will be able to obtain needed liquidity from other banks, government institutions or by acquisition in the event of a future failure or liquidity crisis. Additionally, our cash investments outside of FDIC insured bank accounts are subject to general credit, liquidity, market, and interest rate risks. If the carrying value of an investment exceeds the fair value, and the decline in fair value is deemed to be other-than-temporary, we are required to write down the value of the investment, which could materially harm our results of operations and financial condition and could limit our access to liquidity.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early stage of development for our product candidates, the risk of failure is high. Before obtaining marketing approval from regulatory authorities for the sale of any product candidate, we must conduct non-clinical trials and then conduct extensive clinical trials to demonstrate the safety and efficacy of our product candidates in humans. Formulation and device development, non-clinical and clinical testing are all expensive activities, difficult to design and implement, and can take years to complete. Failure can occur at any time during the development program, including during the clinical trial process. Further, the results of non-clinical studies and early clinical trials of our product candidates, as well as earlier generation formulations may not be predictive of the results of later-stage clinical trials. Interim results of a clinical trial do not necessarily predict final results. Moreover, non-clinical and clinical data are often susceptible to varying interpretations and analyses, and many companies that have believed their product candidates performed satisfactorily in non-clinical and clinical trials have nonetheless failed to obtain marketing approval of their products. There is a risk that additional non-clinical and/or clinical safety studies will be required by the FDA or similar regulatory authorities outside the United States and/or that subsequent studies will not match results seen in prior studies. It is impossible to predict when or if any of our product candidates will prove effective, safe and well-tolerated in humans or will receive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delays in our clinical trials, and we do not know whether planned clinical trials will begin or enroll subjects on time, need to be redesigned or be completed on schedule, if at all. There can be no assurance that the FDA or equivalent foreign regulatory bodies will approve investigational new drug applications and allow us to start clinical trials for any of our product candidates in the future, including for islet cell transplant. Once a clinical trial has commenced, there is also no assurance that the FDA or equivalent foreign regulatory body will not put any of our product candidates on clinical hold. We may experience numerous unforeseen events during, or as a result of, clinical trials that could delay or prevent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ability to receive marketing approval or commercialize our product candidates. Clinical trials may be delayed, suspended or prematurely terminated for a variety of reasons,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reaching agreement with the FDA or a comparable foreign regulatory authority on a trial design that we want to execute;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obtaining authorization to commence a trial or inability to comply with conditions imposed by a regulatory authority regarding the scope or design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completing formulation development and manufacturing as a prerequisite to commencing clinical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delay, or failure in identifying and maintaining a sufficient number of trial sites, many of which may already be engaged in other clinical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recruiting and enrolling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failure in having subjects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and investigators deviating from trial protocol, failing to conduct the trial in accordance with regulatory requirements,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including the incurrence of unforeseen costs due to enrollment delays, requirements to conduct additional clinical trials and increased expenses associated with the services of our contract research organizations (“CROs”)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or difficulties in the enrollment of patients that our product candidates are designed to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difficulty partnering with experienced CROs and study sites that can identify patients that our product candidates are designed to target and run our clinical trials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(“IRBs”) may require that we or our investigators suspend or terminate clinical research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changes in governmental regulations or administrative actions. For example, in January 2025 the Trump administration issued an Executive Order that paused the FDA’s rulemaking ability and could affect recently finalized FDA rules that have not yet taken effect. The extent to which such existing or future executive orders impact the healthcare regulatory environment remains uncertain and could materially impact our development and commercialization activities. In addition, our development and commercialization activities could be harmed or delayed by a shutdown of the U.S. government or reduction in funding or staffing at U.S. government agencies, including the FDA and SEC. For example, a prolonged shutdown or the reduction of funding or staffing at the FDA may significantly delay the FDA's ability to timely review and process any submissions we may file or cause other regulatory delays, which could materially and adversely affect our business. Further, government shutdowns and/or employee terminations or resignations at the SEC could impact our ability to access the public markets and obtain necessary capital in order to properly capitalize and continue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that would reduce the potential market for our products or inhibit our ability to successfully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restrictions and/or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development costs will also increase if we experience delays in testing or marketing approvals. We do not know whether any of our non-clinical studies or clinical trials will need to be restructured or will be completed on schedule, or at all. Significant non-clinical or clinical trial delays also could shorten any periods during which we may have the exclusive right to commercialize our product candidates or may allow our competitors to bring products to market before we do and impair our ability to successfully commercialize our product candidates and may harm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 and expenses for the development of our product candidates could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to demonstrate safety and efficacy. We do not know whether the ongoing or planned clinical trials will enroll subjects in a timely fashion, require redesign of essential trial elements or be completed on its projected schedule. In addition, competitors may have ongoing clinical trials for product candidates that treat related or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affected by other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study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identify and maintain a sufficient number of trial sites, many of which may already be engaged in other clinical trial programs, including some that may be for the same disease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ambiguous or negative interim results of our clinical trials, or results that are inconsistent with earlier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feedback from regulatory authorities, IRBs, ethics committees (“ECs”), or data safety monitoring boards, or results from earlier stage or concurrent non-clinical and clinical trials, that might require modifications to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by regulatory authorities, IRBs, ECs, or the Company, or recommendations by data safety monitoring boards, to suspend or terminate clinical trials at any time for safety issues or for any other reason;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unacceptable risk-benefit profile or unforeseen safety issues or adverse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in our clinical trials may result in increased development costs for our product candidates, which would cause the value of the Company to decline and limit our ability to obtain additional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conduct clinical trials in some jurisdictions outside of the United States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clinical trial sites in regions outside the United States, including Asia, the European Union and the United Kingdom, and we will continue to conduct future clinical trials in these markets. Our ability to conduct clinical trials at sites located outside the United States is subject to numerous risks unique to conducting business in jurisdictions outside the United States,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establishing or managing relationships with qualified CROs, physicians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local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complying with various and complex import laws and regulations when shipping drugs to certain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burden of complying with a variety of laws, medical standards and regulatory requirements, including the regulation of pharmaceutical and biotechnology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consistency in standard of care from country to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instability in economic or political conditions, including inflation, recession and actual or anticipated military conflicts, social upheaval or political uncertainty;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country or regional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ongoing conflict in Ukraine and the resulting imposition of economic and other sanctions by the United States, European Union and many other nations on Russia, individuals in Russia, Russian businesses and the Russian central bank, or any escalation of tensions in the region, could have a broader impact that expands into other countries. The ongoing conflict in the Middle East could have similar impacts. Although the length and impact of any military action and expansion of the conflict into other countries are highly unpredictable, if either conflict spreads or has effects on additional countries, we may experience disruptions or delays in our plans to conduct clinical trial activities in affected regions outside the United States.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severe adverse events or unacceptable side effects are identified during the development of our product candidates, we may need to abandon or limit our development of some of our product candidates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associated with severe adverse events or unacceptable side effects in non-clinical or clinical trials or have characteristics that are unexpected, we may need to interrupt, delay or abandon their development or limit development to more narrow uses or subpopulations in which the adverse event or undesirable side effects or other characteristics are less prevalent, less severe or more acceptable from a risk-benefit perspective. Any occurrences of clinically significant adverse events or unacceptable side effects with our product candidates may harm our business, financial condition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Tegoprubart is an early</w:t>
        <w:noBreakHyphen/>
        <w:t>product candidate, and the side effect profile in humans has not been fully established. Currently unknown, drug-related side effects may be identified through ongoing and future clinical trials and, as such, these possible drug-related side effects could affect patient recruitment, the ability of enrolled subjects to complete the trial, or result in potential product liability claims.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executives and key employees and to attract, retain and motivate qualified personnel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the product development, clinical and business development expertise of the principal members of our management, scientific and clinical team. Although we have entered into employment agreements with our executives and key employees, each of them may terminate their employment with us at any time. We do not maintain “key person” insurance for any of our executives or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clinical, manufacturing, sales and marketing personnel is critical to our success. Due to the small size of the Company and the limited number of employees, each of our executives and key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employees serves in a critical role.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drug product, non-clinical development, clinical development, regulatory strategy, and commercial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Regulatory Approval of Our Product Candidates and Other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must be approved by the FDA pursuant to a new drug application in the United States and by other regulatory authorities outside the United States prior to commercialization in the respective regions. The process of obtaining marketing approvals, both in the United States and outside the United States,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country. We have no experience in filing and supporting the applications necessary to gain marketing approvals for our products and may engage third-party consultants to assist in this process. Securing marketing approval requires the submission of extensive non-clinical and clinical data, and other supporting information to regulatory authorities for each therapeutic indication to establish the product candidate’s safety and efficacy. Securing marketing approval also requires the submission of information about the product formulation and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non-clinical, clinical or other data. In addition, varying interpretations of the data obtained from non-clinical and clinical trials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marketing approval we ultimately obtain may be for fewer or more limited indications than requested or subject to restrictions or post-approval commitments that render the approved product not commercially viable or its market potential significantly impaired. In addition, regulatory agencies may not approve the labeling claims that are necessary or desirable for the successful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products in the EU and other international jurisdictions outside of the United States, we or our third-party collaborators must obtain separate marketing approvals and comply with numerous and varying regulatory requirements. The approval procedure varies among countries and may require additional non-clinical, clinical or health outcome data. In addition, the time required to obtain approval may differ substantially amongst international jurisdictions. The regulatory approval process outside the United States generally includes all the risks associated with obtaining FDA approval. In addition to regulatory approval, in many countries outside the United States, it is required that the product be approved for reimbursement before the product can be approved for sale in that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our product candidates, the commercial prospects for our product candidates may be harmed and our ability to generate revenues will be materially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and the activities associated with their development and commercialization, including their testing, manufacture, recordkeeping, labeling, storage, approval, advertising, promotion, sale and distribution, are subject to comprehensive regulations that are specific to those defined by regulatory authorities in the countries where the product is approved. In the United States and other countries that follow the International Conference on Harmonization, these requirements include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our products,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products,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products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Legislation regulating the pharmaceutical and healthcare industries may increase the difficulty and cost for us to obtain marketing approval of and commercialize our product candidates and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intended to contain healthcare costs and modify the regulation of drug and biologic products. These and other regulatory changes could prevent or delay marketing approval of our product candidates, restrict or regulate post-approval activities and affect our ability to profitably sell any product candidates for which we obtain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in 2022, the U.S. government enacted the Inflation Reduction Act of 2022, which, among other things, includes policies that are designed to have a direct impact on drug prices and reduce drug spending by the federal government, which took effect in 2023. The Inflation Reduction Act of 2022 requires drug manufacturers to pay rebates to Medicare if they increase prices faster than inflation for certain drugs used by Medicare beneficiaries. The mechanics of the rebate calculation are similar to those of the Medicaid rebate, but the expansion of inflation-based rebates may further complicate pricing strategies. In addition, in 2025, President Trump issued executive orders focused on lowering drug prices in the U.S. It is unclear how these drug pricing initiatives will affect what actions will be implemented by the Department of Health and Human Services, Centers for Medicare and Medicaid Services (“CMS”), or FDA, and how those actions will impact our industry and our business. The Inflation Reduction Act of 2022 or other similar legislation could have the effect of reducing the prices we can charge and reimbursement we receive for our products, thereby reducing our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and regulations will be adopted in the future.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Recent administrative law cases decided by the U.S. Supreme Court in 2024 may create uncertainty with respect to actions taken by regulatory agencies to interpret, implement and enforce federal legislation. For example, in its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w:t>
      </w:r>
      <w:r>
        <w:rPr>
          <w:rFonts w:ascii="Times New Roman" w:hAnsi="Times New Roman"/>
          <w:i/>
          <w:color w:val="000000"/>
          <w:sz w:val="20"/>
        </w:rPr>
        <w:t>Loper decision</w:t>
      </w:r>
      <w:r>
        <w:rPr>
          <w:rFonts w:ascii="Times New Roman" w:hAnsi="Times New Roman"/>
          <w:color w:val="000000"/>
          <w:sz w:val="20"/>
        </w:rPr>
        <w:t xml:space="preserve">”), the U.S. Supreme Court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legal challenges to regulations and guidance issued by federal agencies that are currently applicable to or will be applicable to our business, including those issued by the FDA and the CMS. Further,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delays in or other impacts to the agency rulemaking process, which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Laws, restrictions, and other regulatory measures imposed in international jurisdictions present similar challenges to those in the United States, including increased difficulty and cost in obtaining marketing approval and commercializing of our product candidates, as well as potential limitations on the prices we may obtain.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operations and relationships with healthcare providers, physicians, third-party payers, and customers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payers will play a primary role in the recommendation and prescription of any product candidates for which we receive marketing approval. Our current and future arrangements may expose us to broadly applicable fraud and abuse and other healthcare laws that may constrain the business or financial arrangements and relationships through which we would market, sell and distribute the products for which we receive marketing approval. Even though we will not control referrals of healthcare services or bill directly to Medicare, Medicaid or other third-party payers, federal and state healthcare laws are and will be applicable to our business. Such laws include, but are not limited to federal false claims, false statements and civil monetary penalties laws, including the federal civil False Claims Act (“FCA”), the federal Anti-Kickback Statute, the federal Health Insurance Portability and Accountability Act of 1996 (“HIPAA”), patient data privacy and security regulation, including, in the United States, HIPAA, as amended by the Health Information Technology for Clinical Health Act of 2009 (“HITECH”), the federal transparency requirements under the Physician Payments Sunshine Act, and analogous state, local or foreign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Medicaid Rebate Program to reduce liability for Medicaid rebates.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are found to be not in compliance with applicable laws, that person or entity may be subject to criminal, civil or administrative sanctions, including exclusions from government funded healthcare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Laws, restrictions, and other regulatory measures are also imposed by anti-kickback, fraud and abuse, and other healthcare laws and regulations in international jurisdictions, and in those jurisdictions we face the same issues as in the United States regarding exposure to criminal sanctions, civil penalties, program exclusion, contractual damages, reputational harm, and diminished profits and future earnings.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our information systems and those of our third-party collaborators, service providers, contractors or consultants, which may fail or suffer cybersecurity incidents that could result in a material disruption of our development programs or loss of data and have a material adverse effect on our reputation,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our information systems and infrastructure to effectively manage our business, including our clinical trials and studies. Our information systems and infrastructure, and those of our current or future third-party collaborators, service providers, contractors and consultants are vulnerable to damage from cybersecurity incidents, including computer viruses, denial-of-service attacks, hacking, phishing and other social engineering attacks, unauthorized access or use resulting from malware, as well as disruptions due to natural disasters, terrorism, war, mistakes or technical errors, including due to software updates and telecommunication and electrical failures. We may also experience cybersecurity incidents stemming from persons inside our organizations (including employees or contractors), or other persons with access to information systems inside our organization. Attacks on information systems are increasing in their frequency, levels of persistence, sophistication and intensity, and they are being conducted by increasingly sophisticated and organized foreign governments, groups and individuals with a wide range of motives and expertise. Further, cybersecurity threats and the techniques used in cyberattacks change, develop and evolve rapidly, including from emerging technologies, such as advanced forms of artificial intelligence and quantum computing.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the loss of confidential information or other intellectual property. Information system disruptions, even if inadvertent, may limit or disable our access or important third parties’ access to our systems. While to our knowledge none of the cybersecurity incidents we have experienced to date have had a material adverse impact on our business, financial condition or operations, if such an event were to occur and cause interruptions in our operations or the operations of third-party collaborators, service providers, contractors or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systems, our efforts to address these problems may not be successful, and these problems could result in unexpected interruptions, delays, cessation of service and other harm to our business and our competitive position. Moreover, data security incidents and other security breaches can be difficult to detect, and any delay in identifying them may lead to increased harm. </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compromise of privacy, security, integrity or confidentiality of sensitive information related to our business or failure to comply with confidentiality and data privacy obligations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collect, store and transmit large amounts of confidential information, including intellectual property, proprietary business information and personal information. 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breach affects our information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be found to have violated applicable U.S. and international privacy, data protection and other laws, which could subject us to litigation and governmental investigations and proceedings by federal, state and local regulatory entities in the U.S. and by international regulatory entities, resulting in exposure to material civil and/or criminal liability and the further development of our product candidates could be delayed. Such a breach may require notification to governmental agencies, the media or individuals pursuant to various foreign,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claims related to cybersecurity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have a material adverse effect on our reputation, business, financial condition or results of operations. To the extent we maintain individually identifiable health information, we could be subject to fines and penalties (including civil and criminal) under HIPAA for any failure by us or our business associates to comply with HIPAA’s requirements.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European data collection is governed by restrictive regulations governing the collection, use, processing and cross-border transfer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collect, process, use or transfer personal information from individuals located in the European Economic Area (the “EEA”) in connection with our business, including in connection with conducting clinical trials in the EEA. Additionally, if any of our product candidates are approved, we may seek to commercialize those products in the EEA. The collection and use of personal health data in the EEA is governed by the provisions of the General Data Protection Regulation ((EU) 2016/679)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EEA and other states in the EEA may result in substantial fines, other administrative penalties and civil claims being brought against us, which could have a material adverse effect on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substantial costs in order to comply with current or future environmental, health and safety laws and regulations. These current or future laws and regulations may impair our non-clinical or clinical development or production efforts. Our failure to comply with these laws and regulations also may result in substantial fines, penalties or other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the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any of our product candidates receives marketing approval, we may fail to achieve the degree of market acceptance by physicians, patients, third-party payers and others in the medical community necessary for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marketing approval, we may nonetheless fail to gain sufficient market acceptance by physicians, patients, third-party payers and others in the medical community. In addition, physicians, patients and third-party payers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efficacy and safety and potential advantages and disadvantages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offer our products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our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and adequate reimbursement, including patient cost-sharing programs such as copays and deductibles;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develop or partner with third-party collaborators to develop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restrictions on the use of our products together with other medications.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carefully defined subsets of patients who have agreed to enter into clinical trials. Consequently, it is possible that our clinical trials may indicate an apparent beneficial effect of a product candidate that is greater than the actual positive effect in a broader patient population or alternatively fail to identify undesirable side effects. If, following approval of a product candidate, we, or others, discover that the product is less effective than previously believed or causes undesirable side effects that were not previously identified, any of the following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 required to be recalled or changes may be required to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or the manufacturing processes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creation of a Medication Guide outlining the risks of the previously unidentified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distribution or use of the product via a Risk Evaluation and Mitigation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have a material and adverse effect on our operations and business. The commercial prospects for our product candidates may be harmed and our ability to generate revenues will be materially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marketing and sales force. 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and marketing team with technical expertise and supporting distribution capabilities to commercialize our product candidates, which will be expensive and time-consuming, will require significant attention of our executive officers to manage and may nonetheless fail to effectively market and sell our product candidates.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competing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there are a number of companies developing competing anti-CD40 and anti-CD40L therapeutics in clinical trials for transplant, autoimmune or central nervous system indications, including: Novartis, Sanofi, UCB, Amgen (post-acquisition of Horizon Therapeutics), Bristol Myers Squibb, Tonix Pharmaceuticals, Veloxis Pharmaceuticals and Kiniksa Pharmaceuticals. Most of these companies are larger than Eledon and have significantly greater resources to develop their drug candidates.</w:t>
      </w:r>
    </w:p>
    <w:p>
      <w:pPr>
        <w:pStyle w:val="TextBody"/>
        <w:bidi w:val="0"/>
        <w:spacing w:before="240" w:after="283"/>
        <w:jc w:val="left"/>
        <w:rPr>
          <w:rFonts w:ascii="Times New Roman" w:hAnsi="Times New Roman"/>
          <w:sz w:val="20"/>
        </w:rPr>
      </w:pPr>
      <w:r>
        <w:rPr>
          <w:rFonts w:ascii="Times New Roman" w:hAnsi="Times New Roman"/>
          <w:color w:val="000000"/>
          <w:sz w:val="20"/>
        </w:rPr>
        <w:t>If approved, we expect that tegoprubart will face competition from numerous FDA-approved therapeutics for the prevention of transplant rejection, including PROGRAF</w:t>
      </w:r>
      <w:r>
        <w:rPr>
          <w:rFonts w:ascii="Times New Roman" w:hAnsi="Times New Roman"/>
          <w:color w:val="000000"/>
          <w:sz w:val="11"/>
        </w:rPr>
        <w:t>®</w:t>
      </w:r>
      <w:r>
        <w:rPr>
          <w:rFonts w:ascii="Times New Roman" w:hAnsi="Times New Roman"/>
          <w:color w:val="000000"/>
          <w:sz w:val="20"/>
        </w:rPr>
        <w:t>, ASTAGRAF XL</w:t>
      </w:r>
      <w:r>
        <w:rPr>
          <w:rFonts w:ascii="Times New Roman" w:hAnsi="Times New Roman"/>
          <w:color w:val="000000"/>
          <w:sz w:val="11"/>
        </w:rPr>
        <w:t>®</w:t>
      </w:r>
      <w:r>
        <w:rPr>
          <w:rFonts w:ascii="Times New Roman" w:hAnsi="Times New Roman"/>
          <w:color w:val="000000"/>
          <w:sz w:val="20"/>
        </w:rPr>
        <w:t>, ENVARSUS XR</w:t>
      </w:r>
      <w:r>
        <w:rPr>
          <w:rFonts w:ascii="Times New Roman" w:hAnsi="Times New Roman"/>
          <w:color w:val="000000"/>
          <w:sz w:val="11"/>
        </w:rPr>
        <w:t>®</w:t>
      </w:r>
      <w:r>
        <w:rPr>
          <w:rFonts w:ascii="Times New Roman" w:hAnsi="Times New Roman"/>
          <w:color w:val="000000"/>
          <w:sz w:val="20"/>
        </w:rPr>
        <w:t>, NULOJIX</w:t>
      </w:r>
      <w:r>
        <w:rPr>
          <w:rFonts w:ascii="Times New Roman" w:hAnsi="Times New Roman"/>
          <w:color w:val="000000"/>
          <w:sz w:val="11"/>
        </w:rPr>
        <w:t>®</w:t>
      </w:r>
      <w:r>
        <w:rPr>
          <w:rFonts w:ascii="Times New Roman" w:hAnsi="Times New Roman"/>
          <w:color w:val="000000"/>
          <w:sz w:val="20"/>
        </w:rPr>
        <w:t>, CELLCEPT</w:t>
      </w:r>
      <w:r>
        <w:rPr>
          <w:rFonts w:ascii="Times New Roman" w:hAnsi="Times New Roman"/>
          <w:color w:val="000000"/>
          <w:sz w:val="11"/>
        </w:rPr>
        <w:t>®</w:t>
      </w:r>
      <w:r>
        <w:rPr>
          <w:rFonts w:ascii="Times New Roman" w:hAnsi="Times New Roman"/>
          <w:color w:val="000000"/>
          <w:sz w:val="20"/>
        </w:rPr>
        <w:t>, MYFORTIC</w:t>
      </w:r>
      <w:r>
        <w:rPr>
          <w:rFonts w:ascii="Times New Roman" w:hAnsi="Times New Roman"/>
          <w:color w:val="000000"/>
          <w:sz w:val="11"/>
        </w:rPr>
        <w:t>®</w:t>
      </w:r>
      <w:r>
        <w:rPr>
          <w:rFonts w:ascii="Times New Roman" w:hAnsi="Times New Roman"/>
          <w:color w:val="000000"/>
          <w:sz w:val="20"/>
        </w:rPr>
        <w:t>, and numerous other branded and generic immunosuppressive agents. Multiple companies are working on islet cell and kidney transplant solutions that may ultimately potentially negate the need for immunosuppressive agents in these indications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tegoprubart will face competition from FDA-approved therapeutics for the treatment of ALS including RADICAVA®, riluzole, and numerous other branded and generic immunosuppressive agents. Multiple pharmaceutical and biotechnology companies, including but not limited to Biogen, Ionis Pharmaceuticals, Alexion Pharmaceuticals, Orion Pharma, Orphazyme, AZTherapies, Voyager Therapeutics, Apic Bio, Brainstorm Cell Therapeutics, Argenx, Ionis Pharmaceuticals, Coya Therapeutics and Cytokinetics, are also working on competing ALS pharmaceutical, gene therapy and cell therapy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payers seeking to encourage the use of generic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Generic products are currently available, with additional generic products expected to become available over the coming years, potentially creating pricing pressure. If our product candidates achieve marketing approval, we expect that they will be priced at a significant premium over competitive generic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conducting non-clinical studies,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extent of reimbursement by governmental and private payers is essential for most patients to be able to afford expensive treatments. Sales of our product candidates will depend substantially, both domestically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medicines are typically made by CMS, as CMS decides whether and to what extent a new medicine will be covered and reimbursed under Medicare. Private payers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our product candidates. Increased expense is incurred to cover costs of health outcome focused research used to generate data necessary to justify the value of our products in order to secure reimbursement.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 decreased demand for any product candidates or products that we may develop; injury to our reputation and significant negative media attention; withdrawal of clinical trial participants; significant costs to defend the related litigation; substantial monetary awards to trial participants or patients; loss of revenue; reduced resources of our management to pursue our business strategy; and 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for non-clinical and clinical trials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utilized, and intend to continue utilizing, third parties to formulate, manufacture, package, and distribute clinical supplies of our drug candidates. We have no experience in manufacturing and do not have any manufacturing facilities. Currently, we rely on third parties for the manufacturing of drug substance and drug product for non-clinical and clinical activities. Our manufacturing vendors utilize proprietary cell culture media, cell lines, buffers, manufacturing equipment, manufacturing supplies, and storage buffers for the manufacturing of tegoprubart and other product candidates. These materials are custom-made and available from only a limited number of sources. Although we believe that our third-party suppliers maintain a significant supply of these materials and equipment on hand, any sustained disruption in this supply, could adversely affect our operations. We do not have any long-term agreements in place with our current suppliers. If we are required to change manufacturers, we may experience delays associated with finding an alternate manufacturer that is properly qualified to produce supplies of our products and product candidates in accordance with regulatory requirements and our specifications. Any delays or difficulties in obtaining or in manufacturing, packaging or distributing approved product candidates could negatively impact our clinical trials.</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rely on third-party manufacturers or third-party collaborators for the manufacture of commercial supply of any other product candidates for which our collaborators or we obtain marketing approval. Despite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For example, these third parties experienced disruptions in their operations in conjunction with the COVID-19 pandemic.</w:t>
      </w:r>
      <w:r>
        <w:rPr>
          <w:rFonts w:ascii="Times New Roman" w:hAnsi="Times New Roman"/>
          <w:color w:val="FF0000"/>
          <w:sz w:val="20"/>
        </w:rPr>
        <w:t xml:space="preserve"> </w:t>
      </w:r>
      <w:r>
        <w:rPr>
          <w:rFonts w:ascii="Times New Roman" w:hAnsi="Times New Roman"/>
          <w:color w:val="000000"/>
          <w:sz w:val="20"/>
        </w:rPr>
        <w:t>Additionally, on April 16, 2025, the U.S. Department of Commerce announced an investigation under Section 232 of the Trade Expansion Act of 1962 into imports of pharmaceuticals and pharmaceutical ingredients, including finished drug products, medical countermeasures, critical inputs such as active pharmaceutical ingredients, and key starting materials, and derivative products of those items. The investigation will examine the impact of these imports on U.S. national security culminating in a decision by the President whether to take action to remedy any identified threats, including by imposing additional tariffs. Further, the U.S. government has proposed a 100% tariff on branded and patented pharmaceutical products. All of these current and threatened tariffs are subject to implementation or change with little notice. Any delay, performance failure, or increase in costs on the part of our existing or future manufacturers of drug substance or drug products could delay or increase the cost of our clinical development or marketing approval. We do not currently have arrangements in place for redundant supply. If suppliers cannot supply us with our requirements, we may be required to identify alternative manufacturers, which would lead us to incur added costs and delays in identifying and qualifying any such replacement.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Formulations and devices used in early studies are not final formulations and devices for commercialization. Additional changes may be required by the FDA or other regulatory authorities on specifications and storage conditions. These may require additional studies and may result in a delay in our clinical trials and commercialization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rely on other third parties to label,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third parties we rely on for manufacturing and packaging are also subject to regulatory review, and any regulatory compliance problems with these third parties could significantly delay or disrupt our clinical or commercialization activities. 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Additionally, macro-economic conditions may adversely affect these third parties, causing them to suffer liquidity or operational problems. If a key third-party vendor becomes insolvent or is forced to lay off workers assisting with our projects, our results and development timing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outsourcing a substantial portion of our business will require that we rely on CROs and other contractors to assist us with research and development, clinical testing activities, patient enrollment, data collection, and regulatory submissions to the FDA or other regulatory bodies. As a result, our success will depend partially on the success of these third parties in performing their responsibilities. Although we intend to pre-qualify our CROs and other contractors and we believe that the contractors selected will be fully capable of performing their contractual obligations, we cannot directly control the adequacy and timeliness of the resources and expertise that they apply to these activities. Additionally, macro-economic conditions may affect our development partners and vendors, which could adversely affect their ability to timely perform their tasks. If our contractors do not perform their obligations in an adequate and timely manner, the pace of clinical development, regulatory approval and commercialization of our drug candidates could be significantly delayed, and our prospects could be adversely affected.</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relevant countries with respect to our proprietary technology and products. We seek to protect our proprietary position by filing patent applications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internationally that are related to our novel technologies and product candidates. This patent portfolio includes issued patents and pending patent applications covering pharmaceutical compositions and methods of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non-clinical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United States and other countries may diminish the value of our patents or narrow the scope of our patent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described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non-U.S. governmental patent agencies require compliance with several procedural, documentary, fee payment and other similar provisions during the patent application process. In certain situations,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acquired rights to tegoprubart and other product candidates through a license agreement with The ALS Therapy Development Foundation, Inc. and a manufacturing know-how rights license agreement with Lonza Sales AG, Inc. for the use of certain processes and know-how related to the manufacture of tegoprubart, and may in the future enter into other license agreements with third parties for other intellectual property rights or assets. These license agreements may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than if we had developed the licensed technology internally.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patent prosecution of our licensed technology may be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may control the prosecution of patents resulting from licensed technology. In the event we breach any of our obligations related to such prosecution, we may incur significant liability to our licensing partners. 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license certain intellectual property from third parties, and such licenses may not be available or may not be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If we were not able to obtain a license or are not able to obtain a license on commercially reasonable terms, our business could be harmed, possibly materially.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 candidates, we also rely on trade secrets, including unpatented know-how, technology and other proprietary information, to maintain our competitive position. Any NDAs or similar agreements entered into by the Company may not be with all relevant parties, or adequately protect the confidentiality of our trade secrets.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of misappropriation of trade secrets from former employers of Company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and certain of our directors were previously employed at or affiliated with research foundations or other biotechnology or pharmaceutical companies. Although we try to ensure that our employees and directors do not use the proprietary information or know-how of others in their work for us, we may be subject to claims that we or these employees or directors have used or disclosed intellectual property, including trade secrets or other proprietary information, of any such employee’s or director’s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our stock price to be volatile, and the market price of our common stock may drop unexpectedly.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could be subject to significant fluctuations. Market prices for securities of early-stage pharmaceutical, biopharmaceutical, and other life sciences companies have historically been particularly volatile. Some of the factors that may cause the market price of our common stock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regarding our financial condition and our ability to raise sufficient capital to fund our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approvals for our product candidates or other product candidates, and delays or failures to obtain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of our product candidates, if approved, to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in manufacturing our approved products, if any,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current and any future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about the ability of tegoprubart to prevent rejection in connection with kidney, xeno or islet cell transplantations;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entry into, or termination of, key agreements, including key commercial partner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of, material developments in, or conclusion of litigation to enforce or defend any of our intellectual property rights or defend against the intellectual property rights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introduction of technological innovations or new therapies that compete with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estimates or recommendations by securities analysts, if any, who cover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industry-specific economic conditions that may affect our research and development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period-to-period fluctuations in our financial results;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issuances of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previously identified and remediated a material weakness in our internal control over financial reporting. If we fail to maintain effective internal controls, we may conclude that our internal control over financial reporting is not effective, which could adversely affect our ability to report our results of operations and financial condition accurately and in a timely manner.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U.S. generally accepted accounting principles (“GAAP”). Our management is likewise required, on a quarterly basis, to evaluate the effectiveness of our disclosure controls and procedures, and to disclose any material weaknesses and any changes in our internal control over financial reporting that have materially affected, or are reasonably likely to materially affect, such controls. Ensuring that we will have adequate internal financial and accounting controls and procedures in place so that we can produce accurate financial statements on a timely basis is a costly and time-consuming effort that needs to be re-evaluated frequently.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have previously identified and remediated a material weakness in our internal controls over financial reporting, including as described Part II Item 9A, Controls and Procedures of this Annual Report on Form 10-K.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Although the Company concluded that as of December 31, 2025 its internal control over financial reporting was effective, the Company cannot provide assurances that the remediated material weakness will not reoccur, or that a new material weakness will not occur in the future. The existence of any material weakness could require management to devote significant time and incur significant expense to remediate any such material weakness and management may not be able to remediate any such material weakness in a timely manner. If we fail to maintain effective internal controls or any such material weakness is not remediated effectively or in a sufficient amount time, our ability to report our results of operations and financial condition accurately and in a timely manner could be adversely impacted. Further, we could be impacted by a material misstatement of our annual or interim financial statements that was not prevented or detected on a timely basis, which could have a negative effect on our results of operations and/or the trading price of our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the Company,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corporate charter and bylaws may discourage, delay or prevent a merger, acquisition or other change in control of the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stockholders to replace or remove the current management by making it more difficult for stockholders to replace members of our Board.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the Company’s charter or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expect to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retain our future earnings to fund the development and growth of our business. As a result, capital appreciation, if any, of our common stock will be the sole source of gain, if any, for any stockholders for the foreseeable future.</w:t>
      </w:r>
    </w:p>
    <w:p>
      <w:pPr>
        <w:pStyle w:val="TextBody"/>
        <w:bidi w:val="0"/>
        <w:spacing w:before="36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Strategy and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studies and employees, or our information systems and the data contained therein.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retain a Chief Information Consultant to collaborate with the company, including the Chief Financial Officer, and Executive Leadership Team, to help identify, assess and manage the company’s cybersecurity threats and risks. This group identifies and assesses risks from cybersecurity threats by monitoring and evaluating our threat environment using various methods including, for example, automated tools, subscribing to reports and services that identify cybersecurity threats, analyzing reports of threats and actors, and evaluating threats reported to us. We also use a third-party security management vendor to assist us from time to time to identify, assess, and manage material risks from cybersecurity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including, for example, incident detection and response policy, route risk assessments, data encryption, network security controls, data segregation, access controls, physical security, asset management, tracking and disposal, systems monitoring, penetration testing, and cybersecurity insurance. As part of our information security program, we provide mandatory periodic training for all employees on how to identify potential cybersecurity risks and protect our resources and information. This training is supplemented by firmwide testing initiatives, including periodic phishing tests.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our overall risk management processes. For example, the Chief Information Consultant works with management to prioritize our risk management processes and mitigate cybersecurity threats that are more likely to lead to a material impact to our business. In addition, our Chief Financial Officer evaluates material risks from cybersecurity threats and, as appropriate, reports to the Audit Committee of the Board of Directors, which evaluates our overall enterprise risk.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date, we do not believe that known risks from cybersecurity threats, including as a result of any previous cybersecurity incidents that we are aware of, have materially affected or are reasonably likely to materially affect us, including our business strategy, results of operations or financial condition. However, we can give no assurance that we have detected or protected against all such cybersecurity incidents or threats. For a description of the risks from cybersecurity threats that may materially affect us and how they may do so, see our risk factors under Part I. Item 1A. </w:t>
      </w:r>
      <w:r>
        <w:rPr>
          <w:rFonts w:ascii="Times New Roman" w:hAnsi="Times New Roman"/>
          <w:i/>
          <w:color w:val="000000"/>
          <w:sz w:val="20"/>
        </w:rPr>
        <w:t>Risk Factors</w:t>
      </w:r>
      <w:r>
        <w:rPr>
          <w:rFonts w:ascii="Times New Roman" w:hAnsi="Times New Roman"/>
          <w:color w:val="000000"/>
          <w:sz w:val="20"/>
        </w:rPr>
        <w:t xml:space="preserve"> in this Annual Report on Form 10-K, including the risk factor titled “We depend on our information systems and those of our third-party collaborators, service providers, contractors or consultants, which may fail or suffer cybersecurity incidents that could result in a material disruption of our development programs or loss of data and have a material adverse effect on our reputation,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addresses our cybersecurity risk management as part of its general oversight function. The Audit Committee is responsible for overseeing our cybersecurity risk management processes, including oversight and mitigation of risks from cybersecurity threats. Our cybersecurity risk assessment and management processes are implemented and maintained by our Chief Financial Officer who oversees the work performed by our Chief Information Consultant.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Chief Financial Officer is responsible for hiring appropriate consultants, helping to integrate cybersecurity risk considerations into our overall risk management strategy and communicating key priorities to relevant personnel. Our Chief Financial Officer, with support from our Chief Information Consultant, is responsible for approving budgets, helping prepare for cybersecurity incidents, approving cybersecurity processes, and reviewing security assessments and other security-related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receives periodic reports from our Chief Financial Officer concerning our significant cybersecurity threats and risks and the processes we have implemented to address them. The Audit Committee also receives various reports, summaries or presentations related to cybersecurity threats, risk and mitigation. The Chief Financial Officer also promptly informs and updates the Board about any information security incidents that may pose significant risk to our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Financial Officer has over 20 years of operations and leadership experience, including experience in information technology strategy and execution. The Chief Information Consultant has over 20 years of experience managing and securing technology infrastructure.</w:t>
      </w:r>
    </w:p>
    <w:p>
      <w:pPr>
        <w:pStyle w:val="TextBody"/>
        <w:bidi w:val="0"/>
        <w:spacing w:before="36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offices are located in Irvine, California. We lease approximately 5,817 square feet of office space under an operating lease that expires on June 30, 2027. Additionally, we have an operating lease for approximately 6,138 square feet of office space in Burlington, Massachusetts, that expires on November 21, 2027. We believe our facilities are sufficient for our current needs.</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we nor any of our subsidiaries is a party to, and none of their respective property is the subject of, any material legal proceeding, although we are from time-to-time party to legal proceedings that arise in the ordinary course of our business.</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360" w:after="283"/>
        <w:jc w:val="left"/>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traded on the Nasdaq Capital Market under the symbol “ELDN”.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13, 2026, there were approximately 23 stockholders of record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and do not anticipate declaring or paying in the foreseeable future, any cash dividends on our common stock. Future determination as to the declaration and payment of dividends, if any, will be at the discretion of our Board and will depend on then existing conditions, including our operating results, financial condition, contractual restrictions, capital requirements, business prospects and other factors that our Board may deem relevant.</w:t>
      </w:r>
    </w:p>
    <w:p>
      <w:pPr>
        <w:pStyle w:val="TextBody"/>
        <w:bidi w:val="0"/>
        <w:spacing w:before="360" w:after="283"/>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Discussion and Analysis of Financial Condition and Results of Operations is intended to help the reader understand the results of operations and financial condition of the Company. The Management’s Discussion and Analysis of Financial Condition and Results of Operations should be read in conjunction with our audited consolidated financial statements and notes thereto for the year ended December 31, 2025. In addition to historical information, this Annual Report on Form 10-K contains forward-looking statements within the meaning of Section 27A of the Securities Act of 1933, as amended (the “Securities Act”) and Section 21E of the Securities Exchange Act of 1934, as amended, (the “Exchange Act”) which are intended to be covered by the safe harbors created thereby. See “Special Note Regarding Forward-Looking Statements” in this Annual Report on Form 10-K. Our actual results and the timing of events could differ materially from those discussed in our forward-looking statements as a result of many factors, including those set forth under the Part I, Item 1A. Risk Factors section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is to optimize the clinical and commercial value of tegoprubart and become a global biopharmaceutical company with a focused immunology franchise. Tegoprubart targets the CD40 ligand (also known as CD40L). Blocking CD40L has been shown to inhibit multiple costimulatory receptors including CD40 and CD11, key components of how immune cells communicate with one another. Blocking CD40L also increases polarization of lymphocytes into Tregs, a specialized subpopulation of T cells that act to suppress immune response.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the central role of CD40L signaling in generating pro-inflammatory responses makes it an attractive candidate for therapeutic intervention in the protection of transplanted organs and the prevention of transplant rejection, as well as modulating immune responses in autoimmune disease, and in neuroinflammation. Blocking the activation of the CD40L pathway has been shown to slow disease progression and pathology in preclinical models of autoimmunity and neurodegeneration, and to prevent acute and long-term allograft transplant rejection in multiple animal species.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focus on the development of tegoprubart for the prevention of rejection of allograft (i.e., transplanting an organ from one human to another) and xenograft (i.e., transplanting an organ from an animal to a human) organs and cells. Our mission is to both extend the functional life of transplanted organ and reduce side effect of current immunosuppressive treatments such as kidney toxicity, high blood pressure, and tremor.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Tegoprubart is being evaluated in multiple kidney transplantation studies, including a Phase 1b trial and a Phase 2 open-label extension study, and was evaluated through our Phase 2 BESTOW trial, each designed to assess safety, pharmacokinetics, and efficacy compared to standard-of-care immunosuppression. Final and interim data suggest improved renal function and reduced immunosuppressive-related adverse events. Additionally, an investigator-initiated islet cell transplantation study has shown potential in achieving insulin independence without the use of calcineurin inhibitors, supporting further exploration in Type 1 diabetes. We also continue to explore xenotransplantation applications, an emerging area of scientific and commercial interest. Our collaboration with eGenesis, Inc. supports preclinical and clinical studies in kidney, heart, and islet cell transplantation. A more complete discussion of the Phase 2 BESTOW clinical data, as well as results from the investigator-initiated islet cell transplantation study, is included in Item 1, </w:t>
      </w:r>
      <w:r>
        <w:rPr>
          <w:rFonts w:ascii="Times New Roman" w:hAnsi="Times New Roman"/>
          <w:i/>
          <w:color w:val="000000"/>
          <w:sz w:val="20"/>
        </w:rPr>
        <w:t xml:space="preserve">Business </w:t>
      </w:r>
      <w:r>
        <w:rPr>
          <w:rFonts w:ascii="Times New Roman" w:hAnsi="Times New Roman"/>
          <w:color w:val="000000"/>
          <w:sz w:val="20"/>
        </w:rPr>
        <w:t>in Part I of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seek guidance from the FDA regarding the design of a potential Phase 3 clinical trial evaluating tegoprubart in kidney transplantation and, subject to regulatory feedback and alignment, may initiate a Phase 3 trial.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2023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28, 2023, we entered into a Securities Purchase Agreement (the “2023 Securities Purchase Agreement”) with certain institutional and accredited investors, pursuant to which we agreed to issue and sell to the investors in a private placement (the “2023 Private Placement”) (i) in an initial closing, (a) an aggregate of 15,151,518 shares (the “Shares”) of our common stock, $0.001 par value per share (“common stock”), or pre-funded warrants in lieu thereof (the “Pre-Funded Warrants”), and (b) common stock warrants exercisable into an aggregate of 15,151,518 shares of common stock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Pre-Funded Warrants in lieu thereof) (the “Common Warrants” and, together with the Pre-Funded Warrants, the “Warrants”); (ii) in a second closing (the “Second Closing”), upon the satisfaction or waiver of specified conditions set forth in the 2023 Securities Purchase Agreement, an aggregate of 20,202,024 shares of common stock (or Pre-Funded Warrants); and (iii) in a third closing (the “Third Closing”), upon the satisfaction or waiver of specified conditions set forth in the 2023 Securities Purchase Agreement, an aggregate of 25,252,530 shares of common stock (or Pre-Funded Warrants), in each case subject to customary adjustments as provided in the 2023 Securities Purchase Agreement, Pre-Funded Warrant or Common Warrant, as applicable. Each Common Warrant has an exercise price of $3.00 per share and expires five years after issuance. The Pre-Funded Warrants are exercisable immediately and until exercised in full, with an exercise price of $0.001 per share. The Pre-Funded Warrants and Common Warrants are subject to specified beneficial ownership limitations, which are generally set at 9.99% of the total common stock then issued and outstanding immediately following the exercise of such warrants, and provided that any beneficial ownership limitation may not exceed 19.99% unless otherwise permitted. The Shares, the Warrants, and the shares of common stock issuable upon the exercise of the Warrants, have not been registered under the Securities Act and were offered pursuant to the exemption from registration provided in Section 4(a)(2) under the Securities Act and Rule 506(b) promulgated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5, 2023, the initial closing occurred, and we received gross proceeds of $35.0 million, or net proceeds of approximately $33.0 million after deducting underwriting discounts and commissions and offering expenses, in exchange for 8,730,168 shares of common stock and Pre-Funded Warrants to purchase 6,421,350 shares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8, 2024, the Second Closing occurred, and the Company received gross proceeds of $2.1 million, or net proceeds of approximately $2.0 million after deducting underwriting discounts and commissions and offering expenses, in exchange for 909,088 shares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2024, and October 1, 2024, the Third Closing occurred, and the Company received gross proceeds of $4.0 million, or net proceeds of approximately $3.8 million after deducting underwriting discounts and commissions and offering expenses, in exchange for 1,727,400 shares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2023 Private Placement, the Company filed on May 18, 2023, a registration statement on Form S-3 (the “2023 Registration Statement”) with the Securities and Exchange Commission (“SEC”) to register for resale the Shares and the shares of common stock issuable upon the exercise of the Warrants. The 2023 Registration Statement became effective on June 2, 2023.</w:t>
      </w:r>
    </w:p>
    <w:p>
      <w:pPr>
        <w:pStyle w:val="TextBody"/>
        <w:bidi w:val="0"/>
        <w:spacing w:before="360" w:after="283"/>
        <w:jc w:val="left"/>
        <w:rPr>
          <w:rFonts w:ascii="Times New Roman" w:hAnsi="Times New Roman"/>
          <w:sz w:val="20"/>
        </w:rPr>
      </w:pPr>
      <w:r>
        <w:rPr>
          <w:rFonts w:ascii="Times New Roman" w:hAnsi="Times New Roman"/>
          <w:b/>
          <w:i/>
          <w:color w:val="000000"/>
          <w:sz w:val="20"/>
        </w:rPr>
        <w:t>Exercise of Pre-Funded Warrants from 2023 Securities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2024, Armistice Capital Master Fund Ltd. (the “Exercising Stockholder”) exercised Pre-Funded Warrants to purchase 600,000 shares of common stock at an exercise price of $0.001 per share, which were issued in conjunction with the 2023 Securities Purchase Agreement. On January 30, 2024, the Company issued 600,000 shares of common stock to the Exercising Stockholder in accordance with such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7, 2024, the Exercising Stockholder exercised Pre-Funded Warrants to purchase 583,000 shares of common stock at an exercise price of $0.001 per share, which were issued in conjunction with the 2023 Securities Purchase Agreement. On May 9, 2024, the Company issued 583,000 shares of common stock to the Exercising Stockholder in accordance with such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11, 2024, the Exercising Stockholder exercised their remaining Pre-Funded Warrants to purchase 240,000 shares of common stock at an exercise price of $0.001 per share, which were issued in conjunction with the 2023 Securities Purchase Agreement. On July 11, 2024, the Company issued 240,000 shares of common stock to the Exercising Stockholder in accordance with such exercise.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6, 2024, we entered into a Securities Purchase Agreement (the “2024 Securities Purchase Agreement”) with certain institutional and accredited investors, pursuant to which we agreed to issue and sell to the investors in a private placement (the “2024 Private Placement”) an aggregate of 13,110,484 shares (the “2024 Shares”) of our common stock at a price of $2.37 per share, and pre-funded warrants (the “2024 Pre-Funded Warrants”) at a price of $2.369 per underlying share, which are exercisable to purchase 7,989,516 shares of common stock at an exercise price of $0.001 per share. The 2024 Pre-Funded Warrants were issued in lieu of shares of common stock and are exercisable immediately and until exercised in full. The 2024 Pre-Funded Warrants are subject to specified beneficial ownership limitations (equal to 4.99%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9.99% as determined by the holder of each such warrant) of the total common stock then issued and outstanding immediately following the exercise of such warrants, and provided that any beneficial ownership limitation may not exceed 19.99% unless otherwise permitted. The 2024 Shares, the 2024 Pre-Funded Warrants, and the shares of common stock issuable upon the exercise of the 2024 Pre-Funded Warrants, have not been registered under the Securities Act and were offered pursuant to the exemption from registration provided in Section 4(a)(2) under the Securities Act and Rule 506(b) promulgated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2024 Private Placement resulted in gross proceeds to the Company of $50.0 million, or net proceeds of approximately $48.1 million after deducting offering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2024 Private Placement, on May 24, 2024, we filed a registration statement on Form S-3 (the “2024 Registration Statement”) with the SEC to register for resale the 2024 Shares and the shares of common stock issuable upon the exercise of the 2024 Pre-Funded Warrants. The 2024 Registration Statement became effective on June 5,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Equity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20, 2024, we entered into an Open Market Sale Agreement (the “Sales Agreement”) with Guggenheim Securities, LLC (“Guggenheim Securities”) to sell shares of our common stock, having aggregate sales proceeds of up to $75.0 million, from time to time, through an “at the market” equity offering program under which Guggenheim Securities will act as sales agent. In connection with the Sales Agreement, we filed on September 20, 2024 a registration statement on Form S-3 containing a prospectus and prospectus supplement (the “Shelf Registration Statement”) with the SEC. The Shelf Registration Statement became effective on October 2, 2024. As of December 31, 2025, we have not sold any shares under the Sales Agreement.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2024, we entered into an underwriting agreement with Leerink Partners, LLC, as representative of the several underwriters named therein in connection with the underwritten offering, issuance and sale by the Company (the “2024 Underwritten Offering”) of 18,356,173 shares of our common stock, at an offering price of $3.65 per share, and pre-funded warrants at a price of $3.649 per pre-funded warrant, which are exercisable to purchase 4,931,507 shares of our common stock at an exercise price of $0.001 per share (the “2024 Offering Pre-Funded Warrants”).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2024 Underwritten Offering closed on October 30, 2024 and resulted in gross proceeds of $85 million, or net proceeds of approximately $79.5 million after deducting underwriting discounts and commissions and offering expenses. The 2024 Underwritten Offering was made pursuant to the Shelf Registration Statement and a prospectus supplement relating to the 2024 Underwritten Offering dated October 29, 2024.</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 holder of the 2024 Offering Pre-Funded Warrants (together with its affiliates) may not exercise any portion of a 2024 Offering Pre-Funded Warrant to the extent that the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the our common stock outstanding immediately after giving effect to the issuance of shares of common stock issuable upon exercise of such 2024 Offering Pre-Funded Warrants.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2025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12, 2025, the Company entered into an underwriting agreement (the “Underwriting Agreement”) with Leerink Partners, LLC, as representative of the several underwriters named therein (the “Underwriters”), in connection with the underwritten public offering and sale by the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was exercised in full by the Underwriters.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2025 Underwritten Offering closed on November 13, 2025 and resulted in gross proceeds of $57.5 million or net proceeds of approximately $53.6 million after deducting the underwriting discounts and commissions and offering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Underwritten Offering was made pursuant to the Shelf Registration Statement and a prospectus supplement relating to the 2025 Underwritten Offering dated November 12,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the Company's common stock outstanding immediately after giving effect to the issuance of shares of common stock issuable upon exercise of such 2025 Offering Pre-Funded Warrant. A holder, A holder, upon notice to the Company, may increase or decrease such beneficial ownership limitation provision, provided that in no event shall the limitation exceed 19.99% of the number of shares of the common stock outstanding immediately after giving effect to the issuance of shares of common stock upon exercise of the 2025 Offering Pre-Funded Warrant may increase or decrease such beneficial ownership limitation, provided that in no event shall the limitation exceed 19.99% of the number of shares of the common stock outstanding immediately after giving effect to the issuance of shares of common stock upon exercise of the 2025 Offering Pre-Funded Warrant.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Warrant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30, 2025, the Company entered into an exchange agreement (the “Warrant Exchange Agreement”) with Coastlands Capital Partners LP, (“Coastlands Capital”), pursuant to which Coastlands Capital agreed to exchange 4,203,764 shares of common stock for a pre-funded warrant to purchase an aggregate of 4,203,764 shares of common stock (the “Exchange Warrant”), and the Company cancelled the 4,203,764 shares of common stock delivered in the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Coastlands Capital (together with its affiliates) may not exercise any portion of the Exchange Warrant to the extent that, after giving effect to such exercise, Coastlands Capital (together with its affiliates and any other persons acting as a group together with Coastlands Capital or any of the its affiliates) would beneficially own in excess of 4.99% of the number of shares of the Company’s common stock outstanding immediately after giving effect to the issuance of shares of common stock issuable upon exercise of the Exchange Warrant. Coastlands Capital may increase or decrease such beneficial ownership limitation, provided that in no event shall the limitation exceed 19.99% of the number of shares of the common stock outstanding immediately after giving effect to the issuance of shares of common stock upon exercise of the Exchange Warrant.</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15,151,518 warrants were exercisable into common stock (after rounding for fractional shares and subject to beneficial ownership conversion blockers). The shares of common stock underlying the registered direct and private placement warrants are registered for offer and sale under the Securities Act pursuant to our effective registration statements on Forms S-3.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Financial Operations Overview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primarily of costs associated with research and development activities and general and administrative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which consist primarily of costs associated with our product research and development efforts, are expensed as incurred. Research and development expenses consist primarily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including salaries, benefits, stock-based compensation and travel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and sites that conduct our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associated with manufacturing materials for use in non-clinical studies and clinical trials and developing external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engaged in research and development activities, including their fees and travel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related to our non-clinical studies and clinical trials and expenses related to our regulatory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our third-party license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that include salaries, benefits and travel expenses for our executive, finance, and other administrative functions, and stock-based compensation expense. General and administrative expenses also include professional fees for expenses incurred under agreements with third parties relating to public relations, audit, tax and legal services, including legal expenses to pursue patent protection of our intellectual property; and our information technology, facilities and other related expenses, including rent, maintenance of facilities, insurance and supplies.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liabilities represents the initial recognition of warrant liabilities at fair value in excess of proceeds received, as well as subsequent period remeasurements of these warrant liabilities at fair value. These remeasurements reflect changes in market conditions, such as fluctuations in stock price, volatility, interest rates, and other valuation inputs that impact the fair value of the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consolidated financial statements, which have been prepared in accordance with accounting principles generally accepted in the United States (“GAAP”).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Accrued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process of preparing our consolidated financial statements, we are required to estimate our accrued research and development expenses. This process involves reviewing open contracts, communicating with our personnel and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CROs in connection with performing research and development services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providers in connection with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vendors in connection with non-clinical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vendors related to product manufacturing, development and distribution of clinical supplies.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base our expenses related to clinical trials on our estimates of the services received and efforts expended pursuant to contracts with multiple CROs that conduct and manage clinical trials on our behalf. The financial terms of these agreements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When determining accruals, we estimate the time period over which services will be performed, enrollment of patients, number of sites activated and level of effort to be expended in each period. If the actual timing of the performance of services or the level of effort varies from our estimate, we adjust the accrual or prepaid accordingly. Although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expect our estimates to be materially different from amounts actually incurred, our understanding of the status and timing of services performed relative to the actual status and timing of services performed may vary and may result in reporting expenses that are too high or too low in any particular period. To date, we have not made any material adjustments to our prior estimates of accrued research and development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all stock-based awards based on the grant-date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publicly traded biotechnology and pharmaceutical companies with comparable business characteristics, clinical stages of development, and organizational scale, including employee headcount, primarily consisting of companies with Phase II or Phase III clinical programs.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Units (“RSU”) are measured and recognized based on the quoted market price of our common stock on the date of grant.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Warrants are accounted for as either derivative liabilities or as equity instruments depending on the specific terms of the underlying agreement. Warrants classified as derivative liabilities are initially recorded at fair value on the issuance date and are remeasured at each reporting period, with changes in fair value recognized in the consolidated statements of operations. Warrants classified as equity instruments are recorded in additional paid-in capital at issuance and are not subject to remeasurement. The Common Warrants are recorded at fair value using the Black-Scholes option-pricing model at issuance, with any subsequent changes in fair value recognized in the consolidated statements of operations. To determine the fair value of the liability classified warrants, a Black-Scholes option-pricing model is used, which considers assumptions that are subjective and require significant judgment and estimation by management. The risk-free rate assumption was based on observed yields from governmental zero-coupon bonds with an equivalent term. The expected volatility assumption was based on a peer group of publicly traded biotechnology and pharmaceutical companies with comparable business characteristics, clinical stages of development, and organizational scale, including employee headcount, primarily consisting of companies with Phase II or Phase III clinical programs. We periodically evaluate changes in facts and circumstances that could impact the classification of warrants.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and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description of recently issued and recently adopted accounting pronouncements that may potentially impact our financial position and results of operations is set forth in </w:t>
      </w:r>
      <w:r>
        <w:rPr>
          <w:rFonts w:ascii="Times New Roman" w:hAnsi="Times New Roman"/>
          <w:i/>
          <w:color w:val="000000"/>
          <w:sz w:val="20"/>
        </w:rPr>
        <w:t>Note 2. Summary of Significant Accounting Policies</w:t>
      </w:r>
      <w:r>
        <w:rPr>
          <w:rFonts w:ascii="Times New Roman" w:hAnsi="Times New Roman"/>
          <w:color w:val="000000"/>
          <w:sz w:val="20"/>
        </w:rPr>
        <w:t>, of the Notes to Financial Statements included in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Trends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economy, including the financial and credit markets, has recently experienced extreme volatility and disruptions, including severely diminished liquidity and credit availability, declines in consumer confidence, declines in economic growth, increases in unemployment rates, elevated inflation and interest rates, changes in U.S. trade policy and uncertainty about economic stability. Likewise, the current conflicts in Ukraine and the Middle East have created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items could materially affect our business, possibly to a significant degree. The severity and duration of any such impacts cannot be predicted. See Item 1A, “Risk Factors” in Part I of this Annual Report on Form 10-K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comparative results of operations for the years ended December 31, 2025 and 2024 (in thousands):</w:t>
      </w:r>
    </w:p>
    <w:p>
      <w:pPr>
        <w:pStyle w:val="TextBody"/>
        <w:bidi w:val="0"/>
        <w:jc w:val="left"/>
        <w:rPr/>
      </w:pPr>
      <w:r>
        <w:rPr/>
        <w:t> </w:t>
      </w:r>
    </w:p>
    <w:tbl>
      <w:tblPr>
        <w:tblW w:w="10046" w:type="dxa"/>
        <w:jc w:val="left"/>
        <w:tblInd w:w="0" w:type="dxa"/>
        <w:tblLayout w:type="fixed"/>
        <w:tblCellMar>
          <w:top w:w="28" w:type="dxa"/>
          <w:left w:w="28" w:type="dxa"/>
          <w:bottom w:w="28" w:type="dxa"/>
          <w:right w:w="28" w:type="dxa"/>
        </w:tblCellMar>
      </w:tblPr>
      <w:tblGrid>
        <w:gridCol w:w="4431"/>
        <w:gridCol w:w="146"/>
        <w:gridCol w:w="211"/>
        <w:gridCol w:w="736"/>
        <w:gridCol w:w="166"/>
        <w:gridCol w:w="146"/>
        <w:gridCol w:w="211"/>
        <w:gridCol w:w="736"/>
        <w:gridCol w:w="166"/>
        <w:gridCol w:w="146"/>
        <w:gridCol w:w="211"/>
        <w:gridCol w:w="736"/>
        <w:gridCol w:w="166"/>
        <w:gridCol w:w="146"/>
        <w:gridCol w:w="227"/>
        <w:gridCol w:w="749"/>
        <w:gridCol w:w="716"/>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Variance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period-over-period changes in research and development expenses for the periods presented (in thousands):</w:t>
      </w:r>
    </w:p>
    <w:tbl>
      <w:tblPr>
        <w:tblW w:w="7538" w:type="dxa"/>
        <w:jc w:val="left"/>
        <w:tblInd w:w="0" w:type="dxa"/>
        <w:tblLayout w:type="fixed"/>
        <w:tblCellMar>
          <w:top w:w="28" w:type="dxa"/>
          <w:left w:w="28" w:type="dxa"/>
          <w:bottom w:w="28" w:type="dxa"/>
          <w:right w:w="28" w:type="dxa"/>
        </w:tblCellMar>
      </w:tblPr>
      <w:tblGrid>
        <w:gridCol w:w="3916"/>
        <w:gridCol w:w="146"/>
        <w:gridCol w:w="211"/>
        <w:gridCol w:w="676"/>
        <w:gridCol w:w="166"/>
        <w:gridCol w:w="146"/>
        <w:gridCol w:w="211"/>
        <w:gridCol w:w="676"/>
        <w:gridCol w:w="146"/>
        <w:gridCol w:w="146"/>
        <w:gridCol w:w="211"/>
        <w:gridCol w:w="676"/>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Tegoprubart - kidney transplantation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Tegoprubart - 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$14.3 million for the year ended December 31, 2025, compared to the year ended December 31, 2024. The increase was primarily attributable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$8.5 million in Tegoprubart - kidney transplantation programs, primarily driven by higher external CRO costs, related to increased activities in our Phase 1b, Phase 2 BESTOW and Phase 2 open-label extension trials for kidney transplantation;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$0.5 million in Tegoprubart - other development programs, primarily external CRO costs, related to the close-out of activities of our terminated IgAN program in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$2.5 million in manufacturing costs, primarily contract manufacturing organization expenses, associated with increased production of drug substance and drug product clinical trial supply;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$3.7 million in personnel-related expenses, driven by increased headcount supporting ongoing clinical development programs.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period-over-period changes in general and administrative expenses for the periods presented (in thousands):</w:t>
      </w:r>
    </w:p>
    <w:p>
      <w:pPr>
        <w:pStyle w:val="TextBody"/>
        <w:bidi w:val="0"/>
        <w:spacing w:before="120" w:after="283"/>
        <w:jc w:val="left"/>
        <w:rPr/>
      </w:pPr>
      <w:r>
        <w:rPr/>
        <w:t> </w:t>
      </w:r>
    </w:p>
    <w:tbl>
      <w:tblPr>
        <w:tblW w:w="7098"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11"/>
        <w:gridCol w:w="676"/>
        <w:gridCol w:w="146"/>
        <w:gridCol w:w="146"/>
        <w:gridCol w:w="211"/>
        <w:gridCol w:w="631"/>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$1.6 million for the year ended December 31, 2025, compared to the year ended December 31, 2024. The decrease was primarily attributable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$0.9 million in professional and consulting fees, primarily due to increased audit and legal service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$0.1 million in personnel-related expenses driven by higher headcount; and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$2.6 million in stock-based compensation expense, attributable to performance-based stock options granted in 2024.</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$0.3 million increase in other income, net was primarily due to an increase in interest income, driven by higher balances of our cash and cash equivalents and short-term investments during the year ended December 31, 2025 as compared to the year ended December 31,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the fair value of warrant liabilities decreased by $33.4 million. This change was primarily driven by a decrease in the fair value of the Common Warrants, reflecting a decline in the Company’s stock price during the period. The warrant liability declined from $44.9 million as of December 31, 2024 to $11.4 million as of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provision for income taxes for the year ended December 31, 2025 and 2024 was $35 thousand and $0.4 million, respectively. The higher income tax expense in 2024 versus income tax expense in 2025 was the result of a larger change in the effective state tax rate used to remeasure the deferred tax liability related to indefinite-lived assets in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Company had cash and cash equivalents and short-term investments of $133.3 million, working capital of $117.3 million and an accumulated deficit of $401.2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have any approved products for commercial sale and have never generated revenue from product sales and have incurred significant net losses since our inception and expect to continue to incur net operating losses for the foreseeable future. We do not expect to receive any revenue from any product candidates that we develop unless and until we obtain regulatory approval and commercialize our product candidates or enter into collaborative arrangements with third parties. We currently have no credit facility or committed sources of capital. To date, our operations have been financed primarily by net proceeds from the sale of preferred and common stock, and the sale of warrants. Additionally, in view of our expectation to incur significant losses for the foreseeable future we will be required to raise additional capital resources in the future in order to fund our operations, although the availability of, and our access to, such resources is not assured.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liquidity estimates and our current resources, we have concluded that we have sufficient cash resources to meet our anticipated cash needs through at least the next 12 months from the date of this report. We have based this estimate on assumptions that may prove to be incorrect, and we could utilize our available resources sooner than we currently expect. To finance our operations beyond that point we will need to raise additional capital, which cannot be assured. Further, from time to time, our operating plans may change, and we may need additional funds to meet operational needs for clinical studies sooner than planned or to fund additional clinical studies. For example, we do not currently have sufficient liquidity to fund the continued clinical development of tegoprubart for people with ALS without additional financing. We will continue to monitor our liquidity position in light of various financing alternatives and may pursue additional financing or other alternatives to allow us to continue our product development. However, there can be no assurance such financing or other alternatives will be available to us on acceptable terms, or at all, which could force us to significantly alter our business strategy, substantially curtail our current operations, or liquidate and cease operations altogether.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of clinical research and development expenses, manufacturing expenses, legal and compliance expenses, compensation and related expenses, and general overhead costs. Cash used to fund operating expenses is impacted by the timing of when we pay or prepay these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to increase in connection with our ongoing activities, particularly as we expand our clinical program with tegoprubart and,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require additional financing in order to advance our drug product through clinical development, to manufacture, obtain regulatory approval for and to commercialize our product candidates, to develop, acquire or in-license other potential product candidates, and to fund operations for the foreseeable future. Therefore, we will seek to raise additional capital through equity offerings, debt financings or other capital sources, including potentially collaborations, licenses and other similar arrangements. The ability to raise substantial additional capital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our ongoing and future clinical trials of tegoprubart, including as such activities may be adversely impacted by global events or macroeconomic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macroeconomic trends and uncertainties, which continue to experience volatility and disruptions, including diminished liquidity and credit availability, declines in consumer confidence, declines in economic growth, increases in unemployment rates, increases in inflation rates, rising interest rates and uncertainty about economic stability;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indications we decide to pursue for tegoprubart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regulatory review of any biologics license application, or BLA, we may submit for tegoprubart;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manufacturing for tegoprubart,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tegoprubart;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commercializing tegoprubart, if approved for commercial sale.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Conditions in the financial and credit markets may also limit the availability of funding or increase the cost of funding. As a result of any of the foregoing factors, adequate additional funding may not be available to us on acceptable terms on a timely basis, or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The issuance of shares of common stock in the 2023 Private Placement, the 2024 Private Placement, the 2024 Underwritten Offering and the 2025 Underwritten Offering diluted the ownership interests of our existing stockholders, and to the extent that we raise additional capital through the sale of additional equity, including through our “at the market” equity offering program, or convertible debt securities in the future, our stockholders’ ownership interests may be further diluted, and the terms of these securities may also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raise funds through collaborations, licenses and other similar arrangements with third parties, we may have to relinquish valuable rights to our technologies, future revenue streams, research programs or product candidates or to grant licenses on terms that may not be favorable to us. Please see Part I, Item 1A. </w:t>
      </w:r>
      <w:r>
        <w:rPr>
          <w:rFonts w:ascii="Times New Roman" w:hAnsi="Times New Roman"/>
          <w:i/>
          <w:color w:val="000000"/>
          <w:sz w:val="20"/>
        </w:rPr>
        <w:t>Risk Factors</w:t>
      </w:r>
      <w:r>
        <w:rPr>
          <w:rFonts w:ascii="Times New Roman" w:hAnsi="Times New Roman"/>
          <w:color w:val="000000"/>
          <w:sz w:val="20"/>
        </w:rPr>
        <w:t xml:space="preserve"> of this Annual Report on Form 10-K for additional risks associated with our substantial capital requirements and the challenges we may face in raising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lease our office facilities in Irvine, California and Burlington, Massachusetts under non-cancelable operating leases that expire in June 2027 and November 2027, respectively. As of December 31, 2025, we expect to make total lease payments of $0.7 million through November 2027.</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enter into contracts in the normal course of business with third-party contract organizations for preclinical and clinical studies, manufacture and supply of our preclinical and clinical materials and providing other services and products for operating purposes. Contracts for preclinical and clinical studies and other services generally provide for termination following a certain period after notice, and therefore we believe that our non-cancelable obligations under these agreements are not material. We do not have any long-term manufacturing and supply agreements with our third-party contract manufacturers but enter into specific contracts on an as needed basis for individual batch production runs (See </w:t>
      </w:r>
      <w:r>
        <w:rPr>
          <w:rFonts w:ascii="Times New Roman" w:hAnsi="Times New Roman"/>
          <w:i/>
          <w:color w:val="000000"/>
          <w:sz w:val="20"/>
        </w:rPr>
        <w:t xml:space="preserve">Note 7. Commitments and Contingencies </w:t>
      </w:r>
      <w:r>
        <w:rPr>
          <w:rFonts w:ascii="Times New Roman" w:hAnsi="Times New Roman"/>
          <w:color w:val="000000"/>
          <w:sz w:val="20"/>
        </w:rPr>
        <w:t>of the Notes to Financial Statements included in this Annual Report on Form 10-K for contract obligations due within the next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our net cash flow activity for the years ended December 31, 2025 and 2024 (in thousands):</w:t>
      </w:r>
    </w:p>
    <w:p>
      <w:pPr>
        <w:pStyle w:val="TextBody"/>
        <w:bidi w:val="0"/>
        <w:jc w:val="left"/>
        <w:rPr/>
      </w:pPr>
      <w:r>
        <w:rPr/>
        <w:t> </w:t>
      </w:r>
    </w:p>
    <w:tbl>
      <w:tblPr>
        <w:tblW w:w="8068"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81"/>
        <w:gridCol w:w="166"/>
        <w:gridCol w:w="146"/>
        <w:gridCol w:w="211"/>
        <w:gridCol w:w="73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$62.3 million for the year ended December 31, 2025, reflecting a net loss of $45.6 million. Adjustments for certain non-cash items including a $33.4 million change in fair value of warrant liabilities due to decreased stock price and $10.5 million of stock-based compensation. The change in cash used in operating assets and liabilities was $7.7 million, primarily driven by an increase in accrued expenses as a result of kidney transplantation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$47.3 million for the year ended December 31, 2024, reflecting a net loss of $36.2 million. Operating activities include adjustments for certain non-cash charges including $30.9 million due to a change in fair value of warrant liabilities and fair value of financial instruments issued in excess of proceeds and $13.1 million of stock-based compensation. Net operating assets and liabilities changed by $8.7 million, primarily driven by an increase in accounts payable and accrued expense as of result of kidney transplantation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year ended December 31, 2025 was $10.8 million. We purchased $161.1 million of short-term investments, which was offset by the maturing of $171.9 million of our short-term investments during the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2024 was $70.3 million. We purchased $156.1 million of short-term investments, which was partially offset by the maturing of $85.8 million of our short-term investments during the year.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2025 was $53.8 million, which consisted of the 2025 Underwritten Offering, totaling $53.6 million in net proceeds from the sale of 19.7 million shares of common stock and 15.2 million pre-funded warrants to purchase common stock and $0.2 million from exercise of stock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2024 was $133.5 million, which consisted of the following: $79.5 million in net proceeds from the 2024 Underwritten Offering, involving the sale of 18.4 million shares of the common stock and pre-funded warrants to purchase 4.9 million shares of common stock; $48.1 million in net proceeds from the 2024 Private Placement, involving the sale of 13.1 million shares of common stock and pre-funded warrants to purchase 8.0 million shares of common stock; $1.9 million in net proceeds from the Second Closing, involving the sale of 0.9 million shares of common stock; $3.8 million in net proceeds from the Third Closing, involving the sale of 1.7 million shares of common stock; and $0.2 million from exercise of stock options. </w:t>
      </w:r>
    </w:p>
    <w:p>
      <w:pPr>
        <w:pStyle w:val="TextBody"/>
        <w:bidi w:val="0"/>
        <w:spacing w:before="36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§229.305 of Regulation S-K, the Company, designated a Smaller Reporting Company as defined in §229.10(f)(1) of Regulation S-K, is not required to provide the disclosure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Report of Independent Registered Public Accounting Firm, our consolidated financial statements and accompanying notes listed under Part IV, Item 15. </w:t>
      </w:r>
      <w:r>
        <w:rPr>
          <w:rFonts w:ascii="Times New Roman" w:hAnsi="Times New Roman"/>
          <w:i/>
          <w:color w:val="000000"/>
          <w:sz w:val="20"/>
        </w:rPr>
        <w:t xml:space="preserve">Exhibits and Financial Statement Schedules </w:t>
      </w:r>
      <w:r>
        <w:rPr>
          <w:rFonts w:ascii="Times New Roman" w:hAnsi="Times New Roman"/>
          <w:color w:val="000000"/>
          <w:sz w:val="20"/>
        </w:rPr>
        <w:t>of this Annual Report on Form 10-K are set forth beginning on page F-1 immediately following the signature page hereof and incorporated by reference herein.</w:t>
      </w:r>
    </w:p>
    <w:p>
      <w:pPr>
        <w:pStyle w:val="TextBody"/>
        <w:bidi w:val="0"/>
        <w:spacing w:before="360" w:after="283"/>
        <w:jc w:val="left"/>
        <w:rPr>
          <w:rFonts w:ascii="Times New Roman" w:hAnsi="Times New Roman"/>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the period covered by this Annual Report on Form 10-K, our management, with the participation of our principal executive officer and principal financial officer, evaluated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Based on this evaluation, management concluded that our disclosure controls and procedures were effective at the reasonable assurance level as of December 31,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Our internal control system is designed to provide reasonable assurance to our management and Board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management has assessed the effectiveness of our internal control over financial reporting as of December 31, 2025. In making this assessment, management used the criteria set forth by the Committee of Sponsoring Organizations of the Treadway Commission (“COSO Framework”) in its 2013 </w:t>
      </w:r>
      <w:r>
        <w:rPr>
          <w:rFonts w:ascii="Times New Roman" w:hAnsi="Times New Roman"/>
          <w:i/>
          <w:color w:val="000000"/>
          <w:sz w:val="20"/>
        </w:rPr>
        <w:t>Internal Control—Integrated Framework.</w:t>
      </w:r>
      <w:r>
        <w:rPr>
          <w:rFonts w:ascii="Times New Roman" w:hAnsi="Times New Roman"/>
          <w:color w:val="000000"/>
          <w:sz w:val="20"/>
        </w:rPr>
        <w:t xml:space="preserve">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Based on this assessment, our management has concluded that as of December 31, 2025, our internal control over financial reporting was effective.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As a non-accelerated filer, this Annual Report on Form 10-K does not include an attestation report on our internal control over financial reporting issued by the Company’s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Completed Remediation of Prior Years' Material Weakness</w:t>
      </w:r>
    </w:p>
    <w:p>
      <w:pPr>
        <w:pStyle w:val="TextBody"/>
        <w:bidi w:val="0"/>
        <w:spacing w:before="120" w:after="283"/>
        <w:jc w:val="left"/>
        <w:rPr>
          <w:rFonts w:ascii="Times New Roman" w:hAnsi="Times New Roman"/>
          <w:sz w:val="20"/>
        </w:rPr>
      </w:pPr>
      <w:r>
        <w:rPr>
          <w:rFonts w:ascii="Times New Roman" w:hAnsi="Times New Roman"/>
          <w:color w:val="000000"/>
          <w:sz w:val="20"/>
        </w:rPr>
        <w:t>In the course of preparing our unaudited condensed consolidated financial statements as of and for the three and six months ended June 30, 2025, our management concluded that the Series X and Series X</w:t>
      </w:r>
      <w:r>
        <w:rPr>
          <w:rFonts w:ascii="Times New Roman" w:hAnsi="Times New Roman"/>
          <w:color w:val="000000"/>
          <w:sz w:val="13"/>
        </w:rPr>
        <w:t>1</w:t>
      </w:r>
      <w:r>
        <w:rPr>
          <w:rFonts w:ascii="Times New Roman" w:hAnsi="Times New Roman"/>
          <w:color w:val="000000"/>
          <w:sz w:val="20"/>
        </w:rPr>
        <w:t xml:space="preserve"> non-voting convertible preferred stock, $0.001 par value (“Preferred Stock”) should be treated as a separate class of common stock for purposes of calculating earnings per share in accordance with Accounting Standards Codification (“ASC”) 260-10, “Earnings Per Share” and the Company must instead present earnings per share under the two-class method. Additionally, our management concluded that the Preferred Stock does not meet the criteria for permanent equity classification and must be classified as temporary equity under ASC 480-10-S99-3A.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determination resulted in the restatements of our financial statements in our Quarterly Report on Form 10-Q for the quarter ended September 30, 2025 (as to the three and nine months ended September 30, 2024), our Quarterly Report on Form 10-Q for the quarter ended June 30, 2025 (as to the three and six months ended June 30, 2024), our Quarterly Report on Form 10-Q/A for the three months ended March 31, 2025, and our Annual Report on Form 10-K/A for the year ended December 31, 2024 (together, the “Impacted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as previously disclosed in our Annual Report on Form 10-K/A for the year ended December 31, 2024, our management, including our principal executive officer and principal financial officer, determined that there existed a material weakness in our internal control over financial reporting related to our accounting for equity instruments for the periods covered by each of the Impacted Reports. A material weakness is a deficiency, or a combination of deficiencies, in the internal control over financial reporting, such that there is a reasonable possibility that a material misstatement of our annual or interim consolidated financial statements will not be prevented or detected on a timely basis. Specifically, our management determined that we did not maintain effective controls to timely identify and account for equity instruments with complex terms, including certain provisions within our Preferred Stock. This material weakness resulted in the material misstatement of each of the Impacted Reports.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As previously disclosed, in August 2025, the Company immediately implemented a plan to address and remediate the material weakness described above and to improve our internal control over financial reporting. As part of the remediation plan, management identified and implemented a number of actions including, but not limited to, the following 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Engaged with external technical accounting experts to advise and review all equity instruments, ensuring appropriate technical analysis, documentation, and oversight prior to the preparation of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Implemented an accounting standards compliance process to ensure timely adoption and assessment of evolving accounting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Strengthened financial disclosure and technical guidance resources.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During the fourth quarter of the year ended December 31, 2025, we successfully completed the testing necessary to conclude that the material weakness has been remediated. As such, management, including our principal executive officer and principal financial officer, have concluded that the plan and actions described above were satisfactorily executed and the related policies, procedures and controls have been implemented, operated effectively and tested satisfactorily for a sufficient period of time to demonstrate that the previously identified material weakness has been remediated as of December 31, 2025. The Company is committed to evaluating and monitoring adherence to the established policies and procedures listed above.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or 15d-15(f) of the Exchange Act) during the quarter ended December 31, 2025, that have materially affected, or are reasonably likely to materially affect, our internal control over financial reporting.</w:t>
      </w:r>
    </w:p>
    <w:p>
      <w:pPr>
        <w:pStyle w:val="TextBody"/>
        <w:bidi w:val="0"/>
        <w:spacing w:before="360" w:after="283"/>
        <w:jc w:val="left"/>
        <w:rPr>
          <w:rFonts w:ascii="Times New Roman" w:hAnsi="Times New Roman"/>
          <w:sz w:val="20"/>
        </w:rPr>
      </w:pPr>
      <w:bookmarkStart w:id="19" w:name="item_9b_or_information"/>
      <w:bookmarkEnd w:id="19"/>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0" w:name="item_9c_disclosure_regarding_foreign_jur"/>
      <w:bookmarkEnd w:id="20"/>
      <w:r>
        <w:rPr>
          <w:rFonts w:ascii="Times New Roman" w:hAnsi="Times New Roman"/>
          <w:b/>
          <w:color w:val="000000"/>
          <w:sz w:val="20"/>
        </w:rPr>
        <w:t>Item 9C. Disclosure Regarding Foreign Jurisdictions that Prevent Inspection.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360" w:after="283"/>
        <w:jc w:val="left"/>
        <w:rPr>
          <w:rFonts w:ascii="Times New Roman" w:hAnsi="Times New Roman"/>
          <w:sz w:val="20"/>
        </w:rPr>
      </w:pPr>
      <w:bookmarkStart w:id="22" w:name="item_10_directors_executive_ficers_corpo"/>
      <w:bookmarkEnd w:id="22"/>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information required by this Item 10 is incorporated herein by reference to information in our proxy statement for our 2026 Annual Meeting of Stockholders (the “2026 Proxy Statement”), which we expect to be filed with the SEC within 120 days of the end of our fiscal year ended December 31, 2025, including under headings “</w:t>
      </w:r>
      <w:r>
        <w:rPr>
          <w:rFonts w:ascii="Times New Roman" w:hAnsi="Times New Roman"/>
          <w:color w:val="000000"/>
          <w:sz w:val="20"/>
          <w:u w:val="single"/>
        </w:rPr>
        <w:t>Proposal 1:</w:t>
      </w:r>
      <w:r>
        <w:rPr>
          <w:rFonts w:ascii="Times New Roman" w:hAnsi="Times New Roman"/>
          <w:color w:val="000000"/>
          <w:sz w:val="20"/>
        </w:rPr>
        <w:t xml:space="preserve"> Board of Directors and Corporate Governance—Election of Class III Directors,” “Executive Officers,” “Corporate Governance—Director Nomination Process,” “ Corporate Governance—Committees of the Board,” and “Corporate Governance—Insider Trading Policy and Procedures.”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available on the Corporate Governance section of our website, which is located at </w:t>
      </w:r>
      <w:r>
        <w:rPr>
          <w:rFonts w:ascii="Times New Roman" w:hAnsi="Times New Roman"/>
          <w:i/>
          <w:color w:val="000000"/>
          <w:sz w:val="20"/>
        </w:rPr>
        <w:t>http://ir.eledon.com/corporate-governance/governance-overview</w:t>
      </w:r>
      <w:r>
        <w:rPr>
          <w:rFonts w:ascii="Times New Roman" w:hAnsi="Times New Roman"/>
          <w:color w:val="000000"/>
          <w:sz w:val="20"/>
        </w:rPr>
        <w:t>. We intend to disclose on our website any amendments to, or waivers from, the code of business conduct and ethics that are required to be disclosed pursuant to the disclosure requirements of Item 5.05 of Form 8-K within four business days following the date of the amendment or waiver.</w:t>
      </w:r>
    </w:p>
    <w:p>
      <w:pPr>
        <w:pStyle w:val="TextBody"/>
        <w:bidi w:val="0"/>
        <w:spacing w:before="360" w:after="283"/>
        <w:jc w:val="left"/>
        <w:rPr>
          <w:rFonts w:ascii="Times New Roman" w:hAnsi="Times New Roman"/>
          <w:b/>
          <w:color w:val="000000"/>
          <w:sz w:val="20"/>
        </w:rPr>
      </w:pPr>
      <w:bookmarkStart w:id="23" w:name="item_11_executive_compensation"/>
      <w:bookmarkEnd w:id="23"/>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11 is incorporated herein by reference to information in our 2026 Proxy Statement, including under headings “Executive Compensation,” and “Director Compensation.”</w:t>
      </w:r>
    </w:p>
    <w:p>
      <w:pPr>
        <w:pStyle w:val="TextBody"/>
        <w:bidi w:val="0"/>
        <w:spacing w:before="360" w:after="283"/>
        <w:jc w:val="left"/>
        <w:rPr>
          <w:rFonts w:ascii="Times New Roman" w:hAnsi="Times New Roman"/>
          <w:b/>
          <w:color w:val="000000"/>
          <w:sz w:val="20"/>
        </w:rPr>
      </w:pPr>
      <w:bookmarkStart w:id="24" w:name="item_12_beneficial_owner_stockholder"/>
      <w:bookmarkEnd w:id="24"/>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12 is incorporated herein by reference to information in our 2026 Proxy Statement, including under headings “Stock Ownership and Reporting—Security Ownership of Certain Beneficial Owners and Management” and “Securities Authorized for Issuance Under Equity Compensation Plans.”</w:t>
      </w:r>
    </w:p>
    <w:p>
      <w:pPr>
        <w:pStyle w:val="TextBody"/>
        <w:bidi w:val="0"/>
        <w:spacing w:before="360" w:after="283"/>
        <w:jc w:val="left"/>
        <w:rPr>
          <w:rFonts w:ascii="Times New Roman" w:hAnsi="Times New Roman"/>
          <w:b/>
          <w:color w:val="000000"/>
          <w:sz w:val="20"/>
        </w:rPr>
      </w:pPr>
      <w:bookmarkStart w:id="25" w:name="item_13_related_party_transactions"/>
      <w:bookmarkEnd w:id="25"/>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13 is incorporated herein by reference to information in our 2026 Proxy Statement, including under headings “Corporate Governance—Policies and Procedures for Related Person Transactions,” “Corporate Governance,” and “Corporate Governance—Committees of the Board.”</w:t>
      </w:r>
    </w:p>
    <w:p>
      <w:pPr>
        <w:pStyle w:val="TextBody"/>
        <w:bidi w:val="0"/>
        <w:spacing w:before="360" w:after="283"/>
        <w:jc w:val="left"/>
        <w:rPr>
          <w:rFonts w:ascii="Times New Roman" w:hAnsi="Times New Roman"/>
          <w:b/>
          <w:color w:val="000000"/>
          <w:sz w:val="20"/>
        </w:rPr>
      </w:pPr>
      <w:bookmarkStart w:id="26" w:name="item_14_principal_accounting_fees"/>
      <w:bookmarkEnd w:id="26"/>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14 is incorporated herein by reference to information in our 2026 Proxy Statement, including under headings “Independent Registered Public Accounting Firm—Audit Fees and Services” and “Independent Registered Public Accounting Firm—Pre-Approval Policies and Procedures.”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sz w:val="20"/>
        </w:rPr>
      </w:pPr>
      <w:bookmarkStart w:id="28" w:name="item_15_exhibits_financial_statement_sch"/>
      <w:bookmarkEnd w:id="28"/>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of Independent Registered Public Accounting Firm, our consolidated financial statements and accompanying notes are set forth beginning on page F-1 immediately following the signature page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financial statement schedules are omitted as they are either not applicable or the information required is presented in the financial statements and notes thereto under Part II, Item 8. </w:t>
      </w:r>
      <w:r>
        <w:rPr>
          <w:rFonts w:ascii="Times New Roman" w:hAnsi="Times New Roman"/>
          <w:i/>
          <w:color w:val="000000"/>
          <w:sz w:val="20"/>
        </w:rPr>
        <w:t>Financial Statements and Supplementary Data</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843"/>
        <w:gridCol w:w="146"/>
        <w:gridCol w:w="511"/>
        <w:gridCol w:w="146"/>
        <w:gridCol w:w="703"/>
        <w:gridCol w:w="146"/>
        <w:gridCol w:w="631"/>
        <w:gridCol w:w="146"/>
        <w:gridCol w:w="1108"/>
        <w:gridCol w:w="146"/>
        <w:gridCol w:w="827"/>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Filed</w:t>
            </w:r>
            <w:r>
              <w:rPr>
                <w:rFonts w:ascii="Times New Roman" w:hAnsi="Times New Roman"/>
                <w:color w:val="000000"/>
                <w:sz w:val="16"/>
              </w:rPr>
              <w:t xml:space="preserve"> </w:t>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00"/>
                  <w:sz w:val="20"/>
                </w:rPr>
                <w:t>Restated Certificate of Incorporation of Novus Therapeutics, Inc., a Delaware corporation, dated September 22, 2014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 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00"/>
                  <w:sz w:val="20"/>
                </w:rPr>
                <w:t>Certificate of Amendment to Certificate of Incorporation of Novus Therapeutics, Inc. (effecting, among other things a reverse stock-split), filed with the Secretary of the State of Delaware on May 9, 2017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15,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00"/>
                  <w:sz w:val="20"/>
                </w:rPr>
                <w:t>Certificate of Amendment to Certificate of Incorporation of Novus Therapeutics, Inc. (effecting, among other things a change in the corporation’s name to “Novus Therapeutics, Inc.”), filed with the Secretary of the State of Delaware on May 9, 2017</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15, 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00"/>
                  <w:sz w:val="20"/>
                </w:rPr>
                <w:t>Certificate of Amendment to the Restated Certificate of Incorporation of Novus Therapeutics, Inc., (effecting, among other things a reverse stock-split) effective as of October 5, 2020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6003"/>
        <w:gridCol w:w="146"/>
        <w:gridCol w:w="306"/>
        <w:gridCol w:w="146"/>
        <w:gridCol w:w="729"/>
        <w:gridCol w:w="146"/>
        <w:gridCol w:w="361"/>
        <w:gridCol w:w="146"/>
        <w:gridCol w:w="1161"/>
        <w:gridCol w:w="146"/>
        <w:gridCol w:w="28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00"/>
                  <w:sz w:val="20"/>
                </w:rPr>
                <w:t>Certificate of Amendment to the Restated Certificate of Incorporation of Novus Therapeutics, Inc., (effecting, among other things a change in the corporation’s name to “Eledon Pharmaceuticals, Inc.”) effective as of January 5,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5,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00"/>
                  <w:sz w:val="20"/>
                </w:rPr>
                <w:t>Certificate of Amendment to the Restated Certificate of Incorporation, as amended, of Eledon Pharmaceuticals, Inc., (effecting an increase in authorized shares of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June 12,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3.7</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00"/>
                  <w:sz w:val="20"/>
                </w:rPr>
                <w:t>Certificate of Amendment to the Restated Certificate of Incorporation, as amended, of Eledon Pharmaceuticals, Inc., (providing for exculpation of certain officers)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June 12,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00"/>
                  <w:sz w:val="20"/>
                </w:rPr>
                <w:t>Amended and Restated Bylaws of Eledon Pharmaceuticals,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5,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00"/>
                  <w:sz w:val="20"/>
                </w:rPr>
                <w:t>Certificate of Designations of Series X Convertible Preferred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19,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00"/>
                  <w:sz w:val="20"/>
                </w:rPr>
                <w:t>Certificate of Designations of Series X</w:t>
              </w:r>
            </w:hyperlink>
            <w:hyperlink r:id="rId16">
              <w:r>
                <w:rPr>
                  <w:rStyle w:val="InternetLink"/>
                  <w:rFonts w:ascii="Times New Roman" w:hAnsi="Times New Roman"/>
                  <w:color w:val="000000"/>
                  <w:sz w:val="13"/>
                </w:rPr>
                <w:t>1</w:t>
              </w:r>
            </w:hyperlink>
            <w:hyperlink r:id="rId17">
              <w:r>
                <w:rPr>
                  <w:rStyle w:val="InternetLink"/>
                  <w:rFonts w:ascii="Times New Roman" w:hAnsi="Times New Roman"/>
                  <w:color w:val="000000"/>
                  <w:sz w:val="20"/>
                </w:rPr>
                <w:t xml:space="preserve"> Convertible Preferred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15,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00"/>
                  <w:sz w:val="20"/>
                </w:rPr>
                <w:t>Form of Common Stock Purchase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16,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00"/>
                  <w:sz w:val="20"/>
                </w:rPr>
                <w:t>Form of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00"/>
                  <w:sz w:val="20"/>
                </w:rPr>
                <w:t>Form of Tranche A Warrant to Purchase Common Stock or Pre-Funded Warrants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00"/>
                  <w:sz w:val="20"/>
                </w:rPr>
                <w:t>Form of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00"/>
                  <w:sz w:val="20"/>
                </w:rPr>
                <w:t>Form of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00"/>
                  <w:sz w:val="20"/>
                </w:rPr>
                <w:t>Form of Pre-Funded Warrant to Purchase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November 13,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4.7</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jc w:val="left"/>
              <w:rPr/>
            </w:pPr>
            <w:hyperlink r:id="rId24">
              <w:r>
                <w:rPr>
                  <w:rStyle w:val="InternetLink"/>
                  <w:rFonts w:ascii="Times New Roman" w:hAnsi="Times New Roman"/>
                  <w:color w:val="000000"/>
                  <w:sz w:val="20"/>
                </w:rPr>
                <w:t>Form of Exchange Warrant</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January 2, 2026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4.8</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jc w:val="left"/>
              <w:rPr/>
            </w:pPr>
            <w:hyperlink w:anchor="eldn-ex4_8.htm">
              <w:r>
                <w:rPr>
                  <w:rStyle w:val="InternetLink"/>
                  <w:rFonts w:ascii="Times New Roman" w:hAnsi="Times New Roman"/>
                  <w:color w:val="000000"/>
                  <w:sz w:val="20"/>
                </w:rPr>
                <w:t>Description of Securities</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7"/>
        <w:gridCol w:w="146"/>
        <w:gridCol w:w="5374"/>
        <w:gridCol w:w="146"/>
        <w:gridCol w:w="427"/>
        <w:gridCol w:w="146"/>
        <w:gridCol w:w="877"/>
        <w:gridCol w:w="146"/>
        <w:gridCol w:w="571"/>
        <w:gridCol w:w="146"/>
        <w:gridCol w:w="1250"/>
        <w:gridCol w:w="146"/>
        <w:gridCol w:w="193"/>
      </w:tblGrid>
      <w:tr>
        <w:trPr/>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00"/>
                  <w:sz w:val="20"/>
                </w:rPr>
                <w:t>Open Market Sales Agreement by and between the Registrant and Guggenheim Securities, LLC dated September 20,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00"/>
                  <w:sz w:val="20"/>
                </w:rPr>
                <w:t>Form of Indemnification Agreement to be entered into with each of the directors and officers of Eledon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00"/>
                  <w:sz w:val="20"/>
                </w:rPr>
                <w:t>Fourth Amendment to Lease Agreement, dated March 12, 2024, by and between Newport Gateway Office LLC and Eledon Pharmaceuticals,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10.7</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00"/>
                  <w:sz w:val="20"/>
                </w:rPr>
                <w:t>Lease Agreement, dated September 4, 2024, by and between Blanchard Group LLC and Eledon Pharmaceuticals,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10.8</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10.5</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00"/>
                  <w:sz w:val="20"/>
                </w:rPr>
                <w:t>Tokai Pharmaceuticals, Inc. 2014 Stock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w:t>
            </w:r>
            <w:r>
              <w:rPr>
                <w:rFonts w:ascii="Times New Roman" w:hAnsi="Times New Roman"/>
                <w:color w:val="000000"/>
                <w:sz w:val="16"/>
              </w:rPr>
              <w:t>*</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00"/>
                  <w:sz w:val="20"/>
                </w:rPr>
                <w:t>Novus Therapeutics, Inc., 2014 Employee Stock Purchase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10.7</w:t>
            </w:r>
            <w:r>
              <w:rPr>
                <w:rFonts w:ascii="Times New Roman" w:hAnsi="Times New Roman"/>
                <w:color w:val="000000"/>
                <w:sz w:val="16"/>
              </w:rPr>
              <w:t>*</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00"/>
                  <w:sz w:val="20"/>
                </w:rPr>
                <w:t>Executive Employment Agreement, dated September 9, 2020, between Novus Therapeutics, Inc. and David-Alexandre C. Gros, M.D.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10.8</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00"/>
                  <w:sz w:val="20"/>
                </w:rPr>
                <w:t>David-Alexandre Gros, M.D. Letter Agreement, dated April 27,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10.9</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00"/>
                  <w:sz w:val="20"/>
                </w:rPr>
                <w:t>David-Alexandre Gros, M.D. Letter Agreement, dated December 16,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10.10</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00"/>
                  <w:sz w:val="20"/>
                </w:rPr>
                <w:t>Executive Employment Agreement, dated March 15, 2021, between Eledon Pharmaceuticals, Inc. and Paul Little</w:t>
              </w:r>
            </w:hyperlink>
          </w:p>
        </w:tc>
        <w:tc>
          <w:tcPr>
            <w:tcW w:w="14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10.11</w:t>
            </w:r>
            <w:r>
              <w:rPr>
                <w:rFonts w:ascii="Times New Roman" w:hAnsi="Times New Roman"/>
                <w:color w:val="000000"/>
                <w:sz w:val="16"/>
              </w:rPr>
              <w:t>*</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00"/>
                  <w:sz w:val="20"/>
                </w:rPr>
                <w:t>Steve Perrin, Ph.D. Letter Agreement, dated April 27,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10.12</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00"/>
                  <w:sz w:val="20"/>
                </w:rPr>
                <w:t>Novus Therapeutics, Inc., 2020 Long Term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10.13</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00"/>
                  <w:sz w:val="20"/>
                </w:rPr>
                <w:t>Eledon Pharmaceuticals, Inc. 2020 Long Term Incentive Plan, as amended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
        <w:gridCol w:w="146"/>
        <w:gridCol w:w="5786"/>
        <w:gridCol w:w="146"/>
        <w:gridCol w:w="415"/>
        <w:gridCol w:w="146"/>
        <w:gridCol w:w="740"/>
        <w:gridCol w:w="146"/>
        <w:gridCol w:w="571"/>
        <w:gridCol w:w="146"/>
        <w:gridCol w:w="913"/>
        <w:gridCol w:w="146"/>
        <w:gridCol w:w="288"/>
      </w:tblGrid>
      <w:tr>
        <w:trPr/>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00"/>
                  <w:sz w:val="20"/>
                </w:rPr>
                <w:t>Performance Stock Option Agreement, dated February 1, 2022, between Eledon Pharmaceuticals, Inc. and David-Alexandre C. Gros, M.D.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24,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00"/>
                  <w:sz w:val="20"/>
                </w:rPr>
                <w:t>Amended and Restated License Agreement by and between ALS Therapy Development Foundation, Inc. and Anelixis Therapeutics, Inc, dated February 18, 2020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00"/>
                  <w:sz w:val="20"/>
                </w:rPr>
                <w:t>First Amendment to Restated License Agreement between ALS Therapy Development Foundation, Inc. and Anelixis Therapeutics, Inc. dated September 5, 2020</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00"/>
                  <w:sz w:val="20"/>
                </w:rPr>
                <w:t>License Agreement between Lonza Sales AG and Anelixis Therapeutics, LLC, dated September 11, 2018</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00"/>
                  <w:sz w:val="20"/>
                </w:rPr>
                <w:t>Form of Stock Option Agreement, dated May 1, 2023, between Eledon Pharmaceuticals, Inc. and each of David-Alexandre C. Gros, M.D., Steve Perrin, Ph D., Bryan Smith and Paul Little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00"/>
                  <w:sz w:val="20"/>
                </w:rPr>
                <w:t>Form of Amendment to Stock Option Agreement, dated December 30, 2023, between Eledon Pharmaceuticals, Inc. and David-Alexandre C. Gros, M.D., Steve Perrin, Ph D., Bryan Smith and Paul Little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00"/>
                  <w:sz w:val="20"/>
                </w:rPr>
                <w:t>Form of Amendment to Stock Option Agreement, dated June 13, 2024, between Eledon Pharmaceuticals, Inc. and David-Alexandre C. Gros, M.D., Steve Perrin, Ph D., Bryan Smith and Paul Little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00"/>
                  <w:sz w:val="20"/>
                </w:rPr>
                <w:t>Form of Amendment to Stock Option Agreement, dated November 20, 2024, between Eledon Pharmaceuticals, Inc. and David-Alexandre C. Gros, M.D., Steve Perrin, Ph D., Bryan Smith and Paul Little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10.26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10_22.htm">
              <w:r>
                <w:rPr>
                  <w:rStyle w:val="InternetLink"/>
                  <w:rFonts w:ascii="Times New Roman" w:hAnsi="Times New Roman"/>
                  <w:color w:val="000000"/>
                  <w:sz w:val="20"/>
                </w:rPr>
                <w:t>Stock Option Forfeiture Agreement date December 30, 2025, between Eledon Pharmaceuticals, Inc. and David-Alexandre C. Gros, M.D.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
        <w:gridCol w:w="146"/>
        <w:gridCol w:w="5651"/>
        <w:gridCol w:w="146"/>
        <w:gridCol w:w="413"/>
        <w:gridCol w:w="146"/>
        <w:gridCol w:w="735"/>
        <w:gridCol w:w="146"/>
        <w:gridCol w:w="466"/>
        <w:gridCol w:w="146"/>
        <w:gridCol w:w="1160"/>
        <w:gridCol w:w="146"/>
        <w:gridCol w:w="289"/>
      </w:tblGrid>
      <w:tr>
        <w:trPr/>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jc w:val="left"/>
              <w:rPr/>
            </w:pPr>
            <w:hyperlink w:anchor="eldn-ex10_23.htm">
              <w:r>
                <w:rPr>
                  <w:rStyle w:val="InternetLink"/>
                  <w:rFonts w:ascii="Times New Roman" w:hAnsi="Times New Roman"/>
                  <w:color w:val="000000"/>
                  <w:sz w:val="20"/>
                </w:rPr>
                <w:t>Stock Option Forfeiture Agreement date December 30, 2025, between Eledon Pharmaceuticals, Inc. and Steve Perrin, Ph.D</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00"/>
                  <w:sz w:val="20"/>
                </w:rPr>
                <w:t>Underwriting Agreement, dated November 12, 2025, by and between Eledon Pharmaceuticals, Inc. and Leerink Partners LLC, as representative of the several underwriters named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00"/>
                  <w:sz w:val="20"/>
                </w:rPr>
                <w:t>Eledon Pharmaceuticals, Inc. Insider Trading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001-36620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March 20,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00"/>
                  <w:sz w:val="20"/>
                </w:rPr>
                <w:t>Subsidiaries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23_1.htm">
              <w:r>
                <w:rPr>
                  <w:rStyle w:val="InternetLink"/>
                  <w:rFonts w:ascii="Times New Roman" w:hAnsi="Times New Roman"/>
                  <w:color w:val="000000"/>
                  <w:sz w:val="20"/>
                </w:rPr>
                <w:t xml:space="preserve">Consent of Deloitte &amp; Touche LLP, independent registered public accounting firm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23_2.htm">
              <w:r>
                <w:rPr>
                  <w:rStyle w:val="InternetLink"/>
                  <w:rFonts w:ascii="Times New Roman" w:hAnsi="Times New Roman"/>
                  <w:color w:val="000000"/>
                  <w:sz w:val="20"/>
                </w:rPr>
                <w:t>Consent of Crowe LLP,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31_1.htm">
              <w:r>
                <w:rPr>
                  <w:rStyle w:val="InternetLink"/>
                  <w:rFonts w:ascii="Times New Roman" w:hAnsi="Times New Roman"/>
                  <w:color w:val="000000"/>
                  <w:sz w:val="20"/>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31_2.htm">
              <w:r>
                <w:rPr>
                  <w:rStyle w:val="InternetLink"/>
                  <w:rFonts w:ascii="Times New Roman" w:hAnsi="Times New Roman"/>
                  <w:color w:val="000000"/>
                  <w:sz w:val="20"/>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32_1.htm">
              <w:r>
                <w:rPr>
                  <w:rStyle w:val="InternetLink"/>
                  <w:rFonts w:ascii="Times New Roman" w:hAnsi="Times New Roman"/>
                  <w:color w:val="000000"/>
                  <w:sz w:val="20"/>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32.2</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ldn-ex32_2.htm">
              <w:r>
                <w:rPr>
                  <w:rStyle w:val="InternetLink"/>
                  <w:rFonts w:ascii="Times New Roman" w:hAnsi="Times New Roman"/>
                  <w:color w:val="000000"/>
                  <w:sz w:val="20"/>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97.1</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00"/>
                  <w:sz w:val="20"/>
                </w:rPr>
                <w:t xml:space="preserve">Incentive Compensation Recoupment Policy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6"/>
        <w:gridCol w:w="146"/>
        <w:gridCol w:w="7842"/>
        <w:gridCol w:w="146"/>
        <w:gridCol w:w="146"/>
        <w:gridCol w:w="146"/>
        <w:gridCol w:w="146"/>
        <w:gridCol w:w="146"/>
        <w:gridCol w:w="146"/>
        <w:gridCol w:w="146"/>
        <w:gridCol w:w="146"/>
        <w:gridCol w:w="146"/>
        <w:gridCol w:w="287"/>
      </w:tblGrid>
      <w:tr>
        <w:trPr/>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These certifications are not deemed filed by the SEC and are not to be incorporated by reference in any filing we make under the Securities Act of 1933 or the Securities Exchange Act of 1934, irrespective of any general incorporation language in any filings.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bookmarkStart w:id="29" w:name="item_16_form_10k_summary"/>
      <w:bookmarkEnd w:id="29"/>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0" w:name="signatures"/>
      <w:bookmarkEnd w:id="3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38" w:type="dxa"/>
        <w:jc w:val="left"/>
        <w:tblInd w:w="0" w:type="dxa"/>
        <w:tblLayout w:type="fixed"/>
        <w:tblCellMar>
          <w:top w:w="28" w:type="dxa"/>
          <w:left w:w="28" w:type="dxa"/>
          <w:bottom w:w="28" w:type="dxa"/>
          <w:right w:w="28" w:type="dxa"/>
        </w:tblCellMar>
      </w:tblPr>
      <w:tblGrid>
        <w:gridCol w:w="1891"/>
        <w:gridCol w:w="406"/>
        <w:gridCol w:w="4141"/>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Eledon Pharmaceuticals, Inc.</w:t>
            </w:r>
          </w:p>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David-Alexandre C. Gros,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David-Alexandre C. Gros,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jc w:val="center"/>
              <w:rPr>
                <w:rFonts w:ascii="Times New Roman" w:hAnsi="Times New Roman"/>
                <w:b/>
                <w:color w:val="000000"/>
                <w:sz w:val="20"/>
              </w:rPr>
            </w:pPr>
            <w:r>
              <w:rPr>
                <w:rFonts w:ascii="Times New Roman" w:hAnsi="Times New Roman"/>
                <w:b/>
                <w:color w:val="000000"/>
                <w:sz w:val="20"/>
              </w:rPr>
              <w:t>and Director (Principal</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Officer and Duly Authorized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Little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Little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2896"/>
        <w:gridCol w:w="146"/>
        <w:gridCol w:w="3721"/>
        <w:gridCol w:w="146"/>
        <w:gridCol w:w="144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David-Alexandre C. Gros,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David-Alexandre C. Gros,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Little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Little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Keith A. Katkin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Keith A. Katkin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Jan Hillson,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 Hillson,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Robinson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Robinson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Allan Kirk,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Allan Kirk,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S. McBride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S. McBride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June Lee,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Lee,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Perrin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19, 2026</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Perrin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ELEDON PHARMACEUTICALS, INC.</w:t>
      </w:r>
    </w:p>
    <w:p>
      <w:pPr>
        <w:pStyle w:val="TextBody"/>
        <w:bidi w:val="0"/>
        <w:jc w:val="center"/>
        <w:rPr>
          <w:rFonts w:ascii="Times New Roman" w:hAnsi="Times New Roman"/>
          <w:b/>
          <w:color w:val="000000"/>
          <w:sz w:val="20"/>
        </w:rPr>
      </w:pPr>
      <w:bookmarkStart w:id="31" w:name="index_to_financial_statements"/>
      <w:bookmarkEnd w:id="31"/>
      <w:r>
        <w:rPr>
          <w:rFonts w:ascii="Times New Roman" w:hAnsi="Times New Roman"/>
          <w:b/>
          <w:color w:val="000000"/>
          <w:sz w:val="20"/>
        </w:rPr>
        <w:t>INDEX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76"/>
        <w:gridCol w:w="506"/>
        <w:gridCol w:w="523"/>
      </w:tblGrid>
      <w:tr>
        <w:trPr/>
        <w:tc>
          <w:tcPr>
            <w:tcW w:w="91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hyperlink w:anchor="report_independent_pub_acctg_firm">
              <w:r>
                <w:rPr>
                  <w:rStyle w:val="InternetLink"/>
                  <w:rFonts w:ascii="Times New Roman" w:hAnsi="Times New Roman"/>
                  <w:color w:val="000000"/>
                  <w:sz w:val="20"/>
                </w:rPr>
                <w:t>Report of Independent Registered Public Accounting Firm (Deloitte &amp; Touche LLP PCAOB ID#: 34)</w:t>
              </w:r>
            </w:hyperlink>
          </w:p>
        </w:tc>
        <w:tc>
          <w:tcPr>
            <w:tcW w:w="5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hyperlink w:anchor="report_independent_pub_previous_firm">
              <w:r>
                <w:rPr>
                  <w:rStyle w:val="InternetLink"/>
                  <w:rFonts w:ascii="Times New Roman" w:hAnsi="Times New Roman"/>
                  <w:color w:val="000000"/>
                  <w:sz w:val="20"/>
                </w:rPr>
                <w:t>Report of Independent Registered Public Accounting Firm (Crowe LLP PCAOB ID#: 173)</w:t>
              </w:r>
            </w:hyperlink>
          </w:p>
        </w:tc>
        <w:tc>
          <w:tcPr>
            <w:tcW w:w="5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7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balance_sheets">
              <w:r>
                <w:rPr>
                  <w:rStyle w:val="InternetLink"/>
                  <w:rFonts w:ascii="Times New Roman" w:hAnsi="Times New Roman"/>
                  <w:color w:val="000080"/>
                  <w:sz w:val="20"/>
                </w:rPr>
                <w:t>Consolidated Balance Sheets as of December 31, 2025 and 2024</w:t>
              </w:r>
            </w:hyperlink>
            <w:r>
              <w:rPr>
                <w:rFonts w:ascii="Times New Roman" w:hAnsi="Times New Roman"/>
                <w:color w:val="000000"/>
                <w:sz w:val="20"/>
              </w:rPr>
              <w:t xml:space="preserve">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917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operat">
              <w:r>
                <w:rPr>
                  <w:rStyle w:val="InternetLink"/>
                  <w:rFonts w:ascii="Times New Roman" w:hAnsi="Times New Roman"/>
                  <w:color w:val="000080"/>
                  <w:sz w:val="20"/>
                </w:rPr>
                <w:t>Consolidated Statements of Operations and Comprehensive Loss for the Years Ended December 31, 2025 and 2024</w:t>
              </w:r>
            </w:hyperlink>
            <w:r>
              <w:rPr>
                <w:rFonts w:ascii="Times New Roman" w:hAnsi="Times New Roman"/>
                <w:color w:val="000000"/>
                <w:sz w:val="20"/>
              </w:rPr>
              <w:t xml:space="preserve">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917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quity">
              <w:r>
                <w:rPr>
                  <w:rStyle w:val="InternetLink"/>
                  <w:rFonts w:ascii="Times New Roman" w:hAnsi="Times New Roman"/>
                  <w:color w:val="000000"/>
                  <w:sz w:val="20"/>
                </w:rPr>
                <w:t>Consolidated Statements of Convertible Preferred Stock and Stockholders’ Equity for the Years Ended December 31, 2025 and 2024</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917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densed_consolidated_statements_cash_f">
              <w:r>
                <w:rPr>
                  <w:rStyle w:val="InternetLink"/>
                  <w:rFonts w:ascii="Times New Roman" w:hAnsi="Times New Roman"/>
                  <w:color w:val="000000"/>
                  <w:sz w:val="20"/>
                </w:rPr>
                <w:t xml:space="preserve">Consolidated Statements of Cash Flows for the Years Ended December 31, 2025 and 2024 </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r>
        <w:trPr/>
        <w:tc>
          <w:tcPr>
            <w:tcW w:w="9176" w:type="dxa"/>
            <w:tcBorders/>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76"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notes_to_condensed_consolidated_financia">
              <w:r>
                <w:rPr>
                  <w:rStyle w:val="InternetLink"/>
                  <w:rFonts w:ascii="Times New Roman" w:hAnsi="Times New Roman"/>
                  <w:color w:val="000000"/>
                  <w:sz w:val="20"/>
                </w:rPr>
                <w:t>Notes to Consolidated Financial Statements</w:t>
              </w:r>
            </w:hyperlink>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c>
          <w:tcPr>
            <w:tcW w:w="5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2" w:name="report_independent_pub_acctg_firm"/>
      <w:bookmarkEnd w:id="32"/>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stockholders and the Board of Directors of Eledon Pharmaceuticals, Inc.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audited the accompanying consolidated balance sheet of Eledon Pharmaceuticals, Inc. (the "Company") as of December 31, 2025, the related consolidated statements of operations and comprehensive loss, convertible preferred stock and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 and its cash flows for the year ended December 31, 2025, in conformity with accounting principles generally accepted in the United States of America.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Classification of Pre-Funded Warrants – Refer to Notes 2 and 9 to the financial statements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November 13, 2025, the Company closed an underwritten offering, which included the sale of pre-funded warrants (the “2025 Offering Pre-Funded Warrants”), and on December 30, 2025, the Company entered into an agreement to exchange shares of the Company's common stock for pre-funded warrants (the “2025 Warrant Exchange Agreement”). The Company accounts for pre-funded warrants as either a liability or equity in accordance with Accounting Standards Codification (ASC) Topic 480-10, Distinguishing liabilities from equity, and ASC 815-40, Derivatives and Hedging - Contracts in Entity’s Own Equity.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identified the assessment of the classification of the 2025 Offering Pre-Funded Warrants and the 2025 Warrant Exchange Agreement (collectively, the “2025 Pre-Funded Warrant Agreements”) as a critical audit matter. The assessment of the terms and provisions to determine the classification of the 2025 Pre-Funded Warrant Agreements as a liability or equity is complex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required a high extent of effort, including the need for us to involve professionals in our firm with expertise in accounting for financial instruments.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How the Critical Audit Matter Was Addressed in the Audit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 procedures related to the classification of the 2025 Pre-Funded Warrant Agreements, included the following,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read the 2025 Pre-Funded Warrant Agreements, and compared the terms and provisions to the Company’s accounting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professionals in our firm having expertise in accounting for financial instruments, we evaluated the terms and provisions of the 2025 Pre-Funded Warrant Agreements to assess the appropriate classification as a liability or equity.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Costa Mesa, CA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March 19,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bookmarkStart w:id="33" w:name="report_independent_pub_previous_firm"/>
      <w:bookmarkEnd w:id="33"/>
      <w:r>
        <w:rPr/>
        <w:t> </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Shareholders and the Board of Directors of Eledon Pharmaceuticals, Inc.</w:t>
      </w:r>
    </w:p>
    <w:p>
      <w:pPr>
        <w:pStyle w:val="TextBody"/>
        <w:bidi w:val="0"/>
        <w:jc w:val="left"/>
        <w:rPr>
          <w:rFonts w:ascii="Times New Roman" w:hAnsi="Times New Roman"/>
          <w:color w:val="000000"/>
          <w:sz w:val="20"/>
        </w:rPr>
      </w:pPr>
      <w:r>
        <w:rPr>
          <w:rFonts w:ascii="Times New Roman" w:hAnsi="Times New Roman"/>
          <w:color w:val="000000"/>
          <w:sz w:val="20"/>
        </w:rPr>
        <w:t>Irvine, California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sheets of Eledon Pharmaceuticals, Inc. (the "Company") as of December 31, 2024, the related consolidated statements of operations and comprehensive loss, convertible preferred stock and stockholders’ equity, and cash flows,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provided a reasonable basis for our opinion.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both"/>
        <w:rPr>
          <w:rFonts w:ascii="Times New Roman" w:hAnsi="Times New Roman"/>
          <w:i/>
          <w:color w:val="000000"/>
          <w:sz w:val="20"/>
        </w:rPr>
      </w:pPr>
      <w:r>
        <w:rPr>
          <w:rFonts w:ascii="Times New Roman" w:hAnsi="Times New Roman"/>
          <w:i/>
          <w:color w:val="000000"/>
          <w:sz w:val="20"/>
        </w:rPr>
        <w:t>Classification and Valuation of Pre-Funded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described in Note 2, Summary of Significant Accounting Policies, and Note 9, Stockholder’s Equity, to the consolidated financial statements, the Company accounts for issued pre-funded warrants either as a liability or equity in accordance with ASC 815-40, Derivatives and Hedging - Contracts in Entity’s Own Equity. Liability-classified warrants are measured at fair value on the issuance date and at the end of each reporting period with any change in the fair value of the warrants recorded in the consolidated statements of operations and comprehensive loss as a gain or loss. The Common Warrants and the Subsequent Closing Warrants (as defined in Note 9) issued in the 2023 Private Placement are liability classified and recorded at fair value using the Black-Scholes option-pricing model at issuance, with any subsequent changes in fair value recognized in the consolidated statements of operations. Determining the proper classification of pre-funded warrants as either a derivative liability or as equity instruments requires significant management judgment in assessing the specific terms and conditions.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valuation of the derivative liability for liability classified pre-funded warrants also requires management judgment in determining the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classification and valuation of warrants was determined to be a critical audit matter because of the complexity and significant judgment involved in determining the accounting for the pre-funded warrants and the significant audit effort, including the use of specialists, in assessing management’s conclusions and inputs to its calculation of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 procedures to evaluate the classification and fair market value of the pre-funded warrants included: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Obtaining and inspecting the securities purchase agreements to evaluate the contractual terms of the pre-funded warrants.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Evaluating management's technical accounting analysis on the classification of the pre-funded warrants.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Consulting with specialists on the classification and valuation of the pre-funded warrants.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Developing an independent expectation of the valuation of the liability-classified warrants to compare to management’s valuation.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Crowe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served as the Company's auditor from 2024 to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 Angeles, California</w:t>
      </w:r>
    </w:p>
    <w:p>
      <w:pPr>
        <w:pStyle w:val="TextBody"/>
        <w:bidi w:val="0"/>
        <w:jc w:val="left"/>
        <w:rPr>
          <w:rFonts w:ascii="Times New Roman" w:hAnsi="Times New Roman"/>
          <w:color w:val="000000"/>
          <w:sz w:val="20"/>
        </w:rPr>
      </w:pPr>
      <w:r>
        <w:rPr>
          <w:rFonts w:ascii="Times New Roman" w:hAnsi="Times New Roman"/>
          <w:color w:val="000000"/>
          <w:sz w:val="20"/>
        </w:rPr>
        <w:t>March 20, 2025, Except for Note 9, as to which the date is August 14,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condensed_consolidated_balance_sheets"/>
      <w:bookmarkEnd w:id="3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2"/>
        <w:gridCol w:w="146"/>
        <w:gridCol w:w="211"/>
        <w:gridCol w:w="841"/>
        <w:gridCol w:w="166"/>
        <w:gridCol w:w="146"/>
        <w:gridCol w:w="211"/>
        <w:gridCol w:w="841"/>
        <w:gridCol w:w="391"/>
      </w:tblGrid>
      <w:tr>
        <w:trPr/>
        <w:tc>
          <w:tcPr>
            <w:tcW w:w="7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5,000,000 shares authorized at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X non-voting convertible preferred stock, $0.001 par value, 10,000 shares designated; 4,422 shares issued and outstanding at December 31,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Series X</w:t>
            </w:r>
            <w:r>
              <w:rPr>
                <w:rFonts w:ascii="Times New Roman" w:hAnsi="Times New Roman"/>
                <w:color w:val="000000"/>
                <w:sz w:val="13"/>
              </w:rPr>
              <w:t>1</w:t>
            </w:r>
            <w:r>
              <w:rPr>
                <w:rFonts w:ascii="Times New Roman" w:hAnsi="Times New Roman"/>
                <w:color w:val="000000"/>
                <w:sz w:val="20"/>
              </w:rPr>
              <w:t> non-voting convertible preferred stock, $0.001 par value, 515,000 shares designated; 110,086 shares issued and outstanding at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300,000,000 and 200,000,000 shares authorized at December 31, 2025 and 2024, respectively; 75,430,033 and 59,789,275 shares issued and outstanding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5" w:name="condensed_consolidated_statements_operat"/>
      <w:bookmarkEnd w:id="35"/>
      <w:r>
        <w:rPr>
          <w:rFonts w:ascii="Times New Roman" w:hAnsi="Times New Roman"/>
          <w:b/>
          <w:color w:val="000000"/>
          <w:sz w:val="20"/>
        </w:rPr>
        <w:t>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2"/>
        <w:gridCol w:w="146"/>
        <w:gridCol w:w="211"/>
        <w:gridCol w:w="1036"/>
        <w:gridCol w:w="166"/>
        <w:gridCol w:w="146"/>
        <w:gridCol w:w="211"/>
        <w:gridCol w:w="1036"/>
        <w:gridCol w:w="391"/>
      </w:tblGrid>
      <w:tr>
        <w:trPr/>
        <w:tc>
          <w:tcPr>
            <w:tcW w:w="6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 per share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81,836,246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48,543,787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Basic and diluted earnings per share of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of Series X and Series X</w:t>
            </w:r>
            <w:r>
              <w:rPr>
                <w:rFonts w:ascii="Times New Roman" w:hAnsi="Times New Roman"/>
                <w:color w:val="000000"/>
                <w:sz w:val="13"/>
              </w:rPr>
              <w:t>1</w:t>
            </w:r>
            <w:r>
              <w:rPr>
                <w:rFonts w:ascii="Times New Roman" w:hAnsi="Times New Roman"/>
                <w:color w:val="000000"/>
                <w:sz w:val="20"/>
              </w:rPr>
              <w:t> non-voting convertible preferred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ELEDON PHARMACEUTICALS, INC.</w:t>
      </w:r>
    </w:p>
    <w:p>
      <w:pPr>
        <w:pStyle w:val="TextBody"/>
        <w:bidi w:val="0"/>
        <w:jc w:val="center"/>
        <w:rPr>
          <w:rFonts w:ascii="Times New Roman" w:hAnsi="Times New Roman"/>
          <w:b/>
          <w:color w:val="000000"/>
          <w:sz w:val="20"/>
        </w:rPr>
      </w:pPr>
      <w:bookmarkStart w:id="36" w:name="equity"/>
      <w:bookmarkEnd w:id="36"/>
      <w:r>
        <w:rPr>
          <w:rFonts w:ascii="Times New Roman" w:hAnsi="Times New Roman"/>
          <w:b/>
          <w:color w:val="000000"/>
          <w:sz w:val="20"/>
        </w:rPr>
        <w:t>CONSOLIDATED STATEMENTS OF CONVERTIBLE STOCK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1792" w:type="dxa"/>
        <w:jc w:val="left"/>
        <w:tblInd w:w="0" w:type="dxa"/>
        <w:tblLayout w:type="fixed"/>
        <w:tblCellMar>
          <w:top w:w="28" w:type="dxa"/>
          <w:left w:w="28" w:type="dxa"/>
          <w:bottom w:w="28" w:type="dxa"/>
          <w:right w:w="28" w:type="dxa"/>
        </w:tblCellMar>
      </w:tblPr>
      <w:tblGrid>
        <w:gridCol w:w="1071"/>
        <w:gridCol w:w="146"/>
        <w:gridCol w:w="146"/>
        <w:gridCol w:w="586"/>
        <w:gridCol w:w="146"/>
        <w:gridCol w:w="146"/>
        <w:gridCol w:w="181"/>
        <w:gridCol w:w="511"/>
        <w:gridCol w:w="146"/>
        <w:gridCol w:w="146"/>
        <w:gridCol w:w="146"/>
        <w:gridCol w:w="436"/>
        <w:gridCol w:w="146"/>
        <w:gridCol w:w="146"/>
        <w:gridCol w:w="181"/>
        <w:gridCol w:w="436"/>
        <w:gridCol w:w="146"/>
        <w:gridCol w:w="146"/>
        <w:gridCol w:w="146"/>
        <w:gridCol w:w="766"/>
        <w:gridCol w:w="151"/>
        <w:gridCol w:w="146"/>
        <w:gridCol w:w="196"/>
        <w:gridCol w:w="375"/>
        <w:gridCol w:w="151"/>
        <w:gridCol w:w="146"/>
        <w:gridCol w:w="181"/>
        <w:gridCol w:w="586"/>
        <w:gridCol w:w="146"/>
        <w:gridCol w:w="146"/>
        <w:gridCol w:w="350"/>
        <w:gridCol w:w="671"/>
        <w:gridCol w:w="151"/>
        <w:gridCol w:w="146"/>
        <w:gridCol w:w="194"/>
        <w:gridCol w:w="677"/>
        <w:gridCol w:w="151"/>
        <w:gridCol w:w="146"/>
        <w:gridCol w:w="217"/>
        <w:gridCol w:w="669"/>
        <w:gridCol w:w="276"/>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 Equity</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Series X</w:t>
            </w:r>
            <w:r>
              <w:rPr>
                <w:rFonts w:ascii="Times New Roman" w:hAnsi="Times New Roman"/>
                <w:b/>
                <w:color w:val="000000"/>
                <w:sz w:val="9"/>
              </w:rPr>
              <w:t>1</w:t>
            </w:r>
            <w:r>
              <w:rPr>
                <w:rFonts w:ascii="Times New Roman" w:hAnsi="Times New Roman"/>
                <w:color w:val="000000"/>
                <w:sz w:val="14"/>
              </w:rPr>
              <w:t> </w:t>
            </w:r>
            <w:r>
              <w:rPr>
                <w:rFonts w:ascii="Times New Roman" w:hAnsi="Times New Roman"/>
                <w:b/>
                <w:color w:val="000000"/>
                <w:sz w:val="14"/>
              </w:rPr>
              <w:t>Non-Voting</w:t>
              <w:b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X Non-Voting</w:t>
              <w:br/>
              <w:t>Convertible</w:t>
              <w:br/>
              <w:t>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2,151</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24,213,130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(319,402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(48,486</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and pre-funded warrants in connection with 2024 Securities Purchase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13,110,484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48,064</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with the completion of the Second Closing and Third Closing in connection with 2023 Securities Purchase Agreement,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2,636,488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6,155</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in connection with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and pre-funded warrants in connection with 2024 Underwritten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18,356,173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79,533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 option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13,122</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(36,184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2,151</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59,789,275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(355,586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62,446</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and pre-funded warrants in connection with 2025 Underwritten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19,698,085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53,577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Cancellation of common stock in exchange of common stock for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(4,203,764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common stock in connection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Stock option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100,437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10,451</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(45,617</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2,151</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75,430,033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(401,203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81,085</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7" w:name="condensed_consolidated_statements_cash_f"/>
      <w:bookmarkEnd w:id="3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294" w:type="dxa"/>
        <w:jc w:val="left"/>
        <w:tblInd w:w="0" w:type="dxa"/>
        <w:tblLayout w:type="fixed"/>
        <w:tblCellMar>
          <w:top w:w="28" w:type="dxa"/>
          <w:left w:w="28" w:type="dxa"/>
          <w:bottom w:w="28" w:type="dxa"/>
          <w:right w:w="28" w:type="dxa"/>
        </w:tblCellMar>
      </w:tblPr>
      <w:tblGrid>
        <w:gridCol w:w="6121"/>
        <w:gridCol w:w="146"/>
        <w:gridCol w:w="211"/>
        <w:gridCol w:w="841"/>
        <w:gridCol w:w="166"/>
        <w:gridCol w:w="146"/>
        <w:gridCol w:w="211"/>
        <w:gridCol w:w="841"/>
        <w:gridCol w:w="6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investment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available-for-sale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available-for-sale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and pre-funded warrants,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exchange for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Offering costs accrued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operating right-of-use lease asset and liability due to new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warrant liability into common stock due to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ELEDON 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8" w:name="notes_to_condensed_consolidated_financia"/>
      <w:bookmarkEnd w:id="38"/>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Eledon Pharmaceuticals, Inc. is a clinical stage biotechnology company using its immunology expertise in targeting the CD40 Ligand (“CD40L”) pathway to develop therapies to protect transplanted organs and prevent rejection, and to treat amyotrophic lateral sclerosis (“ALS”). The Company’s lead compound in development is tegoprubart, an IgG1, anti-CD40L antibody with high affinity for the CD40L, a well-validated biological target that we believe has broad therapeutic potential. Unless otherwise indicated, references to the terms “Eledon,” “our,” “us,” “we,” or the “Company” refer to Eledon Pharmaceuticals, Inc. and its wholly owned subsidiaries,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14, 2020, Eledon acquired Anelixis Therapeutics, Inc. (“Anelixis”), a privately held clinical stage biotechnology company developing a next generation anti-CD40L antibody as a potential treatment for organ and cellular transplantation, autoimmune diseases, and neurodegenerative diseases. The Company maintains its corporate headquarters in Irvine, California and has research and development facilities in Burlington, Massachusetts.</w:t>
      </w:r>
    </w:p>
    <w:p>
      <w:pPr>
        <w:pStyle w:val="TextBody"/>
        <w:bidi w:val="0"/>
        <w:spacing w:before="36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are prepared in accordance with generally accepted accounting principles in the United States (“GAAP”). Eledon, a Delaware corporation, owns 100% of the issued and outstanding common stock or other ownership interest in Anelixis Therapeutics, LLC, a Delaware limited liability company, and Otic Pharma, Ltd., a private limited company organized under the laws of the State of Israel (“Otic”). Otic owns 100% of the issued and outstanding common stock or other ownership interest in its U.S. subsidiary, Otic Pharma, Inc. The functional currency of the Company’s foreign subsidiary is the U.S. Dollar; however, certain expenses, assets and liabilities are transacted at the local currency. These transactions are translated from the local currency into U.S. Dollars at exchange rates during or at the end of the reporting period. The activities of the Company’s foreign subsidiary are not significant to the consolidated financial statements. All significant intercompany accounts and transactions among the entities have been eliminated in consolidation.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reclassifications have been made to the prior year balances in </w:t>
      </w:r>
      <w:r>
        <w:rPr>
          <w:rFonts w:ascii="Times New Roman" w:hAnsi="Times New Roman"/>
          <w:i/>
          <w:color w:val="000000"/>
          <w:sz w:val="20"/>
        </w:rPr>
        <w:t>Note 5. Prepaid Expenses and Other Current Assets</w:t>
      </w:r>
      <w:r>
        <w:rPr>
          <w:rFonts w:ascii="Times New Roman" w:hAnsi="Times New Roman"/>
          <w:color w:val="000000"/>
          <w:sz w:val="20"/>
        </w:rPr>
        <w:t xml:space="preserve"> and </w:t>
      </w:r>
      <w:r>
        <w:rPr>
          <w:rFonts w:ascii="Times New Roman" w:hAnsi="Times New Roman"/>
          <w:i/>
          <w:color w:val="000000"/>
          <w:sz w:val="20"/>
        </w:rPr>
        <w:t>Note 6. Accrued Expenses and Other Liabilities</w:t>
      </w:r>
      <w:r>
        <w:rPr>
          <w:rFonts w:ascii="Times New Roman" w:hAnsi="Times New Roman"/>
          <w:color w:val="000000"/>
          <w:sz w:val="20"/>
        </w:rPr>
        <w:t xml:space="preserve"> to conform to the current year presentation. These reclassifications had no impact on prior period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consolidated financial statements in conformity with GAAP requires management to make informed estimates and assumptions that affect the reported amounts of assets, liabilities and expenses and the disclosure of contingent assets and liabilities in the Company’s consolidated financial statements and accompanying notes. The most significant estimates in the Company’s consolidated financial statements relate to stock-based compensation expense, warrant liabilities, the fair value of right-of-use (“ROU”) assets and liabilities, accruals for liabilities, impairment of long-lived assets, and other matters that affect the consolidated financial statements and related disclosures. Management bases its estimates on historical experience and on various other market-specific and relevant assumptions that management believes to be reasonable under the circumstances. Actual results could differ materially from those estimates under different assumptions or conditions and the differences may be material to the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consists of cash, cash equivalents and short-term investments. The Company maintains deposits in federally insured institutions in excess of federally insured limits and invests in short-term investments with the primary objective of seeking to preserve principal, achieve liquidity requirements and safeguard invested funds. We believe that the Company is not exposed to significant credit risk due to the financial position of the depository institution in which those deposits are held and the nature, including the credit ratings, of our cash equivalents and short-term investments, but we have not eliminated all credit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when purchased to be cash equivalents. Cash and cash equivalents include cash in readily available checking accounts, money market funds, U.S. government securities and U.S. government agency securities. Cash and cash equivalents are valued at cost, which approximates their fair value due to the short-term maturities of these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the Company devoted substantially all of its resources to its research and development efforts, pre-clinical studies and clinical trials, establishing and maintaining its intellectual property portfolio, hiring personnel, raising capital, and providing general and administrative support for these operations. The Company has experienced recurring net losses and negative cash flows from operating activities since its inception. The Company’s net loss for the year ended December 31, 2025 is $45.6 million. As of December 31, 2025, the Company had cash and cash equivalents and short-term investments of $133.3 million, working capital of $117.3 million and an accumulated deficit of $401.2 million. Due to continuing research and development activities, the Company expects to continue to incur net losses into the foreseeable future. In order to continue these activities, the Company will need to raise additional funds through public or private debt and equity financings including the possible issuance of shares of common stock pursuant to the Company’s “at-the-market” equity offering program, and may need to pursue strategic collaboration and licensing arrangements. The Company’s ability to raise additional capital in the equity and debt markets is dependent on a number of factors, including, but not limited to, the market demand for the Company’s common stock, which itself is subject to a number of development and business risks and uncertainties, as well as the uncertainty that the Company would be able to raise such additional capital at a price or on terms that are favorable to the Company.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that, based on its current operating plans, the Company’s existing cash, cash equivalents and marketable securities will be sufficient to fund its currently planned operations for at least the next 12 months from the filing date of these consolidated financial statements. The Company anticipates it will require additional financing to fund its future operations. Even if the Company believes it has sufficient funds for its current or future operating plans, the Company may seek to raise additional capital if market conditions are favorable or in light of other strategic considerations.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Reportable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and in assessing performance. The Company operates as one operating and one reportable segment, focused on the development of tegoprubart, to develop therapies to protect transplanted organs and prevent rejection, and to treat ALS. The Company’s measure of segment profit or loss is net loss. The CODM is the chief executive officer. The CODM manages and allocates resources to the operations of the Company on a total company basis. Managing and allocating resources on a consolidated basis enables the CODM to assess the overall level of resources available and how to best deploy these resources across functions, therapeutic areas and research and development projects that are in line with the Company’s long-term company wide strategic goals. Consistent with this decision-making process, the CODM uses consolidated net income for purposes of evaluating performance, forecasting future period financial results, allocating resources and setting incentive targets. Operating expenses are used to monitor budget versus actual results. The measure of segment assets is reported on the balance sheet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is representative of the significant expense categories regularly provided to the CODM when managing the Company’s single reporting segment. A reconciliation to the consolidated net loss for the years ended December 31, 2025 and 2024 is included at the bottom of the table below (in thousands):</w:t>
      </w:r>
    </w:p>
    <w:p>
      <w:pPr>
        <w:pStyle w:val="TextBody"/>
        <w:bidi w:val="0"/>
        <w:jc w:val="left"/>
        <w:rPr/>
      </w:pPr>
      <w:r>
        <w:rPr/>
        <w:t> </w:t>
      </w:r>
    </w:p>
    <w:tbl>
      <w:tblPr>
        <w:tblW w:w="6659" w:type="dxa"/>
        <w:jc w:val="left"/>
        <w:tblInd w:w="0" w:type="dxa"/>
        <w:tblLayout w:type="fixed"/>
        <w:tblCellMar>
          <w:top w:w="28" w:type="dxa"/>
          <w:left w:w="28" w:type="dxa"/>
          <w:bottom w:w="28" w:type="dxa"/>
          <w:right w:w="28" w:type="dxa"/>
        </w:tblCellMar>
      </w:tblPr>
      <w:tblGrid>
        <w:gridCol w:w="4016"/>
        <w:gridCol w:w="146"/>
        <w:gridCol w:w="211"/>
        <w:gridCol w:w="736"/>
        <w:gridCol w:w="166"/>
        <w:gridCol w:w="146"/>
        <w:gridCol w:w="211"/>
        <w:gridCol w:w="736"/>
        <w:gridCol w:w="29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Tegoprubart - kidney transplantation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Tegoprubart - 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Other segment items included in total operating expenses primarily consist of consulting, professional fees, facilities, insurance and information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In-Process Research and Development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Amounts allocated to in-process research and development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contracts with third parties to perform various clinical trial activities in the on-going development of potential products. The financial terms of these agreements are subject to negotiation, vary from contract to contract and may 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estimates its research and development expenses and the related accrual as of each balance sheet date based on the facts and circumstances known to the Company at that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160"/>
        <w:jc w:val="left"/>
        <w:rPr>
          <w:rFonts w:ascii="Times New Roman" w:hAnsi="Times New Roman"/>
          <w:sz w:val="20"/>
        </w:rPr>
      </w:pPr>
      <w:r>
        <w:rPr>
          <w:rFonts w:ascii="Times New Roman" w:hAnsi="Times New Roman"/>
          <w:color w:val="000000"/>
          <w:sz w:val="20"/>
        </w:rPr>
        <w:t>Basic and diluted net loss per share are calculated using the two-class method in accordance with Accounting Standards Codification (“ASC”) Topic 260, Earnings Per Share. The two-class method allocates undistributed losses to the Company’s outstanding common stock, and the Series X and Series X</w:t>
      </w:r>
      <w:r>
        <w:rPr>
          <w:rFonts w:ascii="Times New Roman" w:hAnsi="Times New Roman"/>
          <w:color w:val="000000"/>
          <w:sz w:val="13"/>
        </w:rPr>
        <w:t>1</w:t>
      </w:r>
      <w:r>
        <w:rPr>
          <w:rFonts w:ascii="Times New Roman" w:hAnsi="Times New Roman"/>
          <w:color w:val="000000"/>
          <w:sz w:val="20"/>
        </w:rPr>
        <w:t xml:space="preserve"> non-voting convertible preferred stock, $0.001 par value (the “Preferred Stock”), based on each class’s proportionate share of the total weighted-average shares outstanding. Since the Company has never declared dividends, net loss and undistributed losses are equivalent. The process is used for both common stock and Preferred Stock.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As the rights and preferences of the Preferred Stock are substantially identical to each other, they are considered a single class of common stock for earnings per share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diluted net loss per share calculation, incentive stock options, restricted stock units and warrants are considered to be potentially dilutive securities and are excluded from the calculation of diluted net loss per share because their effect would be anti-dilutive. Therefore, basic and diluted net loss per share was the same for the periods presented due to the Company’s net loss position. Basic weighted average shares outstanding for the years ended December 31, 2025 and 2024 include 36,629,572 and 12,443,755 respectively, shares underlying pre-funded warrants to purchase common shares. As the shares underlying these pre-funded warrants can be issued for little consideration (an exercise price per share equal to $0.001 per share), these shares are deemed to be issued for purposes of basic earnings per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retirement savings plan under Section 401(k) of the Internal Revenue Code covering all employees who meet eligibility requirements. Participants may contribute a portion of their compensation subject to IRS limitations. The Company provides matching contributions in accordance with the terms of the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expense related to employer contributions to the plan of $0.5 million and $0.3 million for the years ended December 31, 2025 and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all stock-based awards based on the grant-date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publicly traded biotechnology and pharmaceutical companies with comparable business characteristics, clinical stages of development, and organizational scale, including employee headcount, primarily consisting of companies with Phase II or Phase III clinical programs.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Units (“RSUs”) are measured and recognized based on the quoted market price of our common stock on the date of grant.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judgment is required in determining the Company’s provision for income taxes, deferred tax assets and liabilities and the valuation allowance recorded against net deferred tax assets. We assess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We have provided a valuation allowance on our deferred tax assets as of December 31, 2025 and 2024 because we believe it is more likely than not that a majority of our deferred tax assets will not be realized as of this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the accounting for uncertainty in income tax recognized in its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2025 and 2024.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For additional information, see </w:t>
      </w:r>
      <w:r>
        <w:rPr>
          <w:rFonts w:ascii="Times New Roman" w:hAnsi="Times New Roman"/>
          <w:i/>
          <w:color w:val="000000"/>
          <w:sz w:val="20"/>
        </w:rPr>
        <w:t xml:space="preserve">Note 8. Income Taxes </w:t>
      </w:r>
      <w:r>
        <w:rPr>
          <w:rFonts w:ascii="Times New Roman" w:hAnsi="Times New Roman"/>
          <w:color w:val="000000"/>
          <w:sz w:val="20"/>
        </w:rPr>
        <w:t>of the Notes to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into law. The OBBBA makes permanent key elements of the Tax Cuts and Jobs Act 2017, including 100% bonus depreciation and immediate expensing of domestic research and development costs, among other tax changes. The Company had no impact on its consolidated financial statements as a result of the enactment of OBBBA.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issued common stock warrants and pre-funded warrants either as a liability or equity in accordance with ASC 480-10, Distinguishing Liabilities from Equity (“ASC 480-10”) and ASC 815-40, Derivatives and Hedging — Contracts in Entity’s Own Equity (“ASC 815-40”). The Company first evaluates the warrants under ASC 480-10 to determine whether the instruments should be classified as liabilities, including whether the warrants embody an obligation to repurchase the Company's shares, require or may require cash settlement, or represent obligations to issue a variable number of shares with a monetary value that is fixed or indexed to something other than the Company's stock. If liability classification is not required under ASC 480-10, the Company then applies ASC 815-40.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the consolidated statements of operations and comprehensive loss as a gain or loss. If warrants do not require liability classification under ASC 815-40, in order to conclude warrants should be classified as equity, the Company assesses whether the warrants are indexed to its common stock and whether the warrants are classified as equity under ASC 815-40 or other applicable GAAP standard. Equity-classified warrants are accounted for at fair value on the issuance date with no changes in fair value recognized after the issuance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No. 2023-09, Income Taxes (Topic 740): Improvements to Income Tax Disclosures. This update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ASU 2023-09, effective December 31, 2025, in these consolidated financial statements. ASU 2023-09 only impacted the disclosures and did not impact the consolidated financial statements. See </w:t>
      </w:r>
      <w:r>
        <w:rPr>
          <w:rFonts w:ascii="Times New Roman" w:hAnsi="Times New Roman"/>
          <w:i/>
          <w:color w:val="000000"/>
          <w:sz w:val="20"/>
        </w:rPr>
        <w:t>Note 8</w:t>
      </w:r>
      <w:r>
        <w:rPr>
          <w:rFonts w:ascii="Times New Roman" w:hAnsi="Times New Roman"/>
          <w:color w:val="000000"/>
          <w:sz w:val="20"/>
        </w:rPr>
        <w:t xml:space="preserve">, </w:t>
      </w:r>
      <w:r>
        <w:rPr>
          <w:rFonts w:ascii="Times New Roman" w:hAnsi="Times New Roman"/>
          <w:i/>
          <w:color w:val="000000"/>
          <w:sz w:val="20"/>
        </w:rPr>
        <w:t>Income Taxes</w:t>
      </w:r>
      <w:r>
        <w:rPr>
          <w:rFonts w:ascii="Times New Roman" w:hAnsi="Times New Roman"/>
          <w:color w:val="000000"/>
          <w:sz w:val="20"/>
        </w:rPr>
        <w:t>, for disclosures related to the adoption of ASU 2023-09.</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 Issued But Not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(Subtopic 220-40) Disaggregation of Income Statement Expenses,” which requires disaggregated disclosure of income statement expenses for public business entities (“PBEs”). In January 2025, the FASB issued ASU No. 2025-01 “Income Statement—Reporting Comprehensive Income—Expense Disaggregation Disclosures (Subtopic 220-40),” which clarified the effective date for ASU 2024-03. These amendments are intended to provide more information about types of expenses in commonly presented expense captions. The amendments in this update are effective for annual periods beginning after December 15, 2026, and interim periods within fiscal years beginning after December 15, 2027, and early adoption is permitted. The Company is currently evaluating the impact on its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(including its Emerging Issues Task Force), the American Institute of Certified Public Accountants, and the Securities and Exchange Commission (“SEC”) did not, or are not believed by management to, have a material impact on the Company’s present or future financial position, results of operations or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objectives of the Company’s investment policy are to preserve principal, meet the Company's liquidity requirements and safeguard invested funds. Short-term investments consist of U.S. treasuries and U.S. government securities. The Company has classified these investments as available-for-sale securities, as the sale of such investments may be required prior to maturity to implement management strategies, and therefore has classified all investments with maturity dates beyond three months at the date of purchase as current assets in the accompanying consolidated balance sheets. Any premium or discount arising at purchase is amortized and/or accreted to interest income as an adjustment to yield using the straight-line method over the life of the instrument. The amortized cost of available-for-sale securities is adjusted for amortization of premiums and accretion of discounts to maturity. Investments are reported at their estimated fair value. Unrealized gains and losses are included in accumulated other comprehensive loss as a component of stockholders' equity until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short-term investments, which were classified as available-for-sale securities as of December 31, 2025 and 2024 (in thousands):</w:t>
      </w:r>
    </w:p>
    <w:p>
      <w:pPr>
        <w:pStyle w:val="TextBody"/>
        <w:bidi w:val="0"/>
        <w:spacing w:before="120" w:after="283"/>
        <w:jc w:val="left"/>
        <w:rPr/>
      </w:pPr>
      <w:r>
        <w:rPr/>
        <w:t> </w:t>
      </w:r>
    </w:p>
    <w:tbl>
      <w:tblPr>
        <w:tblW w:w="8646" w:type="dxa"/>
        <w:jc w:val="left"/>
        <w:tblInd w:w="0" w:type="dxa"/>
        <w:tblLayout w:type="fixed"/>
        <w:tblCellMar>
          <w:top w:w="28" w:type="dxa"/>
          <w:left w:w="28" w:type="dxa"/>
          <w:bottom w:w="28" w:type="dxa"/>
          <w:right w:w="28" w:type="dxa"/>
        </w:tblCellMar>
      </w:tblPr>
      <w:tblGrid>
        <w:gridCol w:w="2446"/>
        <w:gridCol w:w="146"/>
        <w:gridCol w:w="265"/>
        <w:gridCol w:w="980"/>
        <w:gridCol w:w="146"/>
        <w:gridCol w:w="146"/>
        <w:gridCol w:w="539"/>
        <w:gridCol w:w="811"/>
        <w:gridCol w:w="146"/>
        <w:gridCol w:w="146"/>
        <w:gridCol w:w="495"/>
        <w:gridCol w:w="885"/>
        <w:gridCol w:w="166"/>
        <w:gridCol w:w="146"/>
        <w:gridCol w:w="211"/>
        <w:gridCol w:w="78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Company's available-for-sale securities have a stated maturity of less than one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and liabilities are recorded at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fair value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1—Quoted market prices (unadjusted)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quoted market prices included in Level 1, such as quoted market prices for markets that are not active or other inputs that are observable or can be corroborated by observable market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 These fair values are obtained from independent pricing services which utilize Level 1 and Level 2 inputs.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Financial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 instruments measured at fair value on a recurring basis as of December 31, 2025 and 2024 (in thousands). Included within cash and cash equivalents on the consolidated balance sheets, but excluded from the fair value hierarchy table, are cash deposits held at financial institutions.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2446"/>
        <w:gridCol w:w="146"/>
        <w:gridCol w:w="211"/>
        <w:gridCol w:w="571"/>
        <w:gridCol w:w="146"/>
        <w:gridCol w:w="146"/>
        <w:gridCol w:w="211"/>
        <w:gridCol w:w="781"/>
        <w:gridCol w:w="146"/>
        <w:gridCol w:w="146"/>
        <w:gridCol w:w="239"/>
        <w:gridCol w:w="391"/>
        <w:gridCol w:w="146"/>
        <w:gridCol w:w="146"/>
        <w:gridCol w:w="211"/>
        <w:gridCol w:w="781"/>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132,217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7155" w:type="dxa"/>
        <w:jc w:val="left"/>
        <w:tblInd w:w="0" w:type="dxa"/>
        <w:tblLayout w:type="fixed"/>
        <w:tblCellMar>
          <w:top w:w="28" w:type="dxa"/>
          <w:left w:w="28" w:type="dxa"/>
          <w:bottom w:w="28" w:type="dxa"/>
          <w:right w:w="28" w:type="dxa"/>
        </w:tblCellMar>
      </w:tblPr>
      <w:tblGrid>
        <w:gridCol w:w="2446"/>
        <w:gridCol w:w="146"/>
        <w:gridCol w:w="211"/>
        <w:gridCol w:w="571"/>
        <w:gridCol w:w="146"/>
        <w:gridCol w:w="146"/>
        <w:gridCol w:w="211"/>
        <w:gridCol w:w="781"/>
        <w:gridCol w:w="146"/>
        <w:gridCol w:w="146"/>
        <w:gridCol w:w="239"/>
        <w:gridCol w:w="391"/>
        <w:gridCol w:w="146"/>
        <w:gridCol w:w="146"/>
        <w:gridCol w:w="211"/>
        <w:gridCol w:w="781"/>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119,629</w:t>
            </w:r>
          </w:p>
        </w:tc>
        <w:tc>
          <w:tcPr>
            <w:tcW w:w="2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The following table summarizes the Company's warrant liabilities (see </w:t>
      </w:r>
      <w:r>
        <w:rPr>
          <w:rFonts w:ascii="Times New Roman" w:hAnsi="Times New Roman"/>
          <w:i/>
          <w:color w:val="000000"/>
          <w:sz w:val="20"/>
        </w:rPr>
        <w:t>Note 9. Preferred Stock and Stockholders' Equity</w:t>
      </w:r>
      <w:r>
        <w:rPr>
          <w:rFonts w:ascii="Times New Roman" w:hAnsi="Times New Roman"/>
          <w:color w:val="000000"/>
          <w:sz w:val="20"/>
        </w:rPr>
        <w:t xml:space="preserve">) measured at fair value on a recurring basis as of December 31, 2025 and 2024 (in thousands) and was based on significant inputs not observable in the market, which represents a Level 3 measurement within the fair value hierarchy. </w:t>
      </w:r>
    </w:p>
    <w:tbl>
      <w:tblPr>
        <w:tblW w:w="6038" w:type="dxa"/>
        <w:jc w:val="left"/>
        <w:tblInd w:w="0" w:type="dxa"/>
        <w:tblLayout w:type="fixed"/>
        <w:tblCellMar>
          <w:top w:w="28" w:type="dxa"/>
          <w:left w:w="28" w:type="dxa"/>
          <w:bottom w:w="28" w:type="dxa"/>
          <w:right w:w="28" w:type="dxa"/>
        </w:tblCellMar>
      </w:tblPr>
      <w:tblGrid>
        <w:gridCol w:w="1691"/>
        <w:gridCol w:w="146"/>
        <w:gridCol w:w="239"/>
        <w:gridCol w:w="391"/>
        <w:gridCol w:w="146"/>
        <w:gridCol w:w="146"/>
        <w:gridCol w:w="239"/>
        <w:gridCol w:w="391"/>
        <w:gridCol w:w="146"/>
        <w:gridCol w:w="146"/>
        <w:gridCol w:w="211"/>
        <w:gridCol w:w="676"/>
        <w:gridCol w:w="146"/>
        <w:gridCol w:w="146"/>
        <w:gridCol w:w="211"/>
        <w:gridCol w:w="676"/>
        <w:gridCol w:w="29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6038" w:type="dxa"/>
        <w:jc w:val="left"/>
        <w:tblInd w:w="0" w:type="dxa"/>
        <w:tblLayout w:type="fixed"/>
        <w:tblCellMar>
          <w:top w:w="28" w:type="dxa"/>
          <w:left w:w="28" w:type="dxa"/>
          <w:bottom w:w="28" w:type="dxa"/>
          <w:right w:w="28" w:type="dxa"/>
        </w:tblCellMar>
      </w:tblPr>
      <w:tblGrid>
        <w:gridCol w:w="1691"/>
        <w:gridCol w:w="146"/>
        <w:gridCol w:w="239"/>
        <w:gridCol w:w="391"/>
        <w:gridCol w:w="146"/>
        <w:gridCol w:w="146"/>
        <w:gridCol w:w="239"/>
        <w:gridCol w:w="391"/>
        <w:gridCol w:w="146"/>
        <w:gridCol w:w="146"/>
        <w:gridCol w:w="211"/>
        <w:gridCol w:w="676"/>
        <w:gridCol w:w="146"/>
        <w:gridCol w:w="146"/>
        <w:gridCol w:w="211"/>
        <w:gridCol w:w="676"/>
        <w:gridCol w:w="291"/>
      </w:tblGrid>
      <w:tr>
        <w:trPr/>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following table provides a roll-forward of the aggregate fair value of the warrant liabilities categorized with Level 3 inputs (in thousands):</w:t>
      </w:r>
    </w:p>
    <w:tbl>
      <w:tblPr>
        <w:tblW w:w="5418" w:type="dxa"/>
        <w:jc w:val="left"/>
        <w:tblInd w:w="0" w:type="dxa"/>
        <w:tblLayout w:type="fixed"/>
        <w:tblCellMar>
          <w:top w:w="28" w:type="dxa"/>
          <w:left w:w="28" w:type="dxa"/>
          <w:bottom w:w="28" w:type="dxa"/>
          <w:right w:w="28" w:type="dxa"/>
        </w:tblCellMar>
      </w:tblPr>
      <w:tblGrid>
        <w:gridCol w:w="3551"/>
        <w:gridCol w:w="146"/>
        <w:gridCol w:w="314"/>
        <w:gridCol w:w="1096"/>
        <w:gridCol w:w="3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as of December 31, 2025 and 2024 (in thousands):</w:t>
      </w:r>
    </w:p>
    <w:p>
      <w:pPr>
        <w:pStyle w:val="TextBody"/>
        <w:bidi w:val="0"/>
        <w:jc w:val="left"/>
        <w:rPr/>
      </w:pPr>
      <w:r>
        <w:rPr/>
        <w:t> </w:t>
      </w:r>
    </w:p>
    <w:tbl>
      <w:tblPr>
        <w:tblW w:w="6124"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211"/>
        <w:gridCol w:w="57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Accrued Expenses and Other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liabilities consisted of the following as of December 31, 2025 and 2024 (in thousands):</w:t>
      </w:r>
    </w:p>
    <w:p>
      <w:pPr>
        <w:pStyle w:val="TextBody"/>
        <w:bidi w:val="0"/>
        <w:jc w:val="left"/>
        <w:rPr/>
      </w:pPr>
      <w:r>
        <w:rPr/>
        <w:t> </w:t>
      </w:r>
    </w:p>
    <w:tbl>
      <w:tblPr>
        <w:tblW w:w="6004" w:type="dxa"/>
        <w:jc w:val="left"/>
        <w:tblInd w:w="0" w:type="dxa"/>
        <w:tblLayout w:type="fixed"/>
        <w:tblCellMar>
          <w:top w:w="28" w:type="dxa"/>
          <w:left w:w="28" w:type="dxa"/>
          <w:bottom w:w="28" w:type="dxa"/>
          <w:right w:w="28" w:type="dxa"/>
        </w:tblCellMar>
      </w:tblPr>
      <w:tblGrid>
        <w:gridCol w:w="3706"/>
        <w:gridCol w:w="146"/>
        <w:gridCol w:w="211"/>
        <w:gridCol w:w="676"/>
        <w:gridCol w:w="146"/>
        <w:gridCol w:w="146"/>
        <w:gridCol w:w="211"/>
        <w:gridCol w:w="57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Contract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has non-cancelable purchase obligations related to manufacturing totaling $9.3 million. The Company expects to fulfill its commitments within the next twelve months under these agreements in the normal course of business, therefore, no related liability has been recorded on the consolidated balance sheets as of that date.</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under various operating leases. Total rent expense for all operating leases in the consolidated statements of operations and comprehensive loss was $0.4 million for each of the years ended December 31,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19, 2024, the Company entered into a 38-month operating lease for 5,817 square feet of office space in Irvine, California, that expires on June 30, 2027 (the “Irvine Lease Agreement”). On April 19, 2024, in conjunction with the Irvine Lease Agreement, the Company terminated an existing operating lease for 5,197 square feet of office space in Irvine, California, that was set to expire on December 31, 2024. On April 19, 2024, the effective date of the Irvine Lease Agreement, the Company recognized additional net ROU assets and lease liabilities in the amount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4, 2024, the Company entered into a 36-month operating lease for 6,138 square feet of office space in Burlington, Massachusetts, that expires on November 21, 2027 (the “Burlington Lease Agreement”). The prior lease expired on November 20, 2024. On November 21, 2024, the effective date of the Burlington Lease Agreement, the Company recognized additional net ROU assets and lease liabilities in the amount of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if a contract contains a lease at inception. Our office leases have a remaining term of approximately 2 years and do not include options to extend the leases for additional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 assets and liabilities are recognized at the lease commencement date. Operating lease liabilities represent the present value of lease payments not yet paid. Operating lease assets represent our right to use an underlying asset and are based upon the operating lease liabilities as adjusted for prepayments or accrued lease payments, initial direct costs, lease incentives, and impairment of operating lease assets. To determine the present value of lease payments not yet paid, we estimate incremental secured borrowing rates corresponding to the maturities of the leases. As we have no outstanding debt nor committed credit facilities, secured or otherwise, we estimate this rate based on prevailing financial market conditions, comparable company and credit analysis, and management’s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leases contain rent escalations over the lease term. We recognize expense for these leases on a straight-line basis over the lease term. Additionally, tenant incentives used to fund leasehold improvements are recognized when earned and reduce our ROU asset related to the lease. These are amortized through the ROU asset as reductions of expense over the lease term. Our lease agreements do not contain any material residual value guarantees or material restrictive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do not currently have any lease agreement with lease and non-lease components, we elected to account for lease and non-lease components as separate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the short-term lease recognition exemption for all applicable classes of underlying assets. Short-term disclosures include only those leases with a term greater than one month and 12 months or less, and expense is recognized on a straight-line basis over the lease term. Leases with an initial term of 12 months or less, that do not include an option to purchase the underlying asset that we are reasonably certain to exercise, are not recorded on the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expense were as follows (in thousands):</w:t>
      </w:r>
    </w:p>
    <w:p>
      <w:pPr>
        <w:pStyle w:val="TextBody"/>
        <w:bidi w:val="0"/>
        <w:jc w:val="left"/>
        <w:rPr/>
      </w:pPr>
      <w:r>
        <w:rPr/>
        <w:t> </w:t>
      </w:r>
    </w:p>
    <w:tbl>
      <w:tblPr>
        <w:tblW w:w="7474" w:type="dxa"/>
        <w:jc w:val="left"/>
        <w:tblInd w:w="0" w:type="dxa"/>
        <w:tblLayout w:type="fixed"/>
        <w:tblCellMar>
          <w:top w:w="28" w:type="dxa"/>
          <w:left w:w="28" w:type="dxa"/>
          <w:bottom w:w="28" w:type="dxa"/>
          <w:right w:w="28" w:type="dxa"/>
        </w:tblCellMar>
      </w:tblPr>
      <w:tblGrid>
        <w:gridCol w:w="5581"/>
        <w:gridCol w:w="146"/>
        <w:gridCol w:w="211"/>
        <w:gridCol w:w="421"/>
        <w:gridCol w:w="146"/>
        <w:gridCol w:w="146"/>
        <w:gridCol w:w="211"/>
        <w:gridCol w:w="421"/>
        <w:gridCol w:w="19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cost</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 xml:space="preserve">(a) </w:t>
            </w:r>
            <w:r>
              <w:rPr>
                <w:rFonts w:ascii="Times New Roman" w:hAnsi="Times New Roman"/>
                <w:color w:val="000000"/>
                <w:sz w:val="20"/>
              </w:rPr>
              <w:t>Includes variable operating lease expenses, which are immaterial.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supplemental cash flow information related to leases were as follows (in thousands):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5746"/>
        <w:gridCol w:w="146"/>
        <w:gridCol w:w="211"/>
        <w:gridCol w:w="421"/>
        <w:gridCol w:w="146"/>
        <w:gridCol w:w="146"/>
        <w:gridCol w:w="211"/>
        <w:gridCol w:w="421"/>
        <w:gridCol w:w="391"/>
      </w:tblGrid>
      <w:tr>
        <w:trPr/>
        <w:tc>
          <w:tcPr>
            <w:tcW w:w="5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supplemental balance sheet information related to our operating leases (in thousands, except lease term and discount rate):</w:t>
      </w:r>
    </w:p>
    <w:p>
      <w:pPr>
        <w:pStyle w:val="TextBody"/>
        <w:bidi w:val="0"/>
        <w:jc w:val="left"/>
        <w:rPr/>
      </w:pPr>
      <w:r>
        <w:rPr/>
        <w:t> </w:t>
      </w:r>
    </w:p>
    <w:tbl>
      <w:tblPr>
        <w:tblW w:w="6484" w:type="dxa"/>
        <w:jc w:val="left"/>
        <w:tblInd w:w="0" w:type="dxa"/>
        <w:tblLayout w:type="fixed"/>
        <w:tblCellMar>
          <w:top w:w="28" w:type="dxa"/>
          <w:left w:w="28" w:type="dxa"/>
          <w:bottom w:w="28" w:type="dxa"/>
          <w:right w:w="28" w:type="dxa"/>
        </w:tblCellMar>
      </w:tblPr>
      <w:tblGrid>
        <w:gridCol w:w="4126"/>
        <w:gridCol w:w="146"/>
        <w:gridCol w:w="211"/>
        <w:gridCol w:w="481"/>
        <w:gridCol w:w="271"/>
        <w:gridCol w:w="146"/>
        <w:gridCol w:w="211"/>
        <w:gridCol w:w="481"/>
        <w:gridCol w:w="4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obligations under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future minimum payments under non-cancelable operating leases, were as follows (in thousands):</w:t>
      </w:r>
    </w:p>
    <w:p>
      <w:pPr>
        <w:pStyle w:val="TextBody"/>
        <w:bidi w:val="0"/>
        <w:jc w:val="left"/>
        <w:rPr/>
      </w:pPr>
      <w:r>
        <w:rPr/>
        <w:t> </w:t>
      </w:r>
    </w:p>
    <w:tbl>
      <w:tblPr>
        <w:tblW w:w="5703" w:type="dxa"/>
        <w:jc w:val="left"/>
        <w:tblInd w:w="0" w:type="dxa"/>
        <w:tblLayout w:type="fixed"/>
        <w:tblCellMar>
          <w:top w:w="28" w:type="dxa"/>
          <w:left w:w="28" w:type="dxa"/>
          <w:bottom w:w="28" w:type="dxa"/>
          <w:right w:w="28" w:type="dxa"/>
        </w:tblCellMar>
      </w:tblPr>
      <w:tblGrid>
        <w:gridCol w:w="4051"/>
        <w:gridCol w:w="146"/>
        <w:gridCol w:w="333"/>
        <w:gridCol w:w="762"/>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Grants and Licenses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ALS Therapy Development Foundation, Inc.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2015, Anelixis executed a License Agreement (the “Agreement”), which is an exclusive patent rights agreement with ALS Therapy Development Foundation, Inc. (“ALS TDI”) for certain patents and “know-how” of ALS TDI. This Agreement continues until the licensee terminates the agreement with ninety days written notice. The Agreement requires license fees payable to ALS TDI, subject to the achievement of certain milestones and other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and second milestones of the Agreement are the dosing of the first subjects in a first toxicity study in non-human primates and the dosing of the first patient in a Phase I Clinical Trial, respectively. Both of these milestones were achieved prior to 2024. The fee due upon achievement of each milestone was $1.0 million, and as the payments became due, the Company settled the obligations through the issuance of common stock in lieu of cash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was amended and restated in February 2020, and a first amendment to the restated license agreement was executed in September 2020. As amended in September 2020, the remaining milestone payments for a first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total $6.0 million. In the event that the Company develops a second licensed product, the Company is obligated to pay up to $2.5 million in additional milestone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milestone payments, the Company is required to pay ALS TDI an amended annual license maintenance fee of $0.1 million beginning on the earlier of January 1, 2022, the Company’s first sublicense, or change in control, as defined in the Agreement. The Company has made a $0.1 million annual license maintenance fee each year since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Company is required to pay ALS TDI fees based on reaching certain levels of annual net sales of any product produced with the patent rights. A royalty in the low single digits will be due on aggregate net sales. Upon the first calendar year of reaching $500.0 million in aggregate net sales, the Company will be required to pay ALS TDI a one-time milestone payment of $15.0 million. Upon the first calendar year of reaching $1.0 billion in aggregate net sales, the Company is obligated to pay ALS TDI a one-time milestone payment of $30.0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milestones achieved during the years ended December 31, 2025 or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Lonza Sales AG Inc.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2018, Anelixis executed a License Agreement (the “Lonza Agreement”), which is a manufacturing know-how rights agreement with Lonza Sales AG Inc. (“Lonza”) for the use of certain processes and know-how related to the manufacture of tegoprubart. The Lonza Agreement continues until the later of the last Valid Claim (as defined therein) or ten years from the First Commercial Sale of tegoprubart, as defined and subject to the conditions therein. A royalty in the low single digits will be due on aggregate net sales of tegoprubart that is manufactured by Lonza or any other third-party or licensee. For the years ended December 31, 2025 and 2024, the Company has not paid any royalties under the Lonza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its subsidiaries are not a party to or the subject of any claim or lawsuit that individually or in the aggregate is anticipated to have a material effect on the Company’s results of operations, financial condition or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because of these indemnification obligations. No amounts associated with such indemnifications have been recorded to date.</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at December 31, 2025 and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8.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before income taxes are as follows (in thousands):</w:t>
      </w:r>
    </w:p>
    <w:p>
      <w:pPr>
        <w:pStyle w:val="TextBody"/>
        <w:bidi w:val="0"/>
        <w:jc w:val="left"/>
        <w:rPr/>
      </w:pPr>
      <w:r>
        <w:rPr/>
        <w:t> </w:t>
      </w:r>
    </w:p>
    <w:tbl>
      <w:tblPr>
        <w:tblW w:w="5204" w:type="dxa"/>
        <w:jc w:val="left"/>
        <w:tblInd w:w="0" w:type="dxa"/>
        <w:tblLayout w:type="fixed"/>
        <w:tblCellMar>
          <w:top w:w="28" w:type="dxa"/>
          <w:left w:w="28" w:type="dxa"/>
          <w:bottom w:w="28" w:type="dxa"/>
          <w:right w:w="28" w:type="dxa"/>
        </w:tblCellMar>
      </w:tblPr>
      <w:tblGrid>
        <w:gridCol w:w="2461"/>
        <w:gridCol w:w="146"/>
        <w:gridCol w:w="211"/>
        <w:gridCol w:w="736"/>
        <w:gridCol w:w="166"/>
        <w:gridCol w:w="146"/>
        <w:gridCol w:w="211"/>
        <w:gridCol w:w="736"/>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Losses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are as follows (in thousands):</w:t>
      </w:r>
    </w:p>
    <w:p>
      <w:pPr>
        <w:pStyle w:val="TextBody"/>
        <w:bidi w:val="0"/>
        <w:jc w:val="left"/>
        <w:rPr/>
      </w:pPr>
      <w:r>
        <w:rPr/>
        <w:t> </w:t>
      </w:r>
    </w:p>
    <w:tbl>
      <w:tblPr>
        <w:tblW w:w="5049" w:type="dxa"/>
        <w:jc w:val="left"/>
        <w:tblInd w:w="0" w:type="dxa"/>
        <w:tblLayout w:type="fixed"/>
        <w:tblCellMar>
          <w:top w:w="28" w:type="dxa"/>
          <w:left w:w="28" w:type="dxa"/>
          <w:bottom w:w="28" w:type="dxa"/>
          <w:right w:w="28" w:type="dxa"/>
        </w:tblCellMar>
      </w:tblPr>
      <w:tblGrid>
        <w:gridCol w:w="3031"/>
        <w:gridCol w:w="146"/>
        <w:gridCol w:w="211"/>
        <w:gridCol w:w="346"/>
        <w:gridCol w:w="146"/>
        <w:gridCol w:w="146"/>
        <w:gridCol w:w="211"/>
        <w:gridCol w:w="421"/>
        <w:gridCol w:w="3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1" w:type="dxa"/>
            <w:tcBorders/>
            <w:shd w:fill="D2EFFA"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2EF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2EFFA"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D2EFFA"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1" w:type="dxa"/>
            <w:tcBorders/>
            <w:shd w:fill="D2EFFA"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D2EFFA"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D2EF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1" w:type="dxa"/>
            <w:tcBorders>
              <w:bottom w:val="double" w:sz="6" w:space="0" w:color="000000"/>
            </w:tcBorders>
            <w:shd w:fill="D2EFFA"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judgment is required in determining the Company’s provision for income taxes, deferred tax assets and liabilities and the valuation allowance recorded against net deferred tax assets.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review, the Company concluded that it was more likely than not that they would not realize the benefit of a portion of its deferred tax assets in the future. This conclusion was based on historical and projected operating performance, as well as the Company’s expectation that its operations will not generate sufficient taxable income in future periods to realize the tax benefits associated with the deferred tax assets within the statutory carryover periods. Therefore, the Company has a valuation allowance on its deferred tax assets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U.S. federal statutory income tax rate to the Company’s effective income tax rate is as follows (in thousands):</w:t>
      </w:r>
    </w:p>
    <w:p>
      <w:pPr>
        <w:pStyle w:val="TextBody"/>
        <w:bidi w:val="0"/>
        <w:jc w:val="left"/>
        <w:rPr/>
      </w:pPr>
      <w:r>
        <w:rPr/>
        <w:t> </w:t>
      </w:r>
    </w:p>
    <w:tbl>
      <w:tblPr>
        <w:tblW w:w="6889" w:type="dxa"/>
        <w:jc w:val="left"/>
        <w:tblInd w:w="0" w:type="dxa"/>
        <w:tblLayout w:type="fixed"/>
        <w:tblCellMar>
          <w:top w:w="28" w:type="dxa"/>
          <w:left w:w="28" w:type="dxa"/>
          <w:bottom w:w="28" w:type="dxa"/>
          <w:right w:w="28" w:type="dxa"/>
        </w:tblCellMar>
      </w:tblPr>
      <w:tblGrid>
        <w:gridCol w:w="4351"/>
        <w:gridCol w:w="146"/>
        <w:gridCol w:w="211"/>
        <w:gridCol w:w="676"/>
        <w:gridCol w:w="166"/>
        <w:gridCol w:w="146"/>
        <w:gridCol w:w="146"/>
        <w:gridCol w:w="631"/>
        <w:gridCol w:w="41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benefit at statutory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permanent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*State taxes in Massachusetts made up the majority (greater than 50%) of the tax effect in this category. The Company paid a majority of cash taxes in Massachusetts.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for the years ended December 31, 2024, prior to the adoption of ASU 2023-09, the table below is a reconciliation of the components that caused the Company's provision (benefit) for income taxes to differ from amounts computed by applying the U.S. Federal statutory rate of 21% (in thousands):</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3781"/>
        <w:gridCol w:w="146"/>
        <w:gridCol w:w="357"/>
        <w:gridCol w:w="1143"/>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components of the Company’s deferred tax assets and liabilities as of December 31, 2025 and 2024 consisted of the following (in thousands):</w:t>
      </w:r>
    </w:p>
    <w:p>
      <w:pPr>
        <w:pStyle w:val="TextBody"/>
        <w:bidi w:val="0"/>
        <w:jc w:val="left"/>
        <w:rPr/>
      </w:pPr>
      <w:r>
        <w:rPr/>
        <w:t> </w:t>
      </w:r>
    </w:p>
    <w:tbl>
      <w:tblPr>
        <w:tblW w:w="5959" w:type="dxa"/>
        <w:jc w:val="left"/>
        <w:tblInd w:w="0" w:type="dxa"/>
        <w:tblLayout w:type="fixed"/>
        <w:tblCellMar>
          <w:top w:w="28" w:type="dxa"/>
          <w:left w:w="28" w:type="dxa"/>
          <w:bottom w:w="28" w:type="dxa"/>
          <w:right w:w="28" w:type="dxa"/>
        </w:tblCellMar>
      </w:tblPr>
      <w:tblGrid>
        <w:gridCol w:w="3196"/>
        <w:gridCol w:w="146"/>
        <w:gridCol w:w="211"/>
        <w:gridCol w:w="736"/>
        <w:gridCol w:w="166"/>
        <w:gridCol w:w="146"/>
        <w:gridCol w:w="211"/>
        <w:gridCol w:w="736"/>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IPR&amp;D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beginning and ending amounts of unrecognized tax benefits for the years presented (in thousands):</w:t>
      </w:r>
    </w:p>
    <w:p>
      <w:pPr>
        <w:pStyle w:val="TextBody"/>
        <w:bidi w:val="0"/>
        <w:jc w:val="left"/>
        <w:rPr/>
      </w:pPr>
      <w:r>
        <w:rPr/>
        <w:t> </w:t>
      </w:r>
    </w:p>
    <w:tbl>
      <w:tblPr>
        <w:tblW w:w="7209" w:type="dxa"/>
        <w:jc w:val="left"/>
        <w:tblInd w:w="0" w:type="dxa"/>
        <w:tblLayout w:type="fixed"/>
        <w:tblCellMar>
          <w:top w:w="28" w:type="dxa"/>
          <w:left w:w="28" w:type="dxa"/>
          <w:bottom w:w="28" w:type="dxa"/>
          <w:right w:w="28" w:type="dxa"/>
        </w:tblCellMar>
      </w:tblPr>
      <w:tblGrid>
        <w:gridCol w:w="4996"/>
        <w:gridCol w:w="146"/>
        <w:gridCol w:w="211"/>
        <w:gridCol w:w="571"/>
        <w:gridCol w:w="166"/>
        <w:gridCol w:w="146"/>
        <w:gridCol w:w="211"/>
        <w:gridCol w:w="571"/>
        <w:gridCol w:w="1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unrecognized tax benefits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from tax positions taken in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from tax positions taken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year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unrecognized tax benefits at the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income taxes paid, net of refunds, for the year ended December 31, 2025 (in thousands).</w:t>
      </w:r>
    </w:p>
    <w:p>
      <w:pPr>
        <w:pStyle w:val="TextBody"/>
        <w:bidi w:val="0"/>
        <w:spacing w:before="120" w:after="283"/>
        <w:jc w:val="left"/>
        <w:rPr/>
      </w:pPr>
      <w:r>
        <w:rPr/>
        <w:t> </w:t>
      </w:r>
    </w:p>
    <w:tbl>
      <w:tblPr>
        <w:tblW w:w="3908" w:type="dxa"/>
        <w:jc w:val="left"/>
        <w:tblInd w:w="0" w:type="dxa"/>
        <w:tblLayout w:type="fixed"/>
        <w:tblCellMar>
          <w:top w:w="28" w:type="dxa"/>
          <w:left w:w="28" w:type="dxa"/>
          <w:bottom w:w="28" w:type="dxa"/>
          <w:right w:w="28" w:type="dxa"/>
        </w:tblCellMar>
      </w:tblPr>
      <w:tblGrid>
        <w:gridCol w:w="2071"/>
        <w:gridCol w:w="146"/>
        <w:gridCol w:w="566"/>
        <w:gridCol w:w="934"/>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deferred income tax assets have been offset by a valuation allowance, as realization is dependent on future earnings, if any, the timing and amount of which are uncertain. The net valuation allowance increased by $16.6 million from December 31, 2024 to December 31, 2025. The net valuation allowance increased by $15.6 million from December 31, 2023 to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accounting for deferred taxes involves the evaluation of a number of factors concerning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 At present, the Company does not believe that it is more likely than not that the deferred tax assets will be realized; accordingly, a valuation allowance has been established.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 Company had federal net operating loss carryforwards of approximately $117.5 million and $88.7 million, respectively, available to reduce future taxable income. As of December 31, 2025 and 2024, the Company also had state net operating loss carryforwards of $49.1 million and $37.7 million, respectively. Both the federal and state net operating loss carryforwards incurred before 2018 begin expiring in 2035, if not utilized. The federal net operating losses incurred since 2018 of $116.7 million do not expire. The state net operating losses begin to expire in 2035. As of December 31, 2025 and 2024, the Company had Israel net operating losses of $7.9 million, respectively, which carryforward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 Company had federal research and development tax credit carryforwards of approximately $11.5 million and $8.0 million, respectively. If not utilized, the carryforwards will begin expiring in 2035. As of December 31, 2025 and 2024, the Company had state research and development credit carryforwards of approximately $3.4 million and $2.6 million, respectively, which will begin expiring in 2030 if not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Internal Revenue Code of 1986, as amended (“IRC”) Sections 382 and 383, annual use of the Company’s net operating loss and research and development credit carryforwards may be limited in the event a cumulative change in ownership of more than 50% occurs within a three-year period. The Company has not completed an IRC Section 382/383 analysis regarding the limitation of net operating loss and research and development credit carryforwards. Due to the existence of the valuation allowance, future changes in the Company’s unrecognized tax benefits will not impact the Company’s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ability to use its remaining net operating loss and tax credit carryforwards may be further limited if the Company experiences an IRC Section 382 ownership change in connection with future changes in our stock ownership.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Company files income tax returns in the U.S. Federal jurisdiction, California and Massachusetts. The Company’s tax years for 2019 and forward are subject to examination by the Federal and California tax authorities due to the carryforward of unutilized net operating losses and research and development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is to recognize interest expense and penalties related to income tax matters as a component of income tax expense. There was no accrued interest and penalties associated with uncertain tax positions as of December 31, 2025 and 2024. The Company has not recorded any interest or penalties as of December 31,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OBBBA was signed into law. The legislation includes several changes to federal tax law that generally allow for more favorable deductibility of certain business expenses beginning in 2025, including the restoration of immediate expensing of domestic research and development expenditures, reinstatement of 100% bonus depreciation,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favorable rules for determining the limitation on business interest expense. OBBBA changes effective for 2025 were determined to have no impact to the income tax provision for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Preferred Stock and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5,000,000 authorized shares of preferred stock with a par value of $0.001 per share: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Series X</w:t>
      </w:r>
      <w:r>
        <w:rPr>
          <w:rFonts w:ascii="Times New Roman" w:hAnsi="Times New Roman"/>
          <w:color w:val="000000"/>
          <w:sz w:val="13"/>
        </w:rPr>
        <w:t>1</w:t>
      </w:r>
      <w:r>
        <w:rPr>
          <w:color w:val="000000"/>
        </w:rPr>
        <w:t xml:space="preserve"> </w:t>
      </w:r>
      <w:r>
        <w:rPr>
          <w:rFonts w:ascii="Times New Roman" w:hAnsi="Times New Roman"/>
          <w:color w:val="000000"/>
          <w:sz w:val="20"/>
        </w:rPr>
        <w:t>non-voting convertible preferred stock, 515,000</w:t>
      </w:r>
      <w:r>
        <w:rPr>
          <w:color w:val="000000"/>
        </w:rPr>
        <w:t xml:space="preserve"> </w:t>
      </w:r>
      <w:r>
        <w:rPr>
          <w:rFonts w:ascii="Times New Roman" w:hAnsi="Times New Roman"/>
          <w:color w:val="000000"/>
          <w:sz w:val="20"/>
        </w:rPr>
        <w:t>shares designated; 110,086</w:t>
      </w:r>
      <w:r>
        <w:rPr>
          <w:color w:val="000000"/>
        </w:rPr>
        <w:t xml:space="preserve"> </w:t>
      </w:r>
      <w:r>
        <w:rPr>
          <w:rFonts w:ascii="Times New Roman" w:hAnsi="Times New Roman"/>
          <w:color w:val="000000"/>
          <w:sz w:val="20"/>
        </w:rPr>
        <w:t xml:space="preserve">shares issued and outstanding at December 31, 2025 and 2024,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Series X non-voting convertible preferred stock, 10,000</w:t>
      </w:r>
      <w:r>
        <w:rPr>
          <w:color w:val="000000"/>
        </w:rPr>
        <w:t xml:space="preserve"> </w:t>
      </w:r>
      <w:r>
        <w:rPr>
          <w:rFonts w:ascii="Times New Roman" w:hAnsi="Times New Roman"/>
          <w:color w:val="000000"/>
          <w:sz w:val="20"/>
        </w:rPr>
        <w:t>shares designated; 4,422</w:t>
      </w:r>
      <w:r>
        <w:rPr>
          <w:color w:val="000000"/>
        </w:rPr>
        <w:t xml:space="preserve"> </w:t>
      </w:r>
      <w:r>
        <w:rPr>
          <w:rFonts w:ascii="Times New Roman" w:hAnsi="Times New Roman"/>
          <w:color w:val="000000"/>
          <w:sz w:val="20"/>
        </w:rPr>
        <w:t>shares issued and</w:t>
      </w:r>
      <w:r>
        <w:rPr>
          <w:color w:val="000000"/>
        </w:rPr>
        <w:t xml:space="preserve"> </w:t>
      </w:r>
      <w:r>
        <w:rPr>
          <w:rFonts w:ascii="Times New Roman" w:hAnsi="Times New Roman"/>
          <w:color w:val="000000"/>
          <w:sz w:val="20"/>
        </w:rPr>
        <w:t>outstanding at December 31, 2025 and 2024.</w:t>
      </w:r>
    </w:p>
    <w:p>
      <w:pPr>
        <w:pStyle w:val="TextBody"/>
        <w:bidi w:val="0"/>
        <w:spacing w:before="240" w:after="283"/>
        <w:jc w:val="left"/>
        <w:rPr>
          <w:rFonts w:ascii="Times New Roman" w:hAnsi="Times New Roman"/>
          <w:sz w:val="20"/>
        </w:rPr>
      </w:pPr>
      <w:r>
        <w:rPr>
          <w:rFonts w:ascii="Times New Roman" w:hAnsi="Times New Roman"/>
          <w:color w:val="000000"/>
          <w:sz w:val="20"/>
        </w:rPr>
        <w:t>Each share of Preferred Stock is convertible into 55.5556 shares of common stock, at the option of the holder at any time, subject to certain limitations, including, that the holder will be prohibited from converting the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w:t>
      </w:r>
      <w:r>
        <w:rPr>
          <w:rFonts w:ascii="Times New Roman" w:hAnsi="Times New Roman"/>
          <w:color w:val="000000"/>
          <w:sz w:val="13"/>
        </w:rPr>
        <w:t>1</w:t>
      </w:r>
      <w:r>
        <w:rPr>
          <w:rFonts w:ascii="Times New Roman" w:hAnsi="Times New Roman"/>
          <w:color w:val="000000"/>
          <w:sz w:val="20"/>
        </w:rPr>
        <w:t xml:space="preserve"> Preferred Stock, respectively. The holder of the Preferred Stock is entitled to receive dividends on shares of the Preferred Stock equal (on an as-if-converted-to-common-stock basis and without regard to any beneficial ownership limitations) to and in the same form as dividends actually paid on shares of the common stock. No other dividends will be paid on shares of the Preferred Stock. In the event of any liquidation, dissolution or winding up, the holder of the Preferred Stock will be entitled to receive out of the assets, whether capital or surplus, the same amount that a holder of common stock would receive if the Preferred Stock were fully converted to common stock, which amounts shall be paid pari passu with all holders of common stock. Shares of the Preferred Stock will generally have no voting rights, except as required by law and except that the consent of a majority of the holders of either series of outstanding Preferred Stock will be required to amend the terms of such series.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Preferred Stock includes a provision that, in the event of a tender or exchange offer by a third party in which more than 50% of the common stockholders receive cash or other assets, allows holders of Preferred Stock, upon any subsequent conversion, to redeem their shares for the same form of consideration. In August 2025, the Company concluded that because this redemption right may be triggered by an event outside the Company’s control and could result in settlement in cash, the Preferred Stock is classified as temporary equity. As of the current reporting date, a tender offer is not probable, and the preferred stock is not deemed probable of becoming redeemable. Because redemption is not considered probable, the Preferred Stock is not subsequently remeasured to its redemption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2025, the Company held its 2025 Annual Meeting of Stockholders (the “2025 Annual Meeting”). At the 2025 Annual Meeting, the Company’s stockholders approved an amendment (the “Authorized Share Increase Amendment”) to the Company’s Restated Certificate of Incorporation (as amended, the “Certificate of Incorporation”) to increase the number of authorized shares of common stock from 200,000,000 to 300,000,000 shares.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2023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28, 2023, the Company entered into a Securities Purchase Agreement (the “2023 Securities Purchase Agreement”) with certain investors, pursuant to which the Company agreed to issue and sell to the investors in a private placement (the “2023 Private Placement”) (i) in an initial closing, (a) an aggregate of 15,151,518 shares (the “Shares”) of the Company’s common stock, $0.001 par value per share (“common stock”), or pre-funded warrants in lieu thereof (the “Pre-Funded Warrants”), and (b) common stock warrants exercisable into an aggregate of 15,151,518 shares of common stock (or Pre-Funded Warrants in lieu thereof) (the “Common Warrants” and, together with the Pre-Funded Warrants, the “Warrants”); (ii) in a second closing (the “Second Closing”), upon the satisfaction or waiver of specified conditions set forth in the 2023 Securities Purchase Agreement, an aggregate of 20,202,024 shares of common stock (or Pre-Funded Warrants); and (iii) in a third closing (the “Third Closing”), upon the satisfaction or waiver of specified conditions set forth in the 2023 Securities Purchase Agreement, an aggregate of 25,252,530 shares of common stock (or Pre-Funded Warrants), in each case subject to customary adjustments as provided in the 2023 Securities Purchase Agreement, Pre-Funded Warrant or Common Warrant,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Each Common Warrant has an exercise price of $3.00 per share and expires five years after issuance. The Pre-Funded Warrants are exercisable immediately and until exercised in full, with an exercise price of $0.001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Pre-Funded Warrants and Common Warrants are subject to specified beneficial ownership limitations, which are generally set at 9.99% of the total common stock then issued and outstanding immediately following the exercise of such warrants, and provided that any beneficial ownership limitation may not exceed 19.99% unless otherwise permitted. The Shares, the Warrants, and the shares of common stock issuable upon the exercise of the Warrants, have not been registered under the Securities Act of 1933, as amended (the “Securities Act”), and were offered pursuant to the exemption from registration provided in Section 4(a)(2) under the Securities Act and Rule 506(b) promulgated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5, 2023, the initial closing occurred, and the Company received $35.0 million, or net proceeds of approximately $33.0 million after deducting offering costs, in exchange for 8,730,168 shares of common stock and Pre-Funded Warrants to purchase 6,421,350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8, 2024, the Second Closing occurred, and the Company received gross proceeds of $2.1 million, or net proceeds of approximately $2.0 million after deducting offering costs, in exchange for 909,088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2024, and October 1, 2024, the Third Closing occurred, and the Company received gross proceeds of $4.0 million, or net proceeds of approximately $3.8 million after deducting offering costs, in exchange for 1,727,400 shares of common stock.</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connection with the 2023 Private Placement, the Company filed on May 18, 2023, a registration statement on Form S-3 (the “2023 Registration Statement”) with the SEC to register for resale the Shares and the shares of common stock issuable upon the exercise of the Warrants. The 2023 Registration Statement became effective on June 2, 2023.</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August 2024, the Company concluded that the Common Warrants, and the potential issuance of Pre-Funded Warrants in lieu of additional shares of common stock in the Second Closing and Third Closing (the “Subsequent Closing Warrants”) do not meet the conditions to be classified as equity instruments under ASC 815-40 and must instead be recorded as liabilities on the Company’s consolidated balance sheets at their fair value and remeasured at fair value for each subsequent reporting period. As of October 2024, the Subsequent Closing Warrants either expired or were settled in connection with the Second Closing and Third Closing. Accordingly, the Company's consolidated balance sheets no longer include any fair value associated with the Subsequent Closing Warrants.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valuation of the Common Warrants is adjusted to fair value (Level 3) at each balance sheet date until the Common Warrants are settled or expired.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following table presents the assumptions used in the Black-Scholes option pricing model to determine the fair value of the Common Warrants as of December 31, 2025 and 2024 as follows:</w:t>
      </w:r>
    </w:p>
    <w:tbl>
      <w:tblPr>
        <w:tblW w:w="4667" w:type="dxa"/>
        <w:jc w:val="left"/>
        <w:tblInd w:w="0" w:type="dxa"/>
        <w:tblLayout w:type="fixed"/>
        <w:tblCellMar>
          <w:top w:w="28" w:type="dxa"/>
          <w:left w:w="28" w:type="dxa"/>
          <w:bottom w:w="28" w:type="dxa"/>
          <w:right w:w="28" w:type="dxa"/>
        </w:tblCellMar>
      </w:tblPr>
      <w:tblGrid>
        <w:gridCol w:w="2626"/>
        <w:gridCol w:w="146"/>
        <w:gridCol w:w="229"/>
        <w:gridCol w:w="506"/>
        <w:gridCol w:w="146"/>
        <w:gridCol w:w="146"/>
        <w:gridCol w:w="211"/>
        <w:gridCol w:w="46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6, 2024, the Company entered into a Securities Purchase Agreement (the “2024 Securities Purchase Agreement”) with certain institutional and accredited investors, pursuant to which the Company agreed to issue and sell to the investors in a private placement (the “2024 Private Placement”) an aggregate of 13,110,484 shares (the “2024 Shares”) of the Company’s common stock, at a price of $2.37 per share, and pre-funded warrants (the “2024 Pre-Funded Warrants”) at a price of $2.369 per underlying share, which are exercisable to purchase 7,989,516 shares of common stock at an exercise price of $0.001 per share. The 2024 Pre-Funded Warrants were issued in lieu of shares of common stock and are exercisable immediately and until exercised in full. The 2024 Pre-Funded Warrants are subject to specified beneficial ownership limitations (equal to 4.99% or 9.99% as determined by the holders of each such warrant) of the total common stock then issued and outstanding immediately following the exercise of such warrants, and provided that any beneficial ownership limitation may not exceed 19.99% unless otherwise permitted. The 2024 Shares, the 2024 Pre-Funded Warrants,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common stock issuable upon the exercise of the 2024 Pre-Funded Warrants, have not been registered under the Securities Act and were offered pursuant to the exemption from registration provided in Section 4(a)(2) under the Securities Act and Rule 506(b) promulgated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Pre-Funded Warrants were classified as a component of permanent stockholders’ equity within additional paid-in-capital. The 2024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2024 Pre-Funded Warrants do not provide any guarantee of value or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Private Placement resulted in gross proceeds to the Company of $50.0 million, or net proceeds of approximately $48.1 million after deducting offering costs. The Company is using the net proceeds from the 2024 Private Placement to fund pre-commercial activities for its products and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2024 Private Placement, the Company filed on May 24, 2024, a registration statement on Form S-3 (the “2024 Registration Statement”) with the SEC to register for resale the 2024 Shares and the shares of common stock issuable upon the exercise of the 2024 Pre-Funded Warrants. The 2024 Registration Statement became effective on June 5, 2024.</w:t>
      </w:r>
    </w:p>
    <w:p>
      <w:pPr>
        <w:pStyle w:val="TextBody"/>
        <w:bidi w:val="0"/>
        <w:spacing w:before="360" w:after="283"/>
        <w:jc w:val="left"/>
        <w:rPr>
          <w:rFonts w:ascii="Times New Roman" w:hAnsi="Times New Roman"/>
          <w:sz w:val="20"/>
        </w:rPr>
      </w:pPr>
      <w:r>
        <w:rPr>
          <w:rFonts w:ascii="Times New Roman" w:hAnsi="Times New Roman"/>
          <w:b/>
          <w:i/>
          <w:color w:val="000000"/>
          <w:sz w:val="20"/>
        </w:rPr>
        <w:t>2024 Equity Distribution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20, 2024, the Company entered into an Open Market Sale Agreement (the “Sales Agreement”) with Guggenheim Securities, LLC (“Guggenheim Securities”) to sell shares of the Company’s common stock, having aggregate sales proceeds of up to $75.0 million, from time to time, through an “at the market” equity offering program under which Guggenheim Securities will act as sales agent. In connection with the Sales Agreement, the Company filed on September 20, 2024 a registration statement on Form S-3 containing a prospectus and prospectus supplement (the “Shelf Registration Statement”) with the SEC. The Shelf Registration Statement became effective on October 2, 2024. As of the year ended December 31, 2025, the Company has not sold any shares under the Sales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2024, the Company entered into an underwriting agreement with Leerink Partners, LLC, as representative of the several underwriters named therein in connection with the underwritten offering, issuance and sale by the Company (the “2024 Underwritten Offering”) of 18,356,173 shares of the Company’s common stock, at an offering price of $3.65 per share, and pre-funded warrants at a price of $3.649 per pre-funded warrant, which are exercisable to purchase 4,931,507 shares of the Company’s common stock at an exercise price of $0.001 per share (the “2024 Offering 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Offering Pre-Funded Warrants were classified as a component of permanent stockholders’ equity within additional paid-in-capital. The 2024 Offering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2024 Offering Pre-Funded Warrants do not provide any guarantee of value or return.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2024 Underwritten Offering closed on October 30, 2024 and resulted in gross proceeds of $85 million, or net proceeds of approximately $79.5 million after deducting underwriting discounts and commissions and offering expenses. The 2024 Underwritten Offering was made pursuant to the Shelf Registration Statement and a prospectus supplement relating to the 2024 Underwritten Offering dated October 29, 2024.</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 holder of the 2024 Offering Pre-Funded Warrants (together with its affiliates) may not exercise any portion of a 2024 Offering Pre-Funded Warrant to the extent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the Company's common stock outstanding immediately after giving effect to the issuance of shares of common stock issuable upon exercise of such 2024 Offering Pre-Funded Warrant.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12, 2025, the Company entered into an underwriting agreement (the “Underwriting Agreement”) with Leerink Partners, LLC, as representative of the several underwriters named therein (the “Underwriters”), in connection with the underwritten public offering and sale by the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had been exercised in full by the Underwriters.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Underwritten Offering closed on November 13, 2025 and resulted in gross proceeds of $57.5 million or net proceeds of approximately $53.6 million after deducting the underwriting discounts and commissions and offering expenses. The 2025 Underwritten Offering was made pursuant to the Shelf Registration Statement and a prospectus supplement relating to the 2025 Underwritten Offering dated November 12,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Offering Pre-Funded Warrants were classified as a component of permanent stockholders’ equity within additional paid-in-capital. The 2025 Offering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2025 Offering Pre-Funded Warrants do not provide any guarantee of value or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the Company's common stock outstanding immediately after giving effect to the issuance of shares of common stock issuable upon exercise of such 2025 Offering Pre-Funded Warrant. A holder may increase or decrease such beneficial ownership limitation, provided that in no event shall the limitation exceed 19.99% of the number of shares of the common stock outstanding immediately after giving effect to the issuance of shares of common stock upon exercise of the 2025 Offering Pre-Funded Warrant.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Warrant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30, 2025, the Company entered into an exchange agreement (the “Warrant Exchange Agreement”) with Coastlands Capital Partners LP, (“Coastlands Capital”), pursuant to which Coastlands Capital agreed to exchange 4,203,764 shares of the Company's common stock for a pre-funded warrant to purchase an aggregate of 4,203,764 shares of common stock (the “Exchange Warrant”), and the Company cancelled the 4,203,764 shares of common stock delivered in the exchange.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Coastlands Capital (together with its affiliates) may not exercise any portion of the Exchange Warrant to the extent that, after giving effect to such exercise, Coastlands Capital (together with its affiliates and any other persons acting as a group together with Coastlands Capital or any of the its affiliates) would beneficially own in excess of 4.99% of the number of shares of the Company’s common stock outstanding immediately after giving effect to the issuance of shares of common stock issuable upon exercise of the Exchange Warrant. Coastlands Capital may increase or decrease such beneficial ownership limitation, provided that in no event shall the limitation exceed 19.99% of the number of shares of the common stock outstanding immediately after giving effect to the issuance of shares of common stock upon exercise of the Exchange Warrant.</w:t>
      </w:r>
    </w:p>
    <w:p>
      <w:pPr>
        <w:pStyle w:val="TextBody"/>
        <w:bidi w:val="0"/>
        <w:spacing w:before="360" w:after="283"/>
        <w:jc w:val="left"/>
        <w:rPr>
          <w:rFonts w:ascii="Times New Roman" w:hAnsi="Times New Roman"/>
          <w:sz w:val="20"/>
        </w:rPr>
      </w:pPr>
      <w:r>
        <w:rPr>
          <w:rFonts w:ascii="Times New Roman" w:hAnsi="Times New Roman"/>
          <w:b/>
          <w:i/>
          <w:color w:val="000000"/>
          <w:sz w:val="20"/>
        </w:rPr>
        <w:t>Exercise of Pre-Funded Warrants from 2023 Securities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2024, Armistice Capital Master Fund Ltd. (the “Exercising Stockholder”) exercised Pre-Funded Warrants to purchase 600,000 shares of common stock at an exercise price of $0.001 per share, which were issued in conjunction with the 2023 Securities Purchase Agreement. On January 30, 2024, the Company issued 600,000 shares of common stock to the Exercising Stockholder in accordance with such exercise.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7, 2024, the Exercising Stockholder exercised Pre-Funded Warrants to purchase 583,000 shares of common stock at an exercise price of $0.001 per share, which were issued in conjunction with the 2023 Securities Purchase Agreement. On May 9, 2024, the Company issued 583,000 shares of common stock to the Exercising Stockholder in accordance with such exercise.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11, 2024, the Exercising Stockholder exercised their remaining Pre-Funded Warrants to purchase 240,000 shares of common stock at an exercise price of $0.001 per share, which were issued in conjunction with the 2023 Securities Purchase Agreement. On July 11, 2024, the Company issued 240,000 shares of common stock to the Exercising Stockholder in accordance with such exercise.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51,781,090 warrants and pre-funded warrants exercisable into common stock. The Company has issued both common stock warrants and pre-funded warrants. The pre-funded warrants are exercisable for shares of common stock at a nominal exercise price and were fully paid for at issuance, except for the nominal exercise amount. The pre-funded warrants are intended to be economically equivalent to the Company’s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warrants to purchase common stock activity:</w:t>
      </w:r>
    </w:p>
    <w:p>
      <w:pPr>
        <w:pStyle w:val="TextBody"/>
        <w:bidi w:val="0"/>
        <w:jc w:val="left"/>
        <w:rPr/>
      </w:pPr>
      <w:r>
        <w:rPr/>
        <w:t> </w:t>
      </w:r>
    </w:p>
    <w:tbl>
      <w:tblPr>
        <w:tblW w:w="8639" w:type="dxa"/>
        <w:jc w:val="left"/>
        <w:tblInd w:w="0" w:type="dxa"/>
        <w:tblLayout w:type="fixed"/>
        <w:tblCellMar>
          <w:top w:w="28" w:type="dxa"/>
          <w:left w:w="28" w:type="dxa"/>
          <w:bottom w:w="28" w:type="dxa"/>
          <w:right w:w="28" w:type="dxa"/>
        </w:tblCellMar>
      </w:tblPr>
      <w:tblGrid>
        <w:gridCol w:w="2821"/>
        <w:gridCol w:w="146"/>
        <w:gridCol w:w="242"/>
        <w:gridCol w:w="1723"/>
        <w:gridCol w:w="166"/>
        <w:gridCol w:w="146"/>
        <w:gridCol w:w="211"/>
        <w:gridCol w:w="1499"/>
        <w:gridCol w:w="146"/>
        <w:gridCol w:w="146"/>
        <w:gridCol w:w="146"/>
        <w:gridCol w:w="103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Roll-Forward of Warrant Activity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33,052,744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36,629,572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51,781,090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Company's outstanding warrants to purchase shares of common stock consisted of the following:</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61"/>
        <w:gridCol w:w="146"/>
        <w:gridCol w:w="358"/>
        <w:gridCol w:w="2543"/>
        <w:gridCol w:w="146"/>
        <w:gridCol w:w="146"/>
        <w:gridCol w:w="283"/>
        <w:gridCol w:w="767"/>
        <w:gridCol w:w="146"/>
        <w:gridCol w:w="146"/>
        <w:gridCol w:w="1563"/>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of Common Stock Issuable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Securities Purchase Agreement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5, 2028</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2021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2030</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Securities Purchase Agreement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Securities Purchase Agreement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Underwritten Offering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Underwritten Offering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Warrant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51,781,090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Preferred Stock Warrants</w:t>
      </w:r>
    </w:p>
    <w:p>
      <w:pPr>
        <w:pStyle w:val="TextBody"/>
        <w:bidi w:val="0"/>
        <w:spacing w:before="120" w:after="120"/>
        <w:jc w:val="left"/>
        <w:rPr>
          <w:rFonts w:ascii="Times New Roman" w:hAnsi="Times New Roman"/>
          <w:sz w:val="20"/>
        </w:rPr>
      </w:pPr>
      <w:r>
        <w:rPr>
          <w:rFonts w:ascii="Times New Roman" w:hAnsi="Times New Roman"/>
          <w:color w:val="000000"/>
          <w:sz w:val="20"/>
        </w:rPr>
        <w:t>As of December 31, 2025, all warrants exercisable for shares of Series X</w:t>
      </w:r>
      <w:r>
        <w:rPr>
          <w:rFonts w:ascii="Times New Roman" w:hAnsi="Times New Roman"/>
          <w:color w:val="000000"/>
          <w:sz w:val="13"/>
        </w:rPr>
        <w:t>1</w:t>
      </w:r>
      <w:r>
        <w:rPr>
          <w:rFonts w:ascii="Times New Roman" w:hAnsi="Times New Roman"/>
          <w:color w:val="000000"/>
          <w:sz w:val="20"/>
        </w:rPr>
        <w:t xml:space="preserve"> Preferred Stock expired in accordance with their original terms.</w:t>
      </w:r>
    </w:p>
    <w:tbl>
      <w:tblPr>
        <w:tblW w:w="8143" w:type="dxa"/>
        <w:jc w:val="left"/>
        <w:tblInd w:w="0" w:type="dxa"/>
        <w:tblLayout w:type="fixed"/>
        <w:tblCellMar>
          <w:top w:w="28" w:type="dxa"/>
          <w:left w:w="28" w:type="dxa"/>
          <w:bottom w:w="28" w:type="dxa"/>
          <w:right w:w="28" w:type="dxa"/>
        </w:tblCellMar>
      </w:tblPr>
      <w:tblGrid>
        <w:gridCol w:w="2821"/>
        <w:gridCol w:w="146"/>
        <w:gridCol w:w="583"/>
        <w:gridCol w:w="4382"/>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Roll-Forward of Series X</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Convertible Preferred Warrant Activity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50,207.419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and replaced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D2EFFA"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(50,207.419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Stock-Based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all stock-based awards based on the grant-date estimated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For stock options granted to the Company’s board of directors (the “Board”), the Company determined the expected life assumption using the simplified method as the starting point with an average period of 12 months added to take into account the extended range of time of 12 to 18 months that vested stock options granted to Board members may be exercised upon termination.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Units (“RSUs”) are measured and recognized based on the quoted market price of our common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10, 2024, the Company held its 2024 Annual Meeting of Stockholders (the “2024 Annual Meeting”). At the 2024 Annual Meeting, the Company’s stockholders approved an amendment to the Company's 2020 Long Term Incentive Plan (the “2020 Plan”). The 2020 Plan, as amended, (i) reflects an increase in the limit on the aggregate number of shares of the Company’s common stock that may be delivered pursuant to all awards granted under the 2020 Incentive Plan by an additional 3,500,000 shares so that the new aggregate share limit under the 2020 Plan is 17,960,000 shares, and (ii) extends the date through which the Company may grant new awards under the 2020 Plan from November 15, 2030 to April 28, 2034.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 2023, the Company issued stock option awards to its employees with both time-based and performance-based vesting requirements, totaling 7,381,857 stock options, with 1,476,372 of the granted stock options subject to the Company’s customary time-based vesting schedule. The remaining 5,905,485 stock options granted are subject to both customary time-based vesting requirements and performance-based vesting requirements that are based on the same clinical development milestones applicable to the Second Closing and Third Closing of the 2023 Private Placement as specified in the 2023 Securities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amended the performance-based vesting requirements with its named executive officers and other employees that upon the Second Closing and Third Closing, a full or prorated amount of each closing installment shall vest based on the percentage of funding received relative to the total funding opportunity represented by the investors’ Second Closing and Third Closing subscription amounts. On June 13, 2024 and November 20, 2024, the performance-based vesting requirement based on the milestones applicable to the Second Closing and Third Closing were satisfied, and 5,763,085 stock options were 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2014 Stock Incentive Plan (the “2014 Plan”) was closed to new grants following the approval of the 2020 Plan, and therefore, there were no shares reserved for issuance under the 2014 Plan as of December 31, 2025. The number of shares reserved for issuance under the 2020 Plan and the Company's Employee Stock Purchase Plan was 3,961,166 and 24,077 shares, respectively,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all option activity under the 2014 Plan, 2020 Plan and inducement grants, including 2,713,083 shares forfeited by certain Company's executive officers and directors on December 30, 2025:</w:t>
      </w:r>
    </w:p>
    <w:p>
      <w:pPr>
        <w:pStyle w:val="TextBody"/>
        <w:bidi w:val="0"/>
        <w:jc w:val="left"/>
        <w:rPr/>
      </w:pPr>
      <w:r>
        <w:rPr/>
        <w:t> </w:t>
      </w:r>
    </w:p>
    <w:tbl>
      <w:tblPr>
        <w:tblW w:w="9622" w:type="dxa"/>
        <w:jc w:val="left"/>
        <w:tblInd w:w="0" w:type="dxa"/>
        <w:tblLayout w:type="fixed"/>
        <w:tblCellMar>
          <w:top w:w="28" w:type="dxa"/>
          <w:left w:w="28" w:type="dxa"/>
          <w:bottom w:w="28" w:type="dxa"/>
          <w:right w:w="28" w:type="dxa"/>
        </w:tblCellMar>
      </w:tblPr>
      <w:tblGrid>
        <w:gridCol w:w="3766"/>
        <w:gridCol w:w="146"/>
        <w:gridCol w:w="146"/>
        <w:gridCol w:w="1036"/>
        <w:gridCol w:w="166"/>
        <w:gridCol w:w="146"/>
        <w:gridCol w:w="350"/>
        <w:gridCol w:w="775"/>
        <w:gridCol w:w="146"/>
        <w:gridCol w:w="146"/>
        <w:gridCol w:w="285"/>
        <w:gridCol w:w="706"/>
        <w:gridCol w:w="146"/>
        <w:gridCol w:w="146"/>
        <w:gridCol w:w="267"/>
        <w:gridCol w:w="858"/>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Issuable</w:t>
              <w:br/>
              <w:t>Under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15,381,853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15,227,499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Intrinsic value is calculated as the difference between the exercise price of the underlying options and the fair value of the common stock for the options that had exercise prices that were lower than the fair value per share of the common stock on the date of exercise. The aggregate intrinsic value of options exercised during the year ended December 31, 2025 was $0.2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the fair value of stock option awards on the grant date using the Black-Scholes option pricing model with the following weighted-average assumptions:</w:t>
      </w:r>
    </w:p>
    <w:p>
      <w:pPr>
        <w:pStyle w:val="TextBody"/>
        <w:bidi w:val="0"/>
        <w:jc w:val="left"/>
        <w:rPr/>
      </w:pPr>
      <w:r>
        <w:rPr/>
        <w:t> </w:t>
      </w:r>
    </w:p>
    <w:tbl>
      <w:tblPr>
        <w:tblW w:w="4330" w:type="dxa"/>
        <w:jc w:val="left"/>
        <w:tblInd w:w="0" w:type="dxa"/>
        <w:tblLayout w:type="fixed"/>
        <w:tblCellMar>
          <w:top w:w="28" w:type="dxa"/>
          <w:left w:w="28" w:type="dxa"/>
          <w:bottom w:w="28" w:type="dxa"/>
          <w:right w:w="28" w:type="dxa"/>
        </w:tblCellMar>
      </w:tblPr>
      <w:tblGrid>
        <w:gridCol w:w="2626"/>
        <w:gridCol w:w="146"/>
        <w:gridCol w:w="631"/>
        <w:gridCol w:w="146"/>
        <w:gridCol w:w="78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 share weighted average grant date fair value of stock options granted during the years ended December 31, 2025 and 2024 was $3.25 and $1.93,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RSU activity, as follows:</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3166"/>
        <w:gridCol w:w="146"/>
        <w:gridCol w:w="156"/>
        <w:gridCol w:w="834"/>
        <w:gridCol w:w="166"/>
        <w:gridCol w:w="146"/>
        <w:gridCol w:w="551"/>
        <w:gridCol w:w="1219"/>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Issuable</w:t>
              <w:br/>
              <w:t>Under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compensation expense related to all of the Company’s stock-based awards for the years ended December 31, 2025 and 2024 was comprised of the following (in thousands):</w:t>
      </w:r>
    </w:p>
    <w:p>
      <w:pPr>
        <w:pStyle w:val="TextBody"/>
        <w:bidi w:val="0"/>
        <w:jc w:val="left"/>
        <w:rPr/>
      </w:pPr>
      <w:r>
        <w:rPr/>
        <w:t> </w:t>
      </w:r>
    </w:p>
    <w:tbl>
      <w:tblPr>
        <w:tblW w:w="6054"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total unrecognized stock-based compensation expense related to non-vested equity awards was $13.8 million, which is expected to be recognized over an estimated weighted-average period of 2.1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Net Loss Per Share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Basic and diluted net loss per share are calculated using the two-class method in accordance with ASC Topic 260, Earnings Per Share. The two-class method allocates undistributed losses to the Company’s outstanding common stock, and the Preferred Stock, based on each class’s proportionate share of the total weighted-average shares outstanding. Since the Company has never declared dividends, net loss and undistributed losses are equivalent.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The process is used for both common stock and Preferred Stock. As the rights and preferences of the Preferred Stock are substantially identical to each other, they are considered a single class of common stock for earnings per share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diluted net loss per share calculation, incentive stock options, restricted stock units and common warrants are considered to be potentially dilutive securities and are excluded from the calculation of diluted net loss per share because their effect would be anti-dilutive. Basic weighted average shares outstanding for the years ended and December 31, 2025 and 2024 include 36,629,572 and 12,443,755 respectively, shares underlying pre-funded warrants to purchase common shares. As the shares underlying these pre-funded warrants can be issued for little consideration (an exercise price per share equal to $0.001 per share), these shares are deemed to be issued for purposes of basic earnings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calculation of basic and diluted earnings per share for our common stock and Preferred Stock is as follows:</w:t>
      </w:r>
    </w:p>
    <w:tbl>
      <w:tblPr>
        <w:tblW w:w="10205" w:type="dxa"/>
        <w:jc w:val="left"/>
        <w:tblInd w:w="0" w:type="dxa"/>
        <w:tblLayout w:type="fixed"/>
        <w:tblCellMar>
          <w:top w:w="28" w:type="dxa"/>
          <w:left w:w="28" w:type="dxa"/>
          <w:bottom w:w="28" w:type="dxa"/>
          <w:right w:w="28" w:type="dxa"/>
        </w:tblCellMar>
      </w:tblPr>
      <w:tblGrid>
        <w:gridCol w:w="7042"/>
        <w:gridCol w:w="146"/>
        <w:gridCol w:w="211"/>
        <w:gridCol w:w="1036"/>
        <w:gridCol w:w="166"/>
        <w:gridCol w:w="146"/>
        <w:gridCol w:w="211"/>
        <w:gridCol w:w="1036"/>
        <w:gridCol w:w="2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48,543,787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shares outstanding of Series X and Series X</w:t>
            </w:r>
            <w:r>
              <w:rPr>
                <w:rFonts w:ascii="Times New Roman" w:hAnsi="Times New Roman"/>
                <w:color w:val="000000"/>
                <w:sz w:val="13"/>
              </w:rPr>
              <w:t>1</w:t>
            </w:r>
            <w:r>
              <w:rPr>
                <w:rFonts w:ascii="Times New Roman" w:hAnsi="Times New Roman"/>
                <w:color w:val="000000"/>
                <w:sz w:val="20"/>
              </w:rPr>
              <w:t> non-voting convertible preferred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used in the calculation of 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loss available to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Basic and diluted earnings per share of Series X and Series X</w:t>
            </w:r>
            <w:r>
              <w:rPr>
                <w:rFonts w:ascii="Times New Roman" w:hAnsi="Times New Roman"/>
                <w:color w:val="000000"/>
                <w:sz w:val="13"/>
              </w:rPr>
              <w:t>1</w:t>
            </w:r>
            <w:r>
              <w:rPr>
                <w:rFonts w:ascii="Times New Roman" w:hAnsi="Times New Roman"/>
                <w:color w:val="000000"/>
                <w:sz w:val="20"/>
              </w:rPr>
              <w:t> non-voting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The following table presents potentially dilutive securities outstanding based on the market price of the Company's common stock as of December 31, 2025 and 2024 that were excluded from the computation of diluted net loss per share because their inclusion would have been anti-dilutive. These securities consist of incentive stock options, restricted stock units and common warrants outstanding during the respective periods.</w:t>
      </w:r>
    </w:p>
    <w:tbl>
      <w:tblPr>
        <w:tblW w:w="7134" w:type="dxa"/>
        <w:jc w:val="left"/>
        <w:tblInd w:w="0" w:type="dxa"/>
        <w:tblLayout w:type="fixed"/>
        <w:tblCellMar>
          <w:top w:w="28" w:type="dxa"/>
          <w:left w:w="28" w:type="dxa"/>
          <w:bottom w:w="28" w:type="dxa"/>
          <w:right w:w="28" w:type="dxa"/>
        </w:tblCellMar>
      </w:tblPr>
      <w:tblGrid>
        <w:gridCol w:w="4246"/>
        <w:gridCol w:w="146"/>
        <w:gridCol w:w="146"/>
        <w:gridCol w:w="931"/>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and other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18,567,751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24,575,540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right"/>
        <w:rPr/>
      </w:pPr>
      <w:bookmarkStart w:id="39" w:name="eldn-ex4_8.htm"/>
      <w:bookmarkStart w:id="40" w:name="kseldnex4_8"/>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4.8</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REGISTRANT’S SECURITIES REGISTERED PURSUANT TO SECTION 12 OF THE SECURITIES EXCHANGE ACT OF 1934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by-laws, which are filed as exhibits to our Annual Report on Form 10-K, to which this exhibit is also appended.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authorized capital stock consists of 300,000,000 shares of common stock and 5,000,000 shares of preferred stock.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Annual Meeting.</w:t>
      </w:r>
      <w:r>
        <w:rPr>
          <w:rFonts w:ascii="Times New Roman" w:hAnsi="Times New Roman"/>
          <w:color w:val="000000"/>
          <w:sz w:val="20"/>
        </w:rPr>
        <w:t xml:space="preserve"> Annual meetings of our stockholders are held on the date designated in accordance with our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only by the board of directors, and business transacted at any special meetings of stockholders shall be limited to matters relating to the purpose or purposes stated in the notice of such meeting. Except as may be otherwise provided by applicable law, our restated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pStyle w:val="TextBody"/>
        <w:bidi w:val="0"/>
        <w:spacing w:before="240" w:after="283"/>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xml:space="preserve"> Each holder of common stock is entitled to one vote for each share held on all matters to be voted upon by stockholders.</w:t>
      </w:r>
    </w:p>
    <w:p>
      <w:pPr>
        <w:pStyle w:val="TextBody"/>
        <w:bidi w:val="0"/>
        <w:spacing w:before="24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The holders of common stock, after any preferences of holders of any preferred stock, are entitled to receive dividends when and if declared by the board of directors out of legally available funds.</w:t>
      </w:r>
    </w:p>
    <w:p>
      <w:pPr>
        <w:pStyle w:val="TextBody"/>
        <w:bidi w:val="0"/>
        <w:spacing w:before="240" w:after="283"/>
        <w:jc w:val="left"/>
        <w:rPr>
          <w:rFonts w:ascii="Times New Roman" w:hAnsi="Times New Roman"/>
          <w:sz w:val="20"/>
        </w:rPr>
      </w:pPr>
      <w:r>
        <w:rPr>
          <w:rFonts w:ascii="Times New Roman" w:hAnsi="Times New Roman"/>
          <w:b/>
          <w:i/>
          <w:color w:val="000000"/>
          <w:sz w:val="20"/>
        </w:rPr>
        <w:t>Liquidation and Dissolution.</w:t>
      </w:r>
      <w:r>
        <w:rPr>
          <w:rFonts w:ascii="Times New Roman" w:hAnsi="Times New Roman"/>
          <w:color w:val="000000"/>
          <w:sz w:val="20"/>
        </w:rPr>
        <w:t xml:space="preserve"> If we are liquidated or dissolved, the holders of the common stock will be entitled to share in our assets available for distribution to stockholders in proportion to the amount of common stock they own. The amount available for common stockholders is calculated after payment of liabilities. Holders of any preferred stock may be entitled to receive a preferential share of our assets before the holders of the common stock receive any assets.</w:t>
      </w:r>
    </w:p>
    <w:p>
      <w:pPr>
        <w:pStyle w:val="TextBody"/>
        <w:bidi w:val="0"/>
        <w:spacing w:before="240" w:after="283"/>
        <w:jc w:val="left"/>
        <w:rPr>
          <w:rFonts w:ascii="Times New Roman" w:hAnsi="Times New Roman"/>
          <w:sz w:val="20"/>
        </w:rPr>
      </w:pPr>
      <w:r>
        <w:rPr>
          <w:rFonts w:ascii="Times New Roman" w:hAnsi="Times New Roman"/>
          <w:b/>
          <w:i/>
          <w:color w:val="000000"/>
          <w:sz w:val="20"/>
        </w:rPr>
        <w:t>Other Rights.</w:t>
      </w:r>
      <w:r>
        <w:rPr>
          <w:rFonts w:ascii="Times New Roman" w:hAnsi="Times New Roman"/>
          <w:color w:val="000000"/>
          <w:sz w:val="20"/>
        </w:rPr>
        <w:t xml:space="preserve"> Holders of the common stock have no right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convert the stock into any other security;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have the stock redeemed;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purchase additional stock; 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maintain their proportionate ownership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common stock does not have cumulative voting rights. Holders of shares of the common stock are not required to make additional capital contributions.</w:t>
      </w:r>
    </w:p>
    <w:p>
      <w:pPr>
        <w:pStyle w:val="TextBody"/>
        <w:bidi w:val="0"/>
        <w:spacing w:before="240" w:after="283"/>
        <w:jc w:val="left"/>
        <w:rPr>
          <w:rFonts w:ascii="Times New Roman" w:hAnsi="Times New Roman"/>
          <w:sz w:val="20"/>
        </w:rPr>
      </w:pPr>
      <w:r>
        <w:rPr>
          <w:rFonts w:ascii="Times New Roman" w:hAnsi="Times New Roman"/>
          <w:b/>
          <w:i/>
          <w:color w:val="000000"/>
          <w:sz w:val="20"/>
        </w:rPr>
        <w:t>Transfer Agent and Registrar.</w:t>
      </w:r>
      <w:r>
        <w:rPr>
          <w:rFonts w:ascii="Times New Roman" w:hAnsi="Times New Roman"/>
          <w:color w:val="000000"/>
          <w:sz w:val="20"/>
        </w:rPr>
        <w:t xml:space="preserve"> Continental Stock Transfer &amp; Trust Company is transfer agent and registrar for the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authorized to issue “blank check” preferred stock, which may be issued in one or more series upon authorization of our board of directors. Our board of directors is authorized to fix the designation of the series,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of directors may determine not to seek stockholder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pStyle w:val="TextBody"/>
        <w:bidi w:val="0"/>
        <w:spacing w:before="240" w:after="283"/>
        <w:jc w:val="left"/>
        <w:rPr>
          <w:rFonts w:ascii="Times New Roman" w:hAnsi="Times New Roman"/>
          <w:sz w:val="20"/>
        </w:rPr>
      </w:pPr>
      <w:r>
        <w:rPr>
          <w:rFonts w:ascii="Times New Roman" w:hAnsi="Times New Roman"/>
          <w:b/>
          <w:i/>
          <w:color w:val="000000"/>
          <w:sz w:val="20"/>
        </w:rPr>
        <w:t>Series X and Series X</w:t>
      </w:r>
      <w:r>
        <w:rPr>
          <w:rFonts w:ascii="Times New Roman" w:hAnsi="Times New Roman"/>
          <w:b/>
          <w:i/>
          <w:color w:val="000000"/>
          <w:sz w:val="13"/>
        </w:rPr>
        <w:t>1</w:t>
      </w:r>
      <w:r>
        <w:rPr>
          <w:rFonts w:ascii="Times New Roman" w:hAnsi="Times New Roman"/>
          <w:color w:val="000000"/>
          <w:sz w:val="20"/>
        </w:rPr>
        <w:t xml:space="preserve"> </w:t>
      </w:r>
      <w:r>
        <w:rPr>
          <w:rFonts w:ascii="Times New Roman" w:hAnsi="Times New Roman"/>
          <w:b/>
          <w:i/>
          <w:color w:val="000000"/>
          <w:sz w:val="20"/>
        </w:rPr>
        <w:t>Convertible Preferred Stock</w:t>
      </w:r>
    </w:p>
    <w:p>
      <w:pPr>
        <w:pStyle w:val="TextBody"/>
        <w:bidi w:val="0"/>
        <w:spacing w:before="240" w:after="283"/>
        <w:jc w:val="left"/>
        <w:rPr>
          <w:rFonts w:ascii="Times New Roman" w:hAnsi="Times New Roman"/>
          <w:sz w:val="20"/>
        </w:rPr>
      </w:pPr>
      <w:r>
        <w:rPr>
          <w:rFonts w:ascii="Times New Roman" w:hAnsi="Times New Roman"/>
          <w:color w:val="000000"/>
          <w:sz w:val="20"/>
        </w:rPr>
        <w:t>Each share of Series X Convertible Preferred Stock, par value $0.001 per share (the “Series X Preferred Stock”) and the Series X</w:t>
      </w:r>
      <w:r>
        <w:rPr>
          <w:rFonts w:ascii="Times New Roman" w:hAnsi="Times New Roman"/>
          <w:color w:val="000000"/>
          <w:sz w:val="13"/>
        </w:rPr>
        <w:t xml:space="preserve">1 </w:t>
      </w:r>
      <w:r>
        <w:rPr>
          <w:rFonts w:ascii="Times New Roman" w:hAnsi="Times New Roman"/>
          <w:color w:val="000000"/>
          <w:sz w:val="20"/>
        </w:rPr>
        <w:t>Convertible Preferred Stock, par value $0.001 per share (the “Series X</w:t>
      </w:r>
      <w:r>
        <w:rPr>
          <w:rFonts w:ascii="Times New Roman" w:hAnsi="Times New Roman"/>
          <w:color w:val="000000"/>
          <w:sz w:val="13"/>
        </w:rPr>
        <w:t>1</w:t>
      </w:r>
      <w:r>
        <w:rPr>
          <w:rFonts w:ascii="Times New Roman" w:hAnsi="Times New Roman"/>
          <w:color w:val="000000"/>
          <w:sz w:val="20"/>
        </w:rPr>
        <w:t xml:space="preserve"> Preferred Stock,” and together with the Series X Preferred Stock, the “Convertible Preferred Stock”), is convertible into 55.5556 shares of Common Stock at the option of the holder at any time; subject to certain limitations, including, that the holder will be prohibited from converting the Convertible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w:t>
      </w:r>
      <w:r>
        <w:rPr>
          <w:rFonts w:ascii="Times New Roman" w:hAnsi="Times New Roman"/>
          <w:color w:val="000000"/>
          <w:sz w:val="13"/>
        </w:rPr>
        <w:t>1</w:t>
      </w:r>
      <w:r>
        <w:rPr>
          <w:rFonts w:ascii="Times New Roman" w:hAnsi="Times New Roman"/>
          <w:color w:val="000000"/>
          <w:sz w:val="20"/>
        </w:rPr>
        <w:t xml:space="preserve"> Preferred Stock, respectively. In the event of the Company’s liquidation, dissolution or winding up, holders of the Convertible Preferred Stock will participate pari passu with any distribution of proceeds to holders of Common Stock. Holders of the Convertible Preferred Stock are entitled to receive dividends on shares of the Convertible Preferred Stock, on an as-if-converted-to-Common-Stock basis (without regard to any beneficial ownership limitations), and in the same form as dividends actually paid on shares of the Common Stock. Shares of the Convertible Preferred Stock will generally have no voting rights, except as required by law and except that the consent of a majority of the holders of either series of outstanding Convertible Preferred Stock will be required to amend the terms of the such series.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long as any shares of the Convertible Preferred Stock are outstanding, the Company will not, without the affirmative vote of the holders of a majority of the then outstanding shares of either series of the Convertible Preferred Stock, as applicable, (a) alter or change adversely the powers, preferences or rights given to either series of the Convertible Preferred Stock, (b) alter or amend the Certificate of Designation for either series of the Convertible Preferred Stock (c) amend its certificate of incorporation or other charter documents in any manner that adversely affects any rights of the holders of either series of the Convertible Preferred Stock, (d) increase the number of authorized shares of either series of the Convertible Preferred Stock, or (e) enter into any agreement with respect to any of the foregoing. The Convertible Preferred Stock does not have a preference upon any liquidation, dissolution or winding-up of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Provisions of Our Certificate of Incorporation and By-laws and Delaware Law That May Have Anti-Takeover Effects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Staggered Board; Removal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divide our board of directors into three classes with staggered three-year terms. In addition, a director is only able to be removed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may only be filled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Stockholder Action by Written Consent; Special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by-laws also provide that, except as otherwise required by law, special meetings of our stockholders can only be called by our board of directors.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Advance Notice Requirements for Stockholder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establish an advance notice procedure for stockholder proposals to be brought before an annual meeting of stockholders, including proposed nominations of persons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Delaware Business Combination Statute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Section 203 of the Delaware General Corporation Law. Subject to certain exceptions, Section 203 prevents a publicly-held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Amendment of Certificate of Incorporation and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“-Staggered Board; Removal of Directors” and “-Stockholder Action by Written Consent; Special Meetings.”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2"/>
        </w:rPr>
      </w:pPr>
      <w:bookmarkStart w:id="41" w:name="eldn-ex10_22.htm"/>
      <w:bookmarkStart w:id="42" w:name="kseldnex10_22"/>
      <w:bookmarkEnd w:id="41"/>
      <w:bookmarkEnd w:id="42"/>
      <w:r>
        <w:rPr>
          <w:rFonts w:ascii="Times New Roman" w:hAnsi="Times New Roman"/>
          <w:color w:val="000000"/>
          <w:sz w:val="22"/>
        </w:rPr>
        <w:t>Exhibit 10.22</w:t>
      </w:r>
      <w:r>
        <w:br w:type="page"/>
      </w:r>
    </w:p>
    <w:p>
      <w:pPr>
        <w:pStyle w:val="TextBody"/>
        <w:bidi w:val="0"/>
        <w:jc w:val="left"/>
        <w:rPr>
          <w:rFonts w:ascii="Times New Roman" w:hAnsi="Times New Roman"/>
          <w:color w:val="000000"/>
          <w:sz w:val="24"/>
        </w:rPr>
      </w:pPr>
      <w:r>
        <w:rPr>
          <w:rFonts w:ascii="Times New Roman" w:hAnsi="Times New Roman"/>
          <w:color w:val="000000"/>
          <w:sz w:val="24"/>
        </w:rPr>
        <w:t>December 30,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David-Alexandre Gros</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Re: Voluntary Cancellation of Certain Option Grants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David-Alexandre Gros,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Eledon Pharmaceuticals, Inc. (the “Company”) has granted you an award or multiple awards of stock options under one of the Company’s long-term equity incentive plans. You have volunteered to forfeit for no consideration the stock option awards listed in the table below (the “Forfeited Options”):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3"/>
        <w:gridCol w:w="1053"/>
        <w:gridCol w:w="1415"/>
        <w:gridCol w:w="1242"/>
        <w:gridCol w:w="1490"/>
        <w:gridCol w:w="1874"/>
        <w:gridCol w:w="1888"/>
      </w:tblGrid>
      <w:tr>
        <w:trPr/>
        <w:tc>
          <w:tcPr>
            <w:tcW w:w="124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1243"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Grant Number</w:t>
            </w:r>
          </w:p>
        </w:tc>
        <w:tc>
          <w:tcPr>
            <w:tcW w:w="105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Grant Date</w:t>
            </w:r>
          </w:p>
        </w:tc>
        <w:tc>
          <w:tcPr>
            <w:tcW w:w="141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Expiration Date</w:t>
            </w:r>
          </w:p>
        </w:tc>
        <w:tc>
          <w:tcPr>
            <w:tcW w:w="124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Exercise Price</w:t>
            </w:r>
          </w:p>
        </w:tc>
        <w:tc>
          <w:tcPr>
            <w:tcW w:w="149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Vested or Unvested</w:t>
            </w:r>
          </w:p>
        </w:tc>
        <w:tc>
          <w:tcPr>
            <w:tcW w:w="187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or Time-Based Option</w:t>
            </w:r>
          </w:p>
        </w:tc>
        <w:tc>
          <w:tcPr>
            <w:tcW w:w="188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Total Number of Options Being Forfeited</w:t>
            </w:r>
          </w:p>
        </w:tc>
      </w:tr>
      <w:tr>
        <w:trPr/>
        <w:tc>
          <w:tcPr>
            <w:tcW w:w="12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374</w:t>
            </w:r>
          </w:p>
        </w:tc>
        <w:tc>
          <w:tcPr>
            <w:tcW w:w="10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9/9/2020</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9/8/2030</w:t>
            </w:r>
          </w:p>
        </w:tc>
        <w:tc>
          <w:tcPr>
            <w:tcW w:w="124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w:t>
            </w:r>
          </w:p>
        </w:tc>
        <w:tc>
          <w:tcPr>
            <w:tcW w:w="14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1,015,452</w:t>
            </w:r>
          </w:p>
        </w:tc>
        <w:tc>
          <w:tcPr>
            <w:tcW w:w="1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Time-Based</w:t>
            </w:r>
          </w:p>
        </w:tc>
        <w:tc>
          <w:tcPr>
            <w:tcW w:w="18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1,015,452</w:t>
            </w:r>
          </w:p>
        </w:tc>
      </w:tr>
      <w:tr>
        <w:trPr/>
        <w:tc>
          <w:tcPr>
            <w:tcW w:w="12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24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4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8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124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10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41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24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49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18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hereby agree that you are voluntary forfeiting the Forfeited Options in exchange for your continued employment or service with the Company, and that the Forfeited Options are not (1) being canceled, exchanged, or surrendered in exchange for cash or other awards for the purpose of repricing the Forfeited Options, or (2) being canceled, exchanged, or surrendered for a new option or SAR award with an exercise or base price that is less than the exercise or base price of the Forfeited Options.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Except for the Forfeited Options, all of your other outstanding stock options granted by the Company shall remain outstanding in accordance with their terms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but all of which together will constitute one and the same instrument. This agreement shall become binding when one or more counterparts hereof, individually or taken together, shall bear the signatures of all of the parties reflected hereon as the signatories. Photographic copies of such signed counterparts may be used in lieu of the originals for any purpose.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Exhibit 10.22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Eledon Pharmaceuticals, Inc.</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___/s/ Paul Little_______________</w:t>
      </w:r>
    </w:p>
    <w:p>
      <w:pPr>
        <w:pStyle w:val="TextBody"/>
        <w:bidi w:val="0"/>
        <w:jc w:val="left"/>
        <w:rPr>
          <w:rFonts w:ascii="Times New Roman" w:hAnsi="Times New Roman"/>
          <w:color w:val="000000"/>
          <w:sz w:val="24"/>
        </w:rPr>
      </w:pPr>
      <w:r>
        <w:rPr>
          <w:rFonts w:ascii="Times New Roman" w:hAnsi="Times New Roman"/>
          <w:color w:val="000000"/>
          <w:sz w:val="24"/>
        </w:rPr>
        <w:t>By: Paul Little</w:t>
      </w:r>
    </w:p>
    <w:p>
      <w:pPr>
        <w:pStyle w:val="TextBody"/>
        <w:bidi w:val="0"/>
        <w:jc w:val="left"/>
        <w:rPr>
          <w:rFonts w:ascii="Times New Roman" w:hAnsi="Times New Roman"/>
          <w:color w:val="000000"/>
          <w:sz w:val="24"/>
        </w:rPr>
      </w:pPr>
      <w:r>
        <w:rPr>
          <w:rFonts w:ascii="Times New Roman" w:hAnsi="Times New Roman"/>
          <w:color w:val="000000"/>
          <w:sz w:val="24"/>
        </w:rPr>
        <w:t>Title: CFO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Agreed: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_/s/ David-Alexandre C. Gros, M.D._</w:t>
      </w:r>
    </w:p>
    <w:p>
      <w:pPr>
        <w:pStyle w:val="TextBody"/>
        <w:bidi w:val="0"/>
        <w:jc w:val="left"/>
        <w:rPr>
          <w:rFonts w:ascii="Times New Roman" w:hAnsi="Times New Roman"/>
          <w:color w:val="000000"/>
          <w:sz w:val="24"/>
        </w:rPr>
      </w:pPr>
      <w:r>
        <w:rPr>
          <w:rFonts w:ascii="Times New Roman" w:hAnsi="Times New Roman"/>
          <w:color w:val="000000"/>
          <w:sz w:val="24"/>
        </w:rPr>
        <w:t>David-Alexandre Gros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bookmarkStart w:id="43" w:name="eldn-ex10_23.htm"/>
      <w:bookmarkStart w:id="44" w:name="kseldnex10_23"/>
      <w:bookmarkEnd w:id="43"/>
      <w:bookmarkEnd w:id="44"/>
      <w:r>
        <w:rPr>
          <w:rFonts w:ascii="Times New Roman" w:hAnsi="Times New Roman"/>
          <w:b/>
          <w:color w:val="000000"/>
          <w:sz w:val="22"/>
        </w:rPr>
        <w:t>Exhibit 10.23</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December 30, 2025</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Steven Perrin</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Re: Voluntary Cancellation of Certain Option Grants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Dr. Perrin,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Eledon Pharmaceuticals, Inc. (the “Company”) has granted you an award or multiple awards of stock options under one of the Company’s long-term equity incentive plans. You have volunteered to forfeit for no consideration the stock option awards listed in the table below (the “Forfeited Options”):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6"/>
        <w:gridCol w:w="1065"/>
        <w:gridCol w:w="1427"/>
        <w:gridCol w:w="1255"/>
        <w:gridCol w:w="1463"/>
        <w:gridCol w:w="1896"/>
        <w:gridCol w:w="1843"/>
      </w:tblGrid>
      <w:tr>
        <w:trPr/>
        <w:tc>
          <w:tcPr>
            <w:tcW w:w="125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125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Grant Number</w:t>
            </w:r>
          </w:p>
        </w:tc>
        <w:tc>
          <w:tcPr>
            <w:tcW w:w="106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Grant Date</w:t>
            </w:r>
          </w:p>
        </w:tc>
        <w:tc>
          <w:tcPr>
            <w:tcW w:w="142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Expiration Date</w:t>
            </w:r>
          </w:p>
        </w:tc>
        <w:tc>
          <w:tcPr>
            <w:tcW w:w="125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Exercise Price</w:t>
            </w:r>
          </w:p>
        </w:tc>
        <w:tc>
          <w:tcPr>
            <w:tcW w:w="146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Option Vested or Unvested</w:t>
            </w:r>
          </w:p>
        </w:tc>
        <w:tc>
          <w:tcPr>
            <w:tcW w:w="18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or Time-Based Option</w:t>
            </w:r>
          </w:p>
        </w:tc>
        <w:tc>
          <w:tcPr>
            <w:tcW w:w="184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Total Number of Options Being Forfeited</w:t>
            </w:r>
          </w:p>
        </w:tc>
      </w:tr>
      <w:tr>
        <w:trPr/>
        <w:tc>
          <w:tcPr>
            <w:tcW w:w="12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389</w:t>
            </w:r>
          </w:p>
        </w:tc>
        <w:tc>
          <w:tcPr>
            <w:tcW w:w="10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01/29/2020</w:t>
            </w:r>
          </w:p>
        </w:tc>
        <w:tc>
          <w:tcPr>
            <w:tcW w:w="142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01/29/2030</w:t>
            </w:r>
          </w:p>
        </w:tc>
        <w:tc>
          <w:tcPr>
            <w:tcW w:w="12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$8.91</w:t>
            </w:r>
          </w:p>
        </w:tc>
        <w:tc>
          <w:tcPr>
            <w:tcW w:w="14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61,831</w:t>
            </w:r>
          </w:p>
        </w:tc>
        <w:tc>
          <w:tcPr>
            <w:tcW w:w="18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Time-Based</w:t>
            </w:r>
          </w:p>
        </w:tc>
        <w:tc>
          <w:tcPr>
            <w:tcW w:w="18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61,831</w:t>
            </w:r>
          </w:p>
        </w:tc>
      </w:tr>
      <w:tr>
        <w:trPr/>
        <w:tc>
          <w:tcPr>
            <w:tcW w:w="12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390</w:t>
            </w:r>
          </w:p>
        </w:tc>
        <w:tc>
          <w:tcPr>
            <w:tcW w:w="10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01/01/2019</w:t>
            </w:r>
          </w:p>
        </w:tc>
        <w:tc>
          <w:tcPr>
            <w:tcW w:w="142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01/29/2030</w:t>
            </w:r>
          </w:p>
        </w:tc>
        <w:tc>
          <w:tcPr>
            <w:tcW w:w="12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$8.91</w:t>
            </w:r>
          </w:p>
        </w:tc>
        <w:tc>
          <w:tcPr>
            <w:tcW w:w="14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118,097</w:t>
            </w:r>
          </w:p>
        </w:tc>
        <w:tc>
          <w:tcPr>
            <w:tcW w:w="18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Time-Based</w:t>
            </w:r>
          </w:p>
        </w:tc>
        <w:tc>
          <w:tcPr>
            <w:tcW w:w="18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118,097</w:t>
            </w:r>
          </w:p>
        </w:tc>
      </w:tr>
      <w:tr>
        <w:trPr/>
        <w:tc>
          <w:tcPr>
            <w:tcW w:w="12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391</w:t>
            </w:r>
          </w:p>
        </w:tc>
        <w:tc>
          <w:tcPr>
            <w:tcW w:w="10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11/19/2019</w:t>
            </w:r>
          </w:p>
        </w:tc>
        <w:tc>
          <w:tcPr>
            <w:tcW w:w="142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01/29/2030</w:t>
            </w:r>
          </w:p>
        </w:tc>
        <w:tc>
          <w:tcPr>
            <w:tcW w:w="12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$8.91</w:t>
            </w:r>
          </w:p>
        </w:tc>
        <w:tc>
          <w:tcPr>
            <w:tcW w:w="14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142,833</w:t>
            </w:r>
          </w:p>
        </w:tc>
        <w:tc>
          <w:tcPr>
            <w:tcW w:w="18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Time-Based</w:t>
            </w:r>
          </w:p>
        </w:tc>
        <w:tc>
          <w:tcPr>
            <w:tcW w:w="18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142,833</w:t>
            </w:r>
          </w:p>
        </w:tc>
      </w:tr>
      <w:tr>
        <w:trPr/>
        <w:tc>
          <w:tcPr>
            <w:tcW w:w="12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373</w:t>
            </w:r>
          </w:p>
        </w:tc>
        <w:tc>
          <w:tcPr>
            <w:tcW w:w="10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09/14/2020</w:t>
            </w:r>
          </w:p>
        </w:tc>
        <w:tc>
          <w:tcPr>
            <w:tcW w:w="142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09/13/2030</w:t>
            </w:r>
          </w:p>
        </w:tc>
        <w:tc>
          <w:tcPr>
            <w:tcW w:w="12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$9.00</w:t>
            </w:r>
          </w:p>
        </w:tc>
        <w:tc>
          <w:tcPr>
            <w:tcW w:w="14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436,467</w:t>
            </w:r>
          </w:p>
        </w:tc>
        <w:tc>
          <w:tcPr>
            <w:tcW w:w="18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Time-Based</w:t>
            </w:r>
          </w:p>
        </w:tc>
        <w:tc>
          <w:tcPr>
            <w:tcW w:w="18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436,467</w:t>
            </w:r>
          </w:p>
        </w:tc>
      </w:tr>
      <w:tr>
        <w:trPr/>
        <w:tc>
          <w:tcPr>
            <w:tcW w:w="12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403</w:t>
            </w:r>
          </w:p>
        </w:tc>
        <w:tc>
          <w:tcPr>
            <w:tcW w:w="10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01/01/2019</w:t>
            </w:r>
          </w:p>
        </w:tc>
        <w:tc>
          <w:tcPr>
            <w:tcW w:w="142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09/08/2030</w:t>
            </w:r>
          </w:p>
        </w:tc>
        <w:tc>
          <w:tcPr>
            <w:tcW w:w="125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$6.85</w:t>
            </w:r>
          </w:p>
        </w:tc>
        <w:tc>
          <w:tcPr>
            <w:tcW w:w="146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606,316</w:t>
            </w:r>
          </w:p>
        </w:tc>
        <w:tc>
          <w:tcPr>
            <w:tcW w:w="18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Time-Based</w:t>
            </w:r>
          </w:p>
        </w:tc>
        <w:tc>
          <w:tcPr>
            <w:tcW w:w="18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606,316</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hereby agree that you are voluntary forfeiting the Forfeited Options in exchange for your continued employment or service with the Company, and that the Forfeited Options are not (1) being canceled, exchanged, or surrendered in exchange for cash or other awards for the purpose of repricing the Forfeited Options, or (2) being canceled, exchanged, or surrendered for a new option or SAR award with an exercise or base price that is less than the exercise or base price of the Forfeited Options.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Except for the Forfeited Options, all of your other outstanding stock options granted by the Company shall remain outstanding in accordance with their terms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agreement may be executed in several counterparts, each of which shall be deemed to be an original but all of which together will constitute one and the same instrument. This agreement shall become binding when one or more counterparts hereof, individually or taken together, shall bear the signatures of all of the parties reflected hereon as the signatories. Photographic copies of such signed counterparts may be used in lieu of the originals for any purpose.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0" w:after="24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Exhibit 10.23</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Eledon Pharmaceuticals,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_/s/ David-Alexandre C. Gros, M.D.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By: David-Alexandre Gros</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Agreed: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_____/s/ Steve Perrin, Ph.D_______</w:t>
      </w:r>
    </w:p>
    <w:p>
      <w:pPr>
        <w:pStyle w:val="TextBody"/>
        <w:bidi w:val="0"/>
        <w:jc w:val="left"/>
        <w:rPr>
          <w:rFonts w:ascii="Times New Roman" w:hAnsi="Times New Roman"/>
          <w:color w:val="000000"/>
          <w:sz w:val="24"/>
        </w:rPr>
      </w:pPr>
      <w:r>
        <w:rPr>
          <w:rFonts w:ascii="Times New Roman" w:hAnsi="Times New Roman"/>
          <w:color w:val="000000"/>
          <w:sz w:val="24"/>
        </w:rPr>
        <w:t>Steven Perrin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5" w:name="eldn-ex23_1.htm"/>
      <w:bookmarkStart w:id="46" w:name="kseldnex23_1"/>
      <w:bookmarkEnd w:id="45"/>
      <w:bookmarkEnd w:id="46"/>
      <w:r>
        <w:rPr>
          <w:rFonts w:ascii="Times New Roman" w:hAnsi="Times New Roman"/>
          <w:b/>
          <w:color w:val="000000"/>
          <w:sz w:val="22"/>
        </w:rPr>
        <w:t>Exhibit 23.1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left"/>
        <w:rPr>
          <w:rFonts w:ascii="Times New Roman" w:hAnsi="Times New Roman"/>
          <w:color w:val="000000"/>
          <w:sz w:val="22"/>
        </w:rPr>
      </w:pPr>
      <w:r>
        <w:rPr>
          <w:rFonts w:ascii="Times New Roman" w:hAnsi="Times New Roman"/>
          <w:color w:val="000000"/>
          <w:sz w:val="22"/>
        </w:rPr>
        <w:t>We consent to the incorporation by reference in Registration Statement Nos. 333-200413, 333-203032, 333-210058, 333-216432, 333-232428, 333-237380, 333-255173 and 333-273900 on Form S-8 and</w:t>
      </w:r>
    </w:p>
    <w:p>
      <w:pPr>
        <w:pStyle w:val="TextBody"/>
        <w:bidi w:val="0"/>
        <w:jc w:val="left"/>
        <w:rPr>
          <w:rFonts w:ascii="Times New Roman" w:hAnsi="Times New Roman"/>
          <w:color w:val="000000"/>
          <w:sz w:val="22"/>
        </w:rPr>
      </w:pPr>
      <w:r>
        <w:rPr>
          <w:rFonts w:ascii="Times New Roman" w:hAnsi="Times New Roman"/>
          <w:color w:val="000000"/>
          <w:sz w:val="22"/>
        </w:rPr>
        <w:t>Registration Statement Nos. 333-254890, 333-272052, 333-279711 and 333-282260 on Form S-3 of our report dated March 19, 2026, relating to the financial statements of Eledon Pharmaceuticals, Inc. appearing in this Annual Report on Form 10-K for the year ended December 31, 2025.</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 Deloitte &amp; Touche LLP</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Costa Mesa, California</w:t>
      </w:r>
    </w:p>
    <w:p>
      <w:pPr>
        <w:pStyle w:val="TextBody"/>
        <w:bidi w:val="0"/>
        <w:jc w:val="both"/>
        <w:rPr>
          <w:rFonts w:ascii="Times New Roman" w:hAnsi="Times New Roman"/>
          <w:color w:val="000000"/>
          <w:sz w:val="22"/>
        </w:rPr>
      </w:pPr>
      <w:r>
        <w:rPr>
          <w:rFonts w:ascii="Times New Roman" w:hAnsi="Times New Roman"/>
          <w:color w:val="000000"/>
          <w:sz w:val="22"/>
        </w:rPr>
        <w:t>March 19, 2026</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7" w:name="eldn-ex23_2.htm"/>
      <w:bookmarkStart w:id="48" w:name="kseldnex23_2"/>
      <w:bookmarkEnd w:id="47"/>
      <w:bookmarkEnd w:id="48"/>
      <w:r>
        <w:rPr/>
        <w:t> </w:t>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23.2</w:t>
      </w:r>
    </w:p>
    <w:p>
      <w:pPr>
        <w:pStyle w:val="TextBody"/>
        <w:bidi w:val="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both"/>
        <w:rPr>
          <w:rFonts w:ascii="Times New Roman" w:hAnsi="Times New Roman"/>
          <w:color w:val="000000"/>
          <w:sz w:val="22"/>
        </w:rPr>
      </w:pPr>
      <w:r>
        <w:rPr>
          <w:rFonts w:ascii="Times New Roman" w:hAnsi="Times New Roman"/>
          <w:color w:val="000000"/>
          <w:sz w:val="22"/>
        </w:rPr>
        <w:t>We hereby consent to the incorporation by reference in Registration Statement Nos. 333-200413, 333-203032, 333-210058, 333-216432, 333-232428, 333-237380, 333-255173 and 333-273900 on Form S-8 and Registration Statement Nos. 333-254890, 333-272052, 333-279711 and 333-282260 on Form S-3 of our report dated March 20, 2025 (except for Note 9, as to which the date is August 14, 2025), relating to the balance sheet of Eledon Pharmaceuticals, Inc. as of December 31, 2024 and the consolidated statements of operations and comprehensive loss, convertible preferred stock and stockholders' equity and cash flows for the year ended December 31,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Crowe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Los Angeles, California</w:t>
      </w:r>
    </w:p>
    <w:p>
      <w:pPr>
        <w:pStyle w:val="TextBody"/>
        <w:bidi w:val="0"/>
        <w:jc w:val="left"/>
        <w:rPr>
          <w:rFonts w:ascii="Times New Roman" w:hAnsi="Times New Roman"/>
          <w:color w:val="000000"/>
          <w:sz w:val="22"/>
        </w:rPr>
      </w:pPr>
      <w:r>
        <w:rPr>
          <w:rFonts w:ascii="Times New Roman" w:hAnsi="Times New Roman"/>
          <w:color w:val="000000"/>
          <w:sz w:val="22"/>
        </w:rPr>
        <w:t>March 19,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bookmarkStart w:id="49" w:name="eldn-ex31_1.htm"/>
      <w:bookmarkStart w:id="50" w:name="kseldnex31_1"/>
      <w:bookmarkEnd w:id="49"/>
      <w:bookmarkEnd w:id="50"/>
      <w:r>
        <w:rPr>
          <w:rFonts w:ascii="Times New Roman" w:hAnsi="Times New Roman"/>
          <w:b/>
          <w:color w:val="000000"/>
          <w:sz w:val="22"/>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David-Alexandre C. Gros, M.D.,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Eledon Pharmaceuticals,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478" w:type="dxa"/>
        <w:jc w:val="left"/>
        <w:tblInd w:w="0" w:type="dxa"/>
        <w:tblLayout w:type="fixed"/>
        <w:tblCellMar>
          <w:top w:w="28" w:type="dxa"/>
          <w:left w:w="28" w:type="dxa"/>
          <w:bottom w:w="28" w:type="dxa"/>
          <w:right w:w="28" w:type="dxa"/>
        </w:tblCellMar>
      </w:tblPr>
      <w:tblGrid>
        <w:gridCol w:w="1891"/>
        <w:gridCol w:w="109"/>
        <w:gridCol w:w="406"/>
        <w:gridCol w:w="146"/>
        <w:gridCol w:w="292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2"/>
        </w:rPr>
      </w:pPr>
      <w:bookmarkStart w:id="51" w:name="eldn-ex31_2.htm"/>
      <w:bookmarkStart w:id="52" w:name="kseldnex31_2"/>
      <w:bookmarkEnd w:id="51"/>
      <w:bookmarkEnd w:id="52"/>
      <w:r>
        <w:rPr>
          <w:rFonts w:ascii="Times New Roman" w:hAnsi="Times New Roman"/>
          <w:b/>
          <w:color w:val="000000"/>
          <w:sz w:val="22"/>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Paul Little,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Eledon Pharmaceuticals,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968" w:type="dxa"/>
        <w:jc w:val="left"/>
        <w:tblInd w:w="0" w:type="dxa"/>
        <w:tblLayout w:type="fixed"/>
        <w:tblCellMar>
          <w:top w:w="28" w:type="dxa"/>
          <w:left w:w="28" w:type="dxa"/>
          <w:bottom w:w="28" w:type="dxa"/>
          <w:right w:w="28" w:type="dxa"/>
        </w:tblCellMar>
      </w:tblPr>
      <w:tblGrid>
        <w:gridCol w:w="1891"/>
        <w:gridCol w:w="109"/>
        <w:gridCol w:w="406"/>
        <w:gridCol w:w="146"/>
        <w:gridCol w:w="241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Little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bookmarkStart w:id="53" w:name="eldn-ex32_1.htm"/>
      <w:bookmarkStart w:id="54" w:name="kseldnex32_1"/>
      <w:bookmarkEnd w:id="53"/>
      <w:bookmarkEnd w:id="54"/>
      <w:r>
        <w:rPr>
          <w:rFonts w:ascii="Times New Roman" w:hAnsi="Times New Roman"/>
          <w:b/>
          <w:color w:val="000000"/>
          <w:sz w:val="22"/>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Eledon Pharmaceuticals, Inc. (the “Company”) for the period ended December 31, 2025 as filed with the Securities and Exchange Commission on the date hereof (the “Report”), the undersigned, David-Alexandre C. Gros, Chief Executive Officer of the Company, hereby certifies, pursuant to 18 U.S.C. Section 1350, as adopted pursuant to Section 906 of the Sarbanes-Oxley Act of 2002,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w:t>
        <w:br/>
        <w:t xml:space="preserve">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223" w:type="dxa"/>
        <w:jc w:val="left"/>
        <w:tblInd w:w="0" w:type="dxa"/>
        <w:tblLayout w:type="fixed"/>
        <w:tblCellMar>
          <w:top w:w="28" w:type="dxa"/>
          <w:left w:w="28" w:type="dxa"/>
          <w:bottom w:w="28" w:type="dxa"/>
          <w:right w:w="28" w:type="dxa"/>
        </w:tblCellMar>
      </w:tblPr>
      <w:tblGrid>
        <w:gridCol w:w="1891"/>
        <w:gridCol w:w="406"/>
        <w:gridCol w:w="292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5" w:name="eldn-ex32_2.htm"/>
      <w:bookmarkStart w:id="56" w:name="kseldnex32_2"/>
      <w:bookmarkEnd w:id="55"/>
      <w:bookmarkEnd w:id="56"/>
      <w:r>
        <w:rPr>
          <w:rFonts w:ascii="Times New Roman" w:hAnsi="Times New Roman"/>
          <w:b/>
          <w:color w:val="000000"/>
          <w:sz w:val="22"/>
        </w:rPr>
        <w:t>Exhibit 32.2</w:t>
      </w:r>
      <w:r>
        <w:br w:type="page"/>
      </w:r>
    </w:p>
    <w:p>
      <w:pPr>
        <w:pStyle w:val="TextBody"/>
        <w:bidi w:val="0"/>
        <w:jc w:val="right"/>
        <w:rPr/>
      </w:pPr>
      <w:bookmarkStart w:id="57" w:name="exhibit_322"/>
      <w:bookmarkEnd w:id="57"/>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Eledon Pharmaceuticals, Inc. (the “Company”) for the period ended December 31, 2025 as filed with the Securities and Exchange Commission on the date hereof (the “Report”), the undersigned, Paul Little, Chief Financial and Accounting Officer of the Company, hereby certifies, pursuant to 18 U.S.C. Section 1350, as adopted pursuant to Section 906 of the Sarbanes-Oxley Act of 2002,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w:t>
        <w:br/>
        <w:t xml:space="preserve">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713" w:type="dxa"/>
        <w:jc w:val="left"/>
        <w:tblInd w:w="0" w:type="dxa"/>
        <w:tblLayout w:type="fixed"/>
        <w:tblCellMar>
          <w:top w:w="28" w:type="dxa"/>
          <w:left w:w="28" w:type="dxa"/>
          <w:bottom w:w="28" w:type="dxa"/>
          <w:right w:w="28" w:type="dxa"/>
        </w:tblCellMar>
      </w:tblPr>
      <w:tblGrid>
        <w:gridCol w:w="1891"/>
        <w:gridCol w:w="406"/>
        <w:gridCol w:w="241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Little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0001404281/000119312514354857/d793658dex31.htm" TargetMode="External"/><Relationship Id="rId7" Type="http://schemas.openxmlformats.org/officeDocument/2006/relationships/hyperlink" Target="https://www.sec.gov/Archives/edgar/data/0001404281/000119312517170677/d393884dex31.htm" TargetMode="External"/><Relationship Id="rId8" Type="http://schemas.openxmlformats.org/officeDocument/2006/relationships/hyperlink" Target="https://www.sec.gov/Archives/edgar/data/0001404281/000119312517170677/d393884dex32.htm" TargetMode="External"/><Relationship Id="rId9" Type="http://schemas.openxmlformats.org/officeDocument/2006/relationships/hyperlink" Target="https://www.sec.gov/Archives/edgar/data/1404281/000119312520264806/d18987dex31.htm" TargetMode="External"/><Relationship Id="rId10" Type="http://schemas.openxmlformats.org/officeDocument/2006/relationships/hyperlink" Target="https://www.sec.gov/Archives/edgar/data/1404281/000110465921000921/tm211620d1_ex3-1.htm" TargetMode="External"/><Relationship Id="rId11" Type="http://schemas.openxmlformats.org/officeDocument/2006/relationships/hyperlink" Target="https://www.sec.gov/Archives/edgar/data/1404281/000095017025085588/eldn-ex3_1.htm" TargetMode="External"/><Relationship Id="rId12" Type="http://schemas.openxmlformats.org/officeDocument/2006/relationships/hyperlink" Target="https://www.sec.gov/Archives/edgar/data/1404281/000095017025085588/eldn-ex3_2.htm" TargetMode="External"/><Relationship Id="rId13" Type="http://schemas.openxmlformats.org/officeDocument/2006/relationships/hyperlink" Target="https://www.sec.gov/Archives/edgar/data/0001404281/000119312517211880/d406180dex34.htm" TargetMode="External"/><Relationship Id="rId14" Type="http://schemas.openxmlformats.org/officeDocument/2006/relationships/hyperlink" Target="https://www.sec.gov/Archives/edgar/data/1404281/000119312520041903/d888744dex31.htm" TargetMode="External"/><Relationship Id="rId15" Type="http://schemas.openxmlformats.org/officeDocument/2006/relationships/hyperlink" Target="https://www.sec.gov/Archives/edgar/data/1404281/000119312520246314/d26397dex31.htm" TargetMode="External"/><Relationship Id="rId16" Type="http://schemas.openxmlformats.org/officeDocument/2006/relationships/hyperlink" Target="https://www.sec.gov/Archives/edgar/data/1404281/000119312520246314/d26397dex31.htm" TargetMode="External"/><Relationship Id="rId17" Type="http://schemas.openxmlformats.org/officeDocument/2006/relationships/hyperlink" Target="https://www.sec.gov/Archives/edgar/data/1404281/000119312520246314/d26397dex31.htm" TargetMode="External"/><Relationship Id="rId18" Type="http://schemas.openxmlformats.org/officeDocument/2006/relationships/hyperlink" Target="https://www.sec.gov/Archives/edgar/data/1404281/000119312520008426/d873828dex41.htm" TargetMode="External"/><Relationship Id="rId19" Type="http://schemas.openxmlformats.org/officeDocument/2006/relationships/hyperlink" Target="https://www.sec.gov/Archives/edgar/data/1404281/000095017023016017/eldn-ex4_1.htm" TargetMode="External"/><Relationship Id="rId20" Type="http://schemas.openxmlformats.org/officeDocument/2006/relationships/hyperlink" Target="https://www.sec.gov/Archives/edgar/data/1404281/000095017023016017/eldn-ex4_2.htm" TargetMode="External"/><Relationship Id="rId21" Type="http://schemas.openxmlformats.org/officeDocument/2006/relationships/hyperlink" Target="https://www.sec.gov/Archives/edgar/data/1404281/000095017024053934/eldn-ex4_1.htm" TargetMode="External"/><Relationship Id="rId22" Type="http://schemas.openxmlformats.org/officeDocument/2006/relationships/hyperlink" Target="https://www.sec.gov/Archives/edgar/data/1404281/000095017024118497/eldn-ex4_1.htm" TargetMode="External"/><Relationship Id="rId23" Type="http://schemas.openxmlformats.org/officeDocument/2006/relationships/hyperlink" Target="https://www.sec.gov/Archives/edgar/data/1404281/000119312525278392/d28785dex41.htm" TargetMode="External"/><Relationship Id="rId24" Type="http://schemas.openxmlformats.org/officeDocument/2006/relationships/hyperlink" Target="https://www.sec.gov/Archives/edgar/data/1404281/000119312526000968/eldn-ex4_1.htm" TargetMode="External"/><Relationship Id="rId25" Type="http://schemas.openxmlformats.org/officeDocument/2006/relationships/hyperlink" Target="https://www.sec.gov/Archives/edgar/data/1404281/000119312524222880/d893946dex12.htm" TargetMode="External"/><Relationship Id="rId26" Type="http://schemas.openxmlformats.org/officeDocument/2006/relationships/hyperlink" Target="https://www.sec.gov/Archives/edgar/data/1404281/000095017023049046/eldn-ex10_1.htm" TargetMode="External"/><Relationship Id="rId27" Type="http://schemas.openxmlformats.org/officeDocument/2006/relationships/hyperlink" Target="https://www.sec.gov/Archives/edgar/data/1404281/000095017025042754/eldn-ex10_7.htm" TargetMode="External"/><Relationship Id="rId28" Type="http://schemas.openxmlformats.org/officeDocument/2006/relationships/hyperlink" Target="https://www.sec.gov/Archives/edgar/data/1404281/000095017025042754/eldn-ex10_8.htm" TargetMode="External"/><Relationship Id="rId29" Type="http://schemas.openxmlformats.org/officeDocument/2006/relationships/hyperlink" Target="https://www.sec.gov/Archives/edgar/data/1404281/000156459018019519/nvus-ex102_213.htm" TargetMode="External"/><Relationship Id="rId30" Type="http://schemas.openxmlformats.org/officeDocument/2006/relationships/hyperlink" Target="https://www.sec.gov/Archives/edgar/data/1404281/000156459018019519/nvus-ex103_212.htm" TargetMode="External"/><Relationship Id="rId31" Type="http://schemas.openxmlformats.org/officeDocument/2006/relationships/hyperlink" Target="https://www.sec.gov/Archives/edgar/data/1404281/000156459021016828/nvus-ex108_318.htm" TargetMode="External"/><Relationship Id="rId32" Type="http://schemas.openxmlformats.org/officeDocument/2006/relationships/hyperlink" Target="https://www.sec.gov/Archives/edgar/data/1404281/000095017023016017/eldn-ex10_3.htm" TargetMode="External"/><Relationship Id="rId33" Type="http://schemas.openxmlformats.org/officeDocument/2006/relationships/hyperlink" Target="https://www.sec.gov/Archives/edgar/data/1404281/000095017025042754/eldn-ex10_14.htm" TargetMode="External"/><Relationship Id="rId34" Type="http://schemas.openxmlformats.org/officeDocument/2006/relationships/hyperlink" Target="https://www.sec.gov/Archives/edgar/data/1404281/000156459021016828/nvus-ex1010_316.htm" TargetMode="External"/><Relationship Id="rId35" Type="http://schemas.openxmlformats.org/officeDocument/2006/relationships/hyperlink" Target="https://www.sec.gov/Archives/edgar/data/1404281/000095017023016017/eldn-ex10_4.htm" TargetMode="External"/><Relationship Id="rId36" Type="http://schemas.openxmlformats.org/officeDocument/2006/relationships/hyperlink" Target="https://www.sec.gov/Archives/edgar/data/1404281/000156459021016828/nvus-ex1011_319.htm" TargetMode="External"/><Relationship Id="rId37" Type="http://schemas.openxmlformats.org/officeDocument/2006/relationships/hyperlink" Target="https://www.sec.gov/Archives/edgar/data/1404281/000095017024082730/eldn-ex10_1.htm" TargetMode="External"/><Relationship Id="rId38" Type="http://schemas.openxmlformats.org/officeDocument/2006/relationships/hyperlink" Target="https://www.sec.gov/Archives/edgar/data/1404281/000156459022011698/eldn-ex1012_1073.htm" TargetMode="External"/><Relationship Id="rId39" Type="http://schemas.openxmlformats.org/officeDocument/2006/relationships/hyperlink" Target="https://www.sec.gov/Archives/edgar/data/1404281/000095017022016935/eldn-ex10_1.htm" TargetMode="External"/><Relationship Id="rId40" Type="http://schemas.openxmlformats.org/officeDocument/2006/relationships/hyperlink" Target="https://www.sec.gov/Archives/edgar/data/1404281/000095017022016935/eldn-ex10_2.htm" TargetMode="External"/><Relationship Id="rId41" Type="http://schemas.openxmlformats.org/officeDocument/2006/relationships/hyperlink" Target="https://www.sec.gov/Archives/edgar/data/1404281/000095017022016935/eldn-ex10_3.htm" TargetMode="External"/><Relationship Id="rId42" Type="http://schemas.openxmlformats.org/officeDocument/2006/relationships/hyperlink" Target="https://www.sec.gov/Archives/edgar/data/1404281/000095017024038091/eldn-ex10_22.htm" TargetMode="External"/><Relationship Id="rId43" Type="http://schemas.openxmlformats.org/officeDocument/2006/relationships/hyperlink" Target="https://www.sec.gov/Archives/edgar/data/1404281/000095017024038091/eldn-ex10_23.htm" TargetMode="External"/><Relationship Id="rId44" Type="http://schemas.openxmlformats.org/officeDocument/2006/relationships/hyperlink" Target="https://www.sec.gov/Archives/edgar/data/1404281/000095017025042754/eldn-ex10_25.htm" TargetMode="External"/><Relationship Id="rId45" Type="http://schemas.openxmlformats.org/officeDocument/2006/relationships/hyperlink" Target="https://www.sec.gov/Archives/edgar/data/1404281/000095017025042754/eldn-ex10_26.htm" TargetMode="External"/><Relationship Id="rId46" Type="http://schemas.openxmlformats.org/officeDocument/2006/relationships/hyperlink" Target="https://www.sec.gov/Archives/edgar/data/1404281/000119312525278392/d28785dex11.htm" TargetMode="External"/><Relationship Id="rId47" Type="http://schemas.openxmlformats.org/officeDocument/2006/relationships/hyperlink" Target="https://www.sec.gov/Archives/edgar/data/1404281/000095017025042754/eldn-ex19_1.htm" TargetMode="External"/><Relationship Id="rId48" Type="http://schemas.openxmlformats.org/officeDocument/2006/relationships/hyperlink" Target="https://www.sec.gov/Archives/edgar/data/1404281/000156459020011260/nvus-ex211_11.htm" TargetMode="External"/><Relationship Id="rId49" Type="http://schemas.openxmlformats.org/officeDocument/2006/relationships/hyperlink" Target="https://www.sec.gov/Archives/edgar/data/1404281/000095017024038091/eldn-ex97_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64409</Words>
  <Characters>363997</Characters>
  <CharactersWithSpaces>429454</CharactersWithSpaces>
  <Paragraphs>8394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