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May 7, 2026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u w:val="single" w:color="auto"/>
          <w:color w:val="auto"/>
        </w:rPr>
        <w:t>VIA EDGAR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Office of Life Sciences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20549-3628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Attention: Lauren Hamill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42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2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Request for Effectiveness for Eledon</w:t>
            </w: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Pharmaceuticals, Inc.</w:t>
            </w:r>
          </w:p>
        </w:tc>
      </w:tr>
      <w:tr>
        <w:trPr>
          <w:trHeight w:val="196"/>
        </w:trPr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Registration Statement on Form S-3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(File No. 333-295498)</w:t>
            </w:r>
          </w:p>
        </w:tc>
      </w:tr>
      <w:tr>
        <w:trPr>
          <w:trHeight w:val="20"/>
        </w:trPr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Dear Ms. Hamill: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" w:firstLine="440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promulgated under the Securities Act of 1933, as amended, Eledon Pharmaceuticals, Inc. (the “</w:t>
      </w: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auto"/>
        </w:rPr>
        <w:t>Registrant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hereby respectfully requests that the effectiveness of the above-referenced Registration Statement be accelerated to 4:00 p.m. Eastern Time, on May 11, 2026, or as soon thereafter as practicable. The Registrant respectfully requests that you notify Shelly Heyduk of O’Melveny &amp; Myers LLP of such effectiveness by telephone at (949) 823-7968.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4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If you have any questions or comments regarding the foregoing, please do not hesitate to contact Ms. Heyduk at the telephone number above.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Eledon Pharmaceuticals, Inc.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 /s/ Paul Little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4397375</wp:posOffset>
            </wp:positionH>
            <wp:positionV relativeFrom="paragraph">
              <wp:posOffset>17145</wp:posOffset>
            </wp:positionV>
            <wp:extent cx="259715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  Paul Little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98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Title:    Chief Financial Officer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Shelly Heyduk, O’Melveny &amp; Myers LLP</w:t>
      </w:r>
    </w:p>
    <w:sectPr>
      <w:pgSz w:w="11900" w:h="16838" w:orient="portrait"/>
      <w:cols w:equalWidth="0" w:num="1">
        <w:col w:w="10824"/>
      </w:cols>
      <w:pgMar w:left="436" w:top="229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2026-06-09T23:13:26Z</dcterms:created>
  <dcterms:modified xsi:type="dcterms:W3CDTF">2026-06-09T23:13:26Z</dcterms:modified>
</cp:coreProperties>
</file>